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1"/>
      </w:pPr>
      <w:r>
        <w:t xml:space="preserve">Répartition des thèmes par période</w:t>
      </w:r>
    </w:p>
    <w:tbl>
      <w:tblPr>
        <w:tblW w:w="15704" w:type="dxa"/>
        <w:tblBorders>
          <w:top w:val="single" w:sz="6" w:space="0" w:color="002060"/>
          <w:left w:val="single" w:sz="6" w:space="0" w:color="002060"/>
          <w:bottom w:val="single" w:sz="6" w:space="0" w:color="002060"/>
          <w:right w:val="single" w:sz="6" w:space="0" w:color="002060"/>
          <w:insideH w:val="single" w:sz="6" w:space="0" w:color="002060"/>
          <w:insideV w:val="single" w:sz="6" w:space="0" w:color="00206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914"/>
        <w:gridCol w:w="2914"/>
        <w:gridCol w:w="2914"/>
        <w:gridCol w:w="2914"/>
        <w:gridCol w:w="2914"/>
      </w:tblGrid>
      <w:tr>
        <w:trPr>
          <w:tblHeader/>
        </w:trPr>
        <w:tc>
          <w:tcPr>
            <w:tcW w:w="1134" w:type="dxa"/>
            <w:vMerge w:val="restart"/>
            <w:shd w:val="clear" w:color="auto" w:fill="002060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Domaine</w:t>
            </w:r>
          </w:p>
        </w:tc>
        <w:tc>
          <w:tcPr>
            <w:tcW w:w="14570" w:type="dxa"/>
            <w:gridSpan w:val="5"/>
            <w:shd w:val="clear" w:color="auto" w:fill="002060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Périodes de l’année scolaire</w:t>
            </w:r>
          </w:p>
        </w:tc>
      </w:tr>
      <w:tr>
        <w:trPr>
          <w:tblHeader/>
        </w:trPr>
        <w:tc>
          <w:tcPr>
            <w:tcW w:w="1134" w:type="dxa"/>
            <w:vMerge/>
            <w:shd w:val="clear" w:color="auto" w:fill="002060"/>
          </w:tcPr>
          <w:p/>
        </w:tc>
        <w:tc>
          <w:tcPr>
            <w:tcW w:w="2914" w:type="dxa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Période 1</w:t>
              <w:br/>
              <w:t xml:space="preserve">sept. – oct.</w:t>
            </w:r>
          </w:p>
        </w:tc>
        <w:tc>
          <w:tcPr>
            <w:tcW w:w="2914" w:type="dxa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Période 2</w:t>
              <w:br/>
              <w:t xml:space="preserve">nov. – déc.</w:t>
            </w:r>
          </w:p>
        </w:tc>
        <w:tc>
          <w:tcPr>
            <w:tcW w:w="2914" w:type="dxa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Période 3</w:t>
              <w:br/>
              <w:t xml:space="preserve">janv. – fév.</w:t>
            </w:r>
          </w:p>
        </w:tc>
        <w:tc>
          <w:tcPr>
            <w:tcW w:w="2914" w:type="dxa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Période 4</w:t>
              <w:br/>
              <w:t xml:space="preserve">mars – avril</w:t>
            </w:r>
          </w:p>
        </w:tc>
        <w:tc>
          <w:tcPr>
            <w:tcW w:w="2914" w:type="dxa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Période 5</w:t>
              <w:br/>
              <w:t xml:space="preserve">mai – juin</w:t>
            </w:r>
          </w:p>
        </w:tc>
      </w:tr>
      <w:tr>
        <w:trPr>
          <w:cantSplit/>
          <w:trHeight w:val="1361" w:hRule="atLeast"/>
        </w:trPr>
        <w:tc>
          <w:tcPr>
            <w:tcW w:w="1134" w:type="dxa"/>
            <w:shd w:val="clear" w:color="auto" w:fill="E2EFDA"/>
            <w:textDirection w:val="btL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Nombres et calculs</w:t>
            </w:r>
          </w:p>
        </w:tc>
        <w:tc>
          <w:tcPr>
            <w:tcW w:w="2914" w:type="dxa"/>
          </w:tcPr>
          <w:p>
            <w:pPr>
              <w:numPr>
                <w:ilvl w:val="0"/>
                <w:numId w:val="1"/>
              </w:numPr>
              <w:spacing w:after="20"/>
            </w:pPr>
            <w:r>
              <w:t xml:space="preserve">Enchaînement d’opérations, priorités</w:t>
            </w:r>
          </w:p>
          <w:p>
            <w:pPr>
              <w:numPr>
                <w:ilvl w:val="0"/>
                <w:numId w:val="1"/>
              </w:numPr>
              <w:spacing w:after="20"/>
            </w:pPr>
            <w:r>
              <w:t xml:space="preserve">Nombres relatifs : repérage</w:t>
            </w:r>
          </w:p>
        </w:tc>
        <w:tc>
          <w:tcPr>
            <w:tcW w:w="2914" w:type="dxa"/>
          </w:tcPr>
          <w:p>
            <w:pPr>
              <w:numPr>
                <w:ilvl w:val="0"/>
                <w:numId w:val="1"/>
              </w:numPr>
              <w:spacing w:after="20"/>
            </w:pPr>
            <w:r>
              <w:t xml:space="preserve">Fractions : égalité, simplification</w:t>
            </w:r>
          </w:p>
          <w:p>
            <w:pPr>
              <w:numPr>
                <w:ilvl w:val="0"/>
                <w:numId w:val="1"/>
              </w:numPr>
              <w:spacing w:after="20"/>
            </w:pPr>
            <w:r>
              <w:t xml:space="preserve">Addition de relatifs</w:t>
            </w:r>
          </w:p>
        </w:tc>
        <w:tc>
          <w:tcPr>
            <w:tcW w:w="2914" w:type="dxa"/>
          </w:tcPr>
          <w:p>
            <w:pPr>
              <w:numPr>
                <w:ilvl w:val="0"/>
                <w:numId w:val="1"/>
              </w:numPr>
              <w:spacing w:after="20"/>
            </w:pPr>
            <w:r>
              <w:t xml:space="preserve">Calcul littéral : expressions, tester une égalité</w:t>
            </w:r>
          </w:p>
        </w:tc>
        <w:tc>
          <w:tcPr>
            <w:tcW w:w="2914" w:type="dxa"/>
          </w:tcPr>
          <w:p>
            <w:pPr>
              <w:numPr>
                <w:ilvl w:val="0"/>
                <w:numId w:val="1"/>
              </w:numPr>
              <w:spacing w:after="20"/>
            </w:pPr>
            <w:r>
              <w:t xml:space="preserve">Proportionnalité : 4e proportionnelle, pourcentages</w:t>
            </w:r>
          </w:p>
        </w:tc>
        <w:tc>
          <w:tcPr>
            <w:tcW w:w="2914" w:type="dxa"/>
          </w:tcPr>
          <w:p>
            <w:pPr>
              <w:numPr>
                <w:ilvl w:val="0"/>
                <w:numId w:val="1"/>
              </w:numPr>
              <w:spacing w:after="20"/>
            </w:pPr>
            <w:r>
              <w:t xml:space="preserve">Nombres premiers, multiples, diviseurs</w:t>
            </w:r>
          </w:p>
        </w:tc>
      </w:tr>
      <w:tr>
        <w:trPr>
          <w:cantSplit/>
          <w:trHeight w:val="1361" w:hRule="atLeast"/>
        </w:trPr>
        <w:tc>
          <w:tcPr>
            <w:tcW w:w="1134" w:type="dxa"/>
            <w:shd w:val="clear" w:color="auto" w:fill="FFF2CC"/>
            <w:textDirection w:val="btL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Grandeurs et mesures</w:t>
            </w:r>
          </w:p>
        </w:tc>
        <w:tc>
          <w:tcPr>
            <w:tcW w:w="2914" w:type="dxa"/>
          </w:tcPr>
          <w:p>
            <w:pPr>
              <w:numPr>
                <w:ilvl w:val="0"/>
                <w:numId w:val="1"/>
              </w:numPr>
              <w:spacing w:after="20"/>
            </w:pPr>
            <w:r>
              <w:t xml:space="preserve">Périmètres et aires (rappels)</w:t>
            </w:r>
          </w:p>
        </w:tc>
        <w:tc>
          <w:tcPr>
            <w:tcW w:w="2914" w:type="dxa"/>
          </w:tcPr>
          <w:p>
            <w:pPr>
              <w:numPr>
                <w:ilvl w:val="0"/>
                <w:numId w:val="1"/>
              </w:numPr>
              <w:spacing w:after="20"/>
            </w:pPr>
            <w:r>
              <w:t xml:space="preserve">Aire du disque</w:t>
            </w:r>
          </w:p>
        </w:tc>
        <w:tc>
          <w:tcPr>
            <w:tcW w:w="2914" w:type="dxa"/>
          </w:tcPr>
          <w:p>
            <w:pPr>
              <w:numPr>
                <w:ilvl w:val="0"/>
                <w:numId w:val="1"/>
              </w:numPr>
              <w:spacing w:after="20"/>
            </w:pPr>
            <w:r>
              <w:t xml:space="preserve">Volumes : prisme et cylindre</w:t>
            </w:r>
          </w:p>
        </w:tc>
        <w:tc>
          <w:tcPr>
            <w:tcW w:w="2914" w:type="dxa"/>
          </w:tcPr>
          <w:p>
            <w:pPr>
              <w:numPr>
                <w:ilvl w:val="0"/>
                <w:numId w:val="1"/>
              </w:numPr>
              <w:spacing w:after="20"/>
            </w:pPr>
            <w:r>
              <w:t xml:space="preserve">Durées et vitesses moyennes</w:t>
            </w:r>
          </w:p>
        </w:tc>
        <w:tc>
          <w:tcPr>
            <w:tcW w:w="2914" w:type="dxa"/>
          </w:tcPr>
          <w:p>
            <w:pPr>
              <w:numPr>
                <w:ilvl w:val="0"/>
                <w:numId w:val="1"/>
              </w:numPr>
              <w:spacing w:after="20"/>
            </w:pPr>
            <w:r>
              <w:t xml:space="preserve">Conversions d’unités de volume</w:t>
            </w:r>
          </w:p>
        </w:tc>
      </w:tr>
      <w:tr>
        <w:trPr>
          <w:cantSplit/>
          <w:trHeight w:val="1361" w:hRule="atLeast"/>
        </w:trPr>
        <w:tc>
          <w:tcPr>
            <w:tcW w:w="1134" w:type="dxa"/>
            <w:shd w:val="clear" w:color="auto" w:fill="DDEBF7"/>
            <w:textDirection w:val="btL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Espace et géométrie</w:t>
            </w:r>
          </w:p>
        </w:tc>
        <w:tc>
          <w:tcPr>
            <w:tcW w:w="2914" w:type="dxa"/>
          </w:tcPr>
          <w:p>
            <w:pPr>
              <w:numPr>
                <w:ilvl w:val="0"/>
                <w:numId w:val="1"/>
              </w:numPr>
              <w:spacing w:after="20"/>
            </w:pPr>
            <w:r>
              <w:t xml:space="preserve">Triangles : construction, inégalité triangulaire</w:t>
            </w:r>
          </w:p>
        </w:tc>
        <w:tc>
          <w:tcPr>
            <w:tcW w:w="2914" w:type="dxa"/>
          </w:tcPr>
          <w:p>
            <w:pPr>
              <w:numPr>
                <w:ilvl w:val="0"/>
                <w:numId w:val="1"/>
              </w:numPr>
              <w:spacing w:after="20"/>
            </w:pPr>
            <w:r>
              <w:t xml:space="preserve">Symétrie centrale</w:t>
            </w:r>
          </w:p>
        </w:tc>
        <w:tc>
          <w:tcPr>
            <w:tcW w:w="2914" w:type="dxa"/>
          </w:tcPr>
          <w:p>
            <w:pPr>
              <w:numPr>
                <w:ilvl w:val="0"/>
                <w:numId w:val="1"/>
              </w:numPr>
              <w:spacing w:after="20"/>
            </w:pPr>
            <w:r>
              <w:t xml:space="preserve">Angles et parallélisme</w:t>
            </w:r>
          </w:p>
        </w:tc>
        <w:tc>
          <w:tcPr>
            <w:tcW w:w="2914" w:type="dxa"/>
          </w:tcPr>
          <w:p>
            <w:pPr>
              <w:numPr>
                <w:ilvl w:val="0"/>
                <w:numId w:val="1"/>
              </w:numPr>
              <w:spacing w:after="20"/>
            </w:pPr>
            <w:r>
              <w:t xml:space="preserve">Parallélogrammes : propriétés</w:t>
            </w:r>
          </w:p>
        </w:tc>
        <w:tc>
          <w:tcPr>
            <w:tcW w:w="2914" w:type="dxa"/>
          </w:tcPr>
          <w:p>
            <w:pPr>
              <w:numPr>
                <w:ilvl w:val="0"/>
                <w:numId w:val="1"/>
              </w:numPr>
              <w:spacing w:after="20"/>
            </w:pPr>
            <w:r>
              <w:t xml:space="preserve">Repérage dans le plan et dans l’espace</w:t>
            </w:r>
          </w:p>
        </w:tc>
      </w:tr>
      <w:tr>
        <w:trPr>
          <w:cantSplit/>
          <w:trHeight w:val="1361" w:hRule="atLeast"/>
        </w:trPr>
        <w:tc>
          <w:tcPr>
            <w:tcW w:w="1134" w:type="dxa"/>
            <w:shd w:val="clear" w:color="auto" w:fill="FCE4D6"/>
            <w:textDirection w:val="btL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Organisation et gestion de données</w:t>
            </w:r>
          </w:p>
        </w:tc>
        <w:tc>
          <w:tcPr>
            <w:tcW w:w="2914" w:type="dxa"/>
          </w:tcPr>
          <w:p>
            <w:pPr>
              <w:spacing w:after="0"/>
              <w:jc w:val="center"/>
            </w:pPr>
            <w:r>
              <w:rPr>
                <w:color w:val="A6A6A6"/>
              </w:rPr>
              <w:t xml:space="preserve">—</w:t>
            </w:r>
          </w:p>
        </w:tc>
        <w:tc>
          <w:tcPr>
            <w:tcW w:w="2914" w:type="dxa"/>
          </w:tcPr>
          <w:p>
            <w:pPr>
              <w:numPr>
                <w:ilvl w:val="0"/>
                <w:numId w:val="1"/>
              </w:numPr>
              <w:spacing w:after="20"/>
            </w:pPr>
            <w:r>
              <w:t xml:space="preserve">Lecture et construction de diagrammes</w:t>
            </w:r>
          </w:p>
        </w:tc>
        <w:tc>
          <w:tcPr>
            <w:tcW w:w="2914" w:type="dxa"/>
          </w:tcPr>
          <w:p>
            <w:pPr>
              <w:numPr>
                <w:ilvl w:val="0"/>
                <w:numId w:val="1"/>
              </w:numPr>
              <w:spacing w:after="20"/>
            </w:pPr>
            <w:r>
              <w:t xml:space="preserve">Moyenne</w:t>
            </w:r>
          </w:p>
        </w:tc>
        <w:tc>
          <w:tcPr>
            <w:tcW w:w="2914" w:type="dxa"/>
          </w:tcPr>
          <w:p>
            <w:pPr>
              <w:numPr>
                <w:ilvl w:val="0"/>
                <w:numId w:val="1"/>
              </w:numPr>
              <w:spacing w:after="20"/>
            </w:pPr>
            <w:r>
              <w:t xml:space="preserve">Probabilités : vocabulaire</w:t>
            </w:r>
          </w:p>
        </w:tc>
        <w:tc>
          <w:tcPr>
            <w:tcW w:w="2914" w:type="dxa"/>
          </w:tcPr>
          <w:p>
            <w:pPr>
              <w:spacing w:after="0"/>
              <w:jc w:val="center"/>
            </w:pPr>
            <w:r>
              <w:rPr>
                <w:color w:val="A6A6A6"/>
              </w:rPr>
              <w:t xml:space="preserve">—</w:t>
            </w:r>
          </w:p>
        </w:tc>
      </w:tr>
      <w:tr>
        <w:trPr>
          <w:cantSplit/>
          <w:trHeight w:val="1361" w:hRule="atLeast"/>
        </w:trPr>
        <w:tc>
          <w:tcPr>
            <w:tcW w:w="1134" w:type="dxa"/>
            <w:shd w:val="clear" w:color="auto" w:fill="EDEDED"/>
            <w:textDirection w:val="btL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Algorithmique et programmation</w:t>
            </w:r>
          </w:p>
        </w:tc>
        <w:tc>
          <w:tcPr>
            <w:tcW w:w="2914" w:type="dxa"/>
          </w:tcPr>
          <w:p>
            <w:pPr>
              <w:numPr>
                <w:ilvl w:val="0"/>
                <w:numId w:val="1"/>
              </w:numPr>
              <w:spacing w:after="20"/>
            </w:pPr>
            <w:r>
              <w:t xml:space="preserve">Scratch : déplacements</w:t>
            </w:r>
          </w:p>
        </w:tc>
        <w:tc>
          <w:tcPr>
            <w:tcW w:w="2914" w:type="dxa"/>
          </w:tcPr>
          <w:p>
            <w:pPr>
              <w:spacing w:after="0"/>
              <w:jc w:val="center"/>
            </w:pPr>
            <w:r>
              <w:rPr>
                <w:color w:val="A6A6A6"/>
              </w:rPr>
              <w:t xml:space="preserve">—</w:t>
            </w:r>
          </w:p>
        </w:tc>
        <w:tc>
          <w:tcPr>
            <w:tcW w:w="2914" w:type="dxa"/>
          </w:tcPr>
          <w:p>
            <w:pPr>
              <w:numPr>
                <w:ilvl w:val="0"/>
                <w:numId w:val="1"/>
              </w:numPr>
              <w:spacing w:after="20"/>
            </w:pPr>
            <w:r>
              <w:t xml:space="preserve">Boucles et conditions</w:t>
            </w:r>
          </w:p>
        </w:tc>
        <w:tc>
          <w:tcPr>
            <w:tcW w:w="2914" w:type="dxa"/>
          </w:tcPr>
          <w:p>
            <w:pPr>
              <w:spacing w:after="0"/>
              <w:jc w:val="center"/>
            </w:pPr>
            <w:r>
              <w:rPr>
                <w:color w:val="A6A6A6"/>
              </w:rPr>
              <w:t xml:space="preserve">—</w:t>
            </w:r>
          </w:p>
        </w:tc>
        <w:tc>
          <w:tcPr>
            <w:tcW w:w="2914" w:type="dxa"/>
          </w:tcPr>
          <w:p>
            <w:pPr>
              <w:numPr>
                <w:ilvl w:val="0"/>
                <w:numId w:val="1"/>
              </w:numPr>
              <w:spacing w:after="20"/>
            </w:pPr>
            <w:r>
              <w:t xml:space="preserve">Projet : jeu de labyrinthe</w:t>
            </w:r>
          </w:p>
        </w:tc>
      </w:tr>
      <w:tr>
        <w:trPr>
          <w:cantSplit/>
        </w:trPr>
        <w:tc>
          <w:tcPr>
            <w:tcW w:w="1134" w:type="dxa"/>
            <w:shd w:val="clear" w:color="auto" w:fill="D9D9D9"/>
            <w:textDirection w:val="btL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Évaluations</w:t>
            </w:r>
          </w:p>
        </w:tc>
        <w:tc>
          <w:tcPr>
            <w:tcW w:w="2914" w:type="dxa"/>
          </w:tcPr>
          <w:tbl>
            <w:tblPr>
              <w:tblW w:w="2495" w:type="dxa"/>
              <w:tblBorders>
                <w:top w:val="single" w:sz="2" w:space="0" w:color="A6A6A6"/>
                <w:left w:val="single" w:sz="2" w:space="0" w:color="A6A6A6"/>
                <w:bottom w:val="single" w:sz="2" w:space="0" w:color="A6A6A6"/>
                <w:right w:val="single" w:sz="2" w:space="0" w:color="A6A6A6"/>
                <w:insideH w:val="single" w:sz="2" w:space="0" w:color="A6A6A6"/>
                <w:insideV w:val="single" w:sz="2" w:space="0" w:color="A6A6A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74"/>
              <w:gridCol w:w="1021"/>
            </w:tblGrid>
            <w:tr>
              <w:tc>
                <w:tcPr>
                  <w:tcW w:w="1474" w:type="dxa"/>
                  <w:shd w:val="clear" w:color="auto" w:fill="F2F2F2"/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Type</w:t>
                  </w:r>
                </w:p>
              </w:tc>
              <w:tc>
                <w:tcPr>
                  <w:tcW w:w="1021" w:type="dxa"/>
                  <w:shd w:val="clear" w:color="auto" w:fill="F2F2F2"/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Sem.</w:t>
                  </w:r>
                </w:p>
              </w:tc>
            </w:tr>
            <w:tr>
              <w:tc>
                <w:tcPr>
                  <w:tcW w:w="1474" w:type="dxa"/>
                </w:tcPr>
                <w:p>
                  <w:pPr>
                    <w:spacing w:after="0"/>
                  </w:pPr>
                  <w:r>
                    <w:rPr>
                      <w:sz w:val="16"/>
                      <w:szCs w:val="16"/>
                    </w:rPr>
                    <w:t xml:space="preserve">Contrôle</w:t>
                  </w:r>
                </w:p>
              </w:tc>
              <w:tc>
                <w:tcPr>
                  <w:tcW w:w="1021" w:type="dxa"/>
                </w:tcPr>
                <w:p>
                  <w:pPr>
                    <w:spacing w:after="0"/>
                  </w:pPr>
                  <w:r>
                    <w:rPr>
                      <w:sz w:val="16"/>
                      <w:szCs w:val="16"/>
                    </w:rPr>
                    <w:t xml:space="preserve">S6</w:t>
                  </w:r>
                </w:p>
              </w:tc>
            </w:tr>
            <w:tr>
              <w:tc>
                <w:tcPr>
                  <w:tcW w:w="1474" w:type="dxa"/>
                </w:tcPr>
                <w:p>
                  <w:pPr>
                    <w:spacing w:after="0"/>
                  </w:pPr>
                  <w:r>
                    <w:rPr>
                      <w:sz w:val="16"/>
                      <w:szCs w:val="16"/>
                    </w:rPr>
                    <w:t xml:space="preserve">Flash</w:t>
                  </w:r>
                </w:p>
              </w:tc>
              <w:tc>
                <w:tcPr>
                  <w:tcW w:w="1021" w:type="dxa"/>
                </w:tcPr>
                <w:p>
                  <w:pPr>
                    <w:spacing w:after="0"/>
                  </w:pPr>
                  <w:r>
                    <w:rPr>
                      <w:sz w:val="16"/>
                      <w:szCs w:val="16"/>
                    </w:rPr>
                    <w:t xml:space="preserve">chaque sem.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w="2914" w:type="dxa"/>
          </w:tcPr>
          <w:tbl>
            <w:tblPr>
              <w:tblW w:w="2495" w:type="dxa"/>
              <w:tblBorders>
                <w:top w:val="single" w:sz="2" w:space="0" w:color="A6A6A6"/>
                <w:left w:val="single" w:sz="2" w:space="0" w:color="A6A6A6"/>
                <w:bottom w:val="single" w:sz="2" w:space="0" w:color="A6A6A6"/>
                <w:right w:val="single" w:sz="2" w:space="0" w:color="A6A6A6"/>
                <w:insideH w:val="single" w:sz="2" w:space="0" w:color="A6A6A6"/>
                <w:insideV w:val="single" w:sz="2" w:space="0" w:color="A6A6A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74"/>
              <w:gridCol w:w="1021"/>
            </w:tblGrid>
            <w:tr>
              <w:tc>
                <w:tcPr>
                  <w:tcW w:w="1474" w:type="dxa"/>
                  <w:shd w:val="clear" w:color="auto" w:fill="F2F2F2"/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Type</w:t>
                  </w:r>
                </w:p>
              </w:tc>
              <w:tc>
                <w:tcPr>
                  <w:tcW w:w="1021" w:type="dxa"/>
                  <w:shd w:val="clear" w:color="auto" w:fill="F2F2F2"/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Sem.</w:t>
                  </w:r>
                </w:p>
              </w:tc>
            </w:tr>
            <w:tr>
              <w:tc>
                <w:tcPr>
                  <w:tcW w:w="1474" w:type="dxa"/>
                </w:tcPr>
                <w:p>
                  <w:pPr>
                    <w:spacing w:after="0"/>
                  </w:pPr>
                  <w:r>
                    <w:rPr>
                      <w:sz w:val="16"/>
                      <w:szCs w:val="16"/>
                    </w:rPr>
                    <w:t xml:space="preserve">Contrôle</w:t>
                  </w:r>
                </w:p>
              </w:tc>
              <w:tc>
                <w:tcPr>
                  <w:tcW w:w="1021" w:type="dxa"/>
                </w:tcPr>
                <w:p>
                  <w:pPr>
                    <w:spacing w:after="0"/>
                  </w:pPr>
                  <w:r>
                    <w:rPr>
                      <w:sz w:val="16"/>
                      <w:szCs w:val="16"/>
                    </w:rPr>
                    <w:t xml:space="preserve">S14</w:t>
                  </w:r>
                </w:p>
              </w:tc>
            </w:tr>
            <w:tr>
              <w:tc>
                <w:tcPr>
                  <w:tcW w:w="1474" w:type="dxa"/>
                </w:tcPr>
                <w:p>
                  <w:pPr>
                    <w:spacing w:after="0"/>
                  </w:pPr>
                  <w:r>
                    <w:rPr>
                      <w:sz w:val="16"/>
                      <w:szCs w:val="16"/>
                    </w:rPr>
                    <w:t xml:space="preserve">Flash</w:t>
                  </w:r>
                </w:p>
              </w:tc>
              <w:tc>
                <w:tcPr>
                  <w:tcW w:w="1021" w:type="dxa"/>
                </w:tcPr>
                <w:p>
                  <w:pPr>
                    <w:spacing w:after="0"/>
                  </w:pPr>
                  <w:r>
                    <w:rPr>
                      <w:sz w:val="16"/>
                      <w:szCs w:val="16"/>
                    </w:rPr>
                    <w:t xml:space="preserve">chaque sem.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w="2914" w:type="dxa"/>
          </w:tcPr>
          <w:tbl>
            <w:tblPr>
              <w:tblW w:w="2495" w:type="dxa"/>
              <w:tblBorders>
                <w:top w:val="single" w:sz="2" w:space="0" w:color="A6A6A6"/>
                <w:left w:val="single" w:sz="2" w:space="0" w:color="A6A6A6"/>
                <w:bottom w:val="single" w:sz="2" w:space="0" w:color="A6A6A6"/>
                <w:right w:val="single" w:sz="2" w:space="0" w:color="A6A6A6"/>
                <w:insideH w:val="single" w:sz="2" w:space="0" w:color="A6A6A6"/>
                <w:insideV w:val="single" w:sz="2" w:space="0" w:color="A6A6A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74"/>
              <w:gridCol w:w="1021"/>
            </w:tblGrid>
            <w:tr>
              <w:tc>
                <w:tcPr>
                  <w:tcW w:w="1474" w:type="dxa"/>
                  <w:shd w:val="clear" w:color="auto" w:fill="F2F2F2"/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Type</w:t>
                  </w:r>
                </w:p>
              </w:tc>
              <w:tc>
                <w:tcPr>
                  <w:tcW w:w="1021" w:type="dxa"/>
                  <w:shd w:val="clear" w:color="auto" w:fill="F2F2F2"/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Sem.</w:t>
                  </w:r>
                </w:p>
              </w:tc>
            </w:tr>
            <w:tr>
              <w:tc>
                <w:tcPr>
                  <w:tcW w:w="1474" w:type="dxa"/>
                </w:tcPr>
                <w:p>
                  <w:pPr>
                    <w:spacing w:after="0"/>
                  </w:pPr>
                  <w:r>
                    <w:rPr>
                      <w:sz w:val="16"/>
                      <w:szCs w:val="16"/>
                    </w:rPr>
                    <w:t xml:space="preserve">Contrôle</w:t>
                  </w:r>
                </w:p>
              </w:tc>
              <w:tc>
                <w:tcPr>
                  <w:tcW w:w="1021" w:type="dxa"/>
                </w:tcPr>
                <w:p>
                  <w:pPr>
                    <w:spacing w:after="0"/>
                  </w:pPr>
                  <w:r>
                    <w:rPr>
                      <w:sz w:val="16"/>
                      <w:szCs w:val="16"/>
                    </w:rPr>
                    <w:t xml:space="preserve">S22</w:t>
                  </w:r>
                </w:p>
              </w:tc>
            </w:tr>
            <w:tr>
              <w:tc>
                <w:tcPr>
                  <w:tcW w:w="1474" w:type="dxa"/>
                </w:tcPr>
                <w:p>
                  <w:pPr>
                    <w:spacing w:after="0"/>
                  </w:pPr>
                  <w:r>
                    <w:rPr>
                      <w:sz w:val="16"/>
                      <w:szCs w:val="16"/>
                    </w:rPr>
                    <w:t xml:space="preserve">Flash</w:t>
                  </w:r>
                </w:p>
              </w:tc>
              <w:tc>
                <w:tcPr>
                  <w:tcW w:w="1021" w:type="dxa"/>
                </w:tcPr>
                <w:p>
                  <w:pPr>
                    <w:spacing w:after="0"/>
                  </w:pPr>
                  <w:r>
                    <w:rPr>
                      <w:sz w:val="16"/>
                      <w:szCs w:val="16"/>
                    </w:rPr>
                    <w:t xml:space="preserve">chaque sem.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w="2914" w:type="dxa"/>
          </w:tcPr>
          <w:tbl>
            <w:tblPr>
              <w:tblW w:w="2495" w:type="dxa"/>
              <w:tblBorders>
                <w:top w:val="single" w:sz="2" w:space="0" w:color="A6A6A6"/>
                <w:left w:val="single" w:sz="2" w:space="0" w:color="A6A6A6"/>
                <w:bottom w:val="single" w:sz="2" w:space="0" w:color="A6A6A6"/>
                <w:right w:val="single" w:sz="2" w:space="0" w:color="A6A6A6"/>
                <w:insideH w:val="single" w:sz="2" w:space="0" w:color="A6A6A6"/>
                <w:insideV w:val="single" w:sz="2" w:space="0" w:color="A6A6A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74"/>
              <w:gridCol w:w="1021"/>
            </w:tblGrid>
            <w:tr>
              <w:tc>
                <w:tcPr>
                  <w:tcW w:w="1474" w:type="dxa"/>
                  <w:shd w:val="clear" w:color="auto" w:fill="F2F2F2"/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Type</w:t>
                  </w:r>
                </w:p>
              </w:tc>
              <w:tc>
                <w:tcPr>
                  <w:tcW w:w="1021" w:type="dxa"/>
                  <w:shd w:val="clear" w:color="auto" w:fill="F2F2F2"/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Sem.</w:t>
                  </w:r>
                </w:p>
              </w:tc>
            </w:tr>
            <w:tr>
              <w:tc>
                <w:tcPr>
                  <w:tcW w:w="1474" w:type="dxa"/>
                </w:tcPr>
                <w:p>
                  <w:pPr>
                    <w:spacing w:after="0"/>
                  </w:pPr>
                  <w:r>
                    <w:rPr>
                      <w:sz w:val="16"/>
                      <w:szCs w:val="16"/>
                    </w:rPr>
                    <w:t xml:space="preserve">Contrôle</w:t>
                  </w:r>
                </w:p>
              </w:tc>
              <w:tc>
                <w:tcPr>
                  <w:tcW w:w="1021" w:type="dxa"/>
                </w:tcPr>
                <w:p>
                  <w:pPr>
                    <w:spacing w:after="0"/>
                  </w:pPr>
                  <w:r>
                    <w:rPr>
                      <w:sz w:val="16"/>
                      <w:szCs w:val="16"/>
                    </w:rPr>
                    <w:t xml:space="preserve">S30</w:t>
                  </w:r>
                </w:p>
              </w:tc>
            </w:tr>
            <w:tr>
              <w:tc>
                <w:tcPr>
                  <w:tcW w:w="1474" w:type="dxa"/>
                </w:tcPr>
                <w:p>
                  <w:pPr>
                    <w:spacing w:after="0"/>
                  </w:pPr>
                  <w:r>
                    <w:rPr>
                      <w:sz w:val="16"/>
                      <w:szCs w:val="16"/>
                    </w:rPr>
                    <w:t xml:space="preserve">Flash</w:t>
                  </w:r>
                </w:p>
              </w:tc>
              <w:tc>
                <w:tcPr>
                  <w:tcW w:w="1021" w:type="dxa"/>
                </w:tcPr>
                <w:p>
                  <w:pPr>
                    <w:spacing w:after="0"/>
                  </w:pPr>
                  <w:r>
                    <w:rPr>
                      <w:sz w:val="16"/>
                      <w:szCs w:val="16"/>
                    </w:rPr>
                    <w:t xml:space="preserve">chaque sem.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w="2914" w:type="dxa"/>
          </w:tcPr>
          <w:tbl>
            <w:tblPr>
              <w:tblW w:w="2495" w:type="dxa"/>
              <w:tblBorders>
                <w:top w:val="single" w:sz="2" w:space="0" w:color="A6A6A6"/>
                <w:left w:val="single" w:sz="2" w:space="0" w:color="A6A6A6"/>
                <w:bottom w:val="single" w:sz="2" w:space="0" w:color="A6A6A6"/>
                <w:right w:val="single" w:sz="2" w:space="0" w:color="A6A6A6"/>
                <w:insideH w:val="single" w:sz="2" w:space="0" w:color="A6A6A6"/>
                <w:insideV w:val="single" w:sz="2" w:space="0" w:color="A6A6A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74"/>
              <w:gridCol w:w="1021"/>
            </w:tblGrid>
            <w:tr>
              <w:tc>
                <w:tcPr>
                  <w:tcW w:w="1474" w:type="dxa"/>
                  <w:shd w:val="clear" w:color="auto" w:fill="F2F2F2"/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Type</w:t>
                  </w:r>
                </w:p>
              </w:tc>
              <w:tc>
                <w:tcPr>
                  <w:tcW w:w="1021" w:type="dxa"/>
                  <w:shd w:val="clear" w:color="auto" w:fill="F2F2F2"/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Sem.</w:t>
                  </w:r>
                </w:p>
              </w:tc>
            </w:tr>
            <w:tr>
              <w:tc>
                <w:tcPr>
                  <w:tcW w:w="1474" w:type="dxa"/>
                </w:tcPr>
                <w:p>
                  <w:pPr>
                    <w:spacing w:after="0"/>
                  </w:pPr>
                  <w:r>
                    <w:rPr>
                      <w:sz w:val="16"/>
                      <w:szCs w:val="16"/>
                    </w:rPr>
                    <w:t xml:space="preserve">Contrôle</w:t>
                  </w:r>
                </w:p>
              </w:tc>
              <w:tc>
                <w:tcPr>
                  <w:tcW w:w="1021" w:type="dxa"/>
                </w:tcPr>
                <w:p>
                  <w:pPr>
                    <w:spacing w:after="0"/>
                  </w:pPr>
                  <w:r>
                    <w:rPr>
                      <w:sz w:val="16"/>
                      <w:szCs w:val="16"/>
                    </w:rPr>
                    <w:t xml:space="preserve">S38</w:t>
                  </w:r>
                </w:p>
              </w:tc>
            </w:tr>
            <w:tr>
              <w:tc>
                <w:tcPr>
                  <w:tcW w:w="1474" w:type="dxa"/>
                </w:tcPr>
                <w:p>
                  <w:pPr>
                    <w:spacing w:after="0"/>
                  </w:pPr>
                  <w:r>
                    <w:rPr>
                      <w:sz w:val="16"/>
                      <w:szCs w:val="16"/>
                    </w:rPr>
                    <w:t xml:space="preserve">Flash</w:t>
                  </w:r>
                </w:p>
              </w:tc>
              <w:tc>
                <w:tcPr>
                  <w:tcW w:w="1021" w:type="dxa"/>
                </w:tcPr>
                <w:p>
                  <w:pPr>
                    <w:spacing w:after="0"/>
                  </w:pPr>
                  <w:r>
                    <w:rPr>
                      <w:sz w:val="16"/>
                      <w:szCs w:val="16"/>
                    </w:rPr>
                    <w:t xml:space="preserve">chaque sem.</w:t>
                  </w:r>
                </w:p>
              </w:tc>
            </w:tr>
          </w:tbl>
          <w:p>
            <w:pPr>
              <w:spacing w:after="0"/>
            </w:pPr>
          </w:p>
        </w:tc>
      </w:tr>
    </w:tbl>
    <w:p>
      <w:pPr>
        <w:spacing w:before="120"/>
      </w:pPr>
      <w:r>
        <w:t xml:space="preserve">Les automatismes (calcul mental, questions flash) sont travaillés </w:t>
      </w:r>
      <w:r>
        <w:rPr>
          <w:b/>
          <w:bCs/>
        </w:rPr>
        <w:t xml:space="preserve">chaque semaine</w:t>
      </w:r>
      <w:r>
        <w:t xml:space="preserve"> en début de séance</w:t>
      </w:r>
      <w:r>
        <w:rPr>
          <w:rStyle w:val="Appelnotedebasdep"/>
        </w:rPr>
        <w:footnoteReference w:id="1"/>
      </w:r>
      <w:r>
        <w:t xml:space="preserve">.</w:t>
      </w:r>
    </w:p>
    <w:p>
      <w:pPr>
        <w:sectPr>
          <w:headerReference w:type="default" r:id="rId1"/>
          <w:footerReference w:type="default" r:id="rId4"/>
          <w:pgSz w:w="16838" w:h="11906" w:orient="landscape"/>
          <w:pgMar w:top="850" w:right="567" w:bottom="737" w:left="567" w:header="340" w:footer="340" w:gutter="0"/>
          <w:cols w:space="708"/>
          <w:docGrid w:linePitch="360"/>
        </w:sectPr>
      </w:pPr>
    </w:p>
    <w:p>
      <w:pPr>
        <w:pStyle w:val="Titre1"/>
      </w:pPr>
      <w:r>
        <w:t xml:space="preserve">Nombre de semaines consacrées à chaque domaine</w:t>
      </w:r>
    </w:p>
    <w:p>
      <w:pPr>
        <w:jc w:val="center"/>
      </w:pPr>
      <w:r>
        <w:drawing>
          <wp:inline distT="0" distB="0" distL="0" distR="0">
            <wp:extent cx="5760000" cy="3240000"/>
            <wp:effectExtent l="0" t="0" r="0" b="0"/>
            <wp:docPr id="1" name="Graphique 1"/>
            <wp:cNvGraphicFramePr/>
            <a:graphic>
              <a:graphicData uri="http://schemas.openxmlformats.org/drawingml/2006/chart">
                <c:chart r:id="rId11"/>
              </a:graphicData>
            </a:graphic>
          </wp:inline>
        </w:drawing>
      </w:r>
    </w:p>
    <w:p>
      <w:pPr>
        <w:jc w:val="center"/>
      </w:pPr>
      <w:r>
        <w:rPr>
          <w:i/>
          <w:iCs/>
        </w:rPr>
        <w:t xml:space="preserve">Total : 36 semaines effectives, hors semaines d’évaluations communes.</w:t>
      </w:r>
    </w:p>
    <w:sectPr>
      <w:headerReference w:type="default" r:id="rId9"/>
      <w:footerReference w:type="default" r:id="rId10"/>
      <w:pgSz w:w="11906" w:h="16838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libri">
    <w:panose1 w:val="020F0502020204030204"/>
    <w:charset w:val="00"/>
    <w:family w:val="swiss"/>
    <w:pitch w:val="variable"/>
  </w:font>
  <w:font w:name="Calibri Light">
    <w:panose1 w:val="020F0302020204030204"/>
    <w:charset w:val="00"/>
    <w:family w:val="swiss"/>
    <w:pitch w:val="variable"/>
  </w:font>
  <w:font w:name="Cambria Math">
    <w:panose1 w:val="020405030504060302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  <w:font w:name="Symbol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Wingding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5706"/>
      </w:tabs>
    </w:pPr>
    <w:r>
      <w:rPr>
        <w:i/>
        <w:iCs/>
        <w:sz w:val="16"/>
        <w:szCs w:val="16"/>
      </w:rPr>
      <w:t xml:space="preserve">Progression établie en conseil pédagogique de mathématiques (version du 2 septembre 2025)</w:t>
    </w:r>
    <w:r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 xml:space="preserve">1</w:t>
    </w:r>
    <w:r>
      <w:rPr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9639"/>
      </w:tabs>
    </w:pPr>
    <w:r>
      <w:rPr>
        <w:i/>
        <w:iCs/>
        <w:sz w:val="16"/>
        <w:szCs w:val="16"/>
      </w:rPr>
      <w:t xml:space="preserve">Mathématiques 5e</w:t>
    </w:r>
    <w:r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 xml:space="preserve"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t xml:space="preserve">Conformément aux repères annuels de progression du cycle 4 (version 2019) et aux recommandations sur les automatismes.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pBdr>
        <w:bottom w:val="thinThickSmallGap" w:sz="12" w:space="1" w:color="002060"/>
      </w:pBdr>
      <w:tabs>
        <w:tab w:val="clear" w:pos="4536"/>
        <w:tab w:val="clear" w:pos="9072"/>
        <w:tab w:val="right" w:pos="15706"/>
      </w:tabs>
    </w:pPr>
    <w:r>
      <w:rPr>
        <w:b/>
        <w:bCs/>
        <w:color w:val="002060"/>
        <w:sz w:val="22"/>
        <w:szCs w:val="22"/>
      </w:rPr>
      <w:t xml:space="preserve">Progression annuelle – Mathématiques – 5e</w:t>
    </w:r>
    <w:r>
      <w:tab/>
    </w:r>
    <w:r>
      <w:rPr>
        <w:sz w:val="18"/>
        <w:szCs w:val="18"/>
      </w:rPr>
      <w:t xml:space="preserve">Collège des Trois-Rivières – 2025-2026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pBdr>
        <w:bottom w:val="thinThickSmallGap" w:sz="12" w:space="1" w:color="002060"/>
      </w:pBdr>
      <w:tabs>
        <w:tab w:val="clear" w:pos="4536"/>
        <w:tab w:val="clear" w:pos="9072"/>
        <w:tab w:val="right" w:pos="9639"/>
      </w:tabs>
    </w:pPr>
    <w:r>
      <w:rPr>
        <w:b/>
        <w:bCs/>
        <w:color w:val="002060"/>
        <w:sz w:val="22"/>
        <w:szCs w:val="22"/>
      </w:rPr>
      <w:t xml:space="preserve">Progression annuelle – Mathématiques – 5e</w:t>
    </w:r>
    <w:r>
      <w:tab/>
    </w:r>
    <w:r>
      <w:rPr>
        <w:sz w:val="18"/>
        <w:szCs w:val="18"/>
      </w:rPr>
      <w:t xml:space="preserve">2025-2026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–"/>
      <w:lvlJc w:val="left"/>
      <w:pPr>
        <w:ind w:left="170" w:hanging="170"/>
      </w:pPr>
      <w:rPr>
        <w:rFonts w:ascii="Calibri" w:hAnsi="Calibri" w:hint="default"/>
      </w:rPr>
    </w:lvl>
    <w:lvl w:ilvl="1">
      <w:start w:val="1"/>
      <w:numFmt w:val="bullet"/>
      <w:lvlText w:val="–"/>
      <w:lvlJc w:val="left"/>
      <w:pPr>
        <w:ind w:left="890" w:hanging="170"/>
      </w:pPr>
      <w:rPr>
        <w:rFonts w:ascii="Calibri" w:hAnsi="Calibri" w:hint="default"/>
      </w:rPr>
    </w:lvl>
    <w:lvl w:ilvl="2">
      <w:start w:val="1"/>
      <w:numFmt w:val="bullet"/>
      <w:lvlText w:val="–"/>
      <w:lvlJc w:val="left"/>
      <w:pPr>
        <w:ind w:left="1610" w:hanging="170"/>
      </w:pPr>
      <w:rPr>
        <w:rFonts w:ascii="Calibri" w:hAnsi="Calibri" w:hint="default"/>
      </w:rPr>
    </w:lvl>
    <w:lvl w:ilvl="3">
      <w:start w:val="1"/>
      <w:numFmt w:val="bullet"/>
      <w:lvlText w:val="–"/>
      <w:lvlJc w:val="left"/>
      <w:pPr>
        <w:ind w:left="2330" w:hanging="170"/>
      </w:pPr>
      <w:rPr>
        <w:rFonts w:ascii="Calibri" w:hAnsi="Calibri" w:hint="default"/>
      </w:rPr>
    </w:lvl>
    <w:lvl w:ilvl="4">
      <w:start w:val="1"/>
      <w:numFmt w:val="bullet"/>
      <w:lvlText w:val="–"/>
      <w:lvlJc w:val="left"/>
      <w:pPr>
        <w:ind w:left="3050" w:hanging="170"/>
      </w:pPr>
      <w:rPr>
        <w:rFonts w:ascii="Calibri" w:hAnsi="Calibri" w:hint="default"/>
      </w:rPr>
    </w:lvl>
    <w:lvl w:ilvl="5">
      <w:start w:val="1"/>
      <w:numFmt w:val="bullet"/>
      <w:lvlText w:val="–"/>
      <w:lvlJc w:val="left"/>
      <w:pPr>
        <w:ind w:left="3770" w:hanging="170"/>
      </w:pPr>
      <w:rPr>
        <w:rFonts w:ascii="Calibri" w:hAnsi="Calibri" w:hint="default"/>
      </w:rPr>
    </w:lvl>
    <w:lvl w:ilvl="6">
      <w:start w:val="1"/>
      <w:numFmt w:val="bullet"/>
      <w:lvlText w:val="–"/>
      <w:lvlJc w:val="left"/>
      <w:pPr>
        <w:ind w:left="4490" w:hanging="170"/>
      </w:pPr>
      <w:rPr>
        <w:rFonts w:ascii="Calibri" w:hAnsi="Calibri" w:hint="default"/>
      </w:rPr>
    </w:lvl>
    <w:lvl w:ilvl="7">
      <w:start w:val="1"/>
      <w:numFmt w:val="bullet"/>
      <w:lvlText w:val="–"/>
      <w:lvlJc w:val="left"/>
      <w:pPr>
        <w:ind w:left="5210" w:hanging="170"/>
      </w:pPr>
      <w:rPr>
        <w:rFonts w:ascii="Calibri" w:hAnsi="Calibri" w:hint="default"/>
      </w:rPr>
    </w:lvl>
    <w:lvl w:ilvl="8">
      <w:start w:val="1"/>
      <w:numFmt w:val="bullet"/>
      <w:lvlText w:val="–"/>
      <w:lvlJc w:val="left"/>
      <w:pPr>
        <w:ind w:left="5930" w:hanging="170"/>
      </w:pPr>
      <w:rPr>
        <w:rFonts w:ascii="Calibri" w:hAnsi="Calibri" w:hint="default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Times New Roman" w:eastAsia="Times New Roman" w:hAnsi="Times New Roman" w:cs="Times New Roman"/>
        <w:kern w:val="2"/>
        <w:sz w:val="20"/>
        <w:szCs w:val="20"/>
        <w:lang w:val="fr-FR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120" w:after="80"/>
      <w:outlineLvl w:val="0"/>
    </w:pPr>
    <w:rPr>
      <w:rFonts w:ascii="Times New Roman" w:hAnsi="Times New Roman" w:eastAsia="Times New Roman" w:cs="Times New Roman"/>
      <w:b/>
      <w:bCs/>
      <w:color w:val="002060"/>
      <w:sz w:val="26"/>
      <w:szCs w:val="26"/>
    </w:rPr>
  </w:style>
  <w:style w:type="character" w:styleId="Titre1Car">
    <w:name w:val="Titre 1 Car"/>
    <w:basedOn w:val="Policepardfaut"/>
    <w:link w:val="Titre1"/>
    <w:uiPriority w:val="9"/>
    <w:rPr>
      <w:rFonts w:ascii="Times New Roman" w:hAnsi="Times New Roman" w:eastAsia="Times New Roman" w:cs="Times New Roman"/>
      <w:b/>
      <w:bCs/>
      <w:color w:val="002060"/>
      <w:sz w:val="26"/>
      <w:szCs w:val="26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Theme="majorEastAsia" w:cstheme="majorBidi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Theme="majorEastAsia" w:cstheme="majorBidi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Theme="majorEastAsia" w:cstheme="majorBidi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chart" Target="charts/chart1.xml"/><Relationship Id="rId12" Type="http://schemas.openxmlformats.org/officeDocument/2006/relationships/footnotes" Target="footnotes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fr-FR"/>
  <c:roundedCorners val="0"/>
  <c:chart>
    <c:title>
      <c:tx>
        <c:rich>
          <a:bodyPr/>
          <a:lstStyle/>
          <a:p>
            <a:pPr>
              <a:defRPr sz="1200" b="1"/>
            </a:pPr>
            <a:r>
              <a:rPr lang="fr-FR" sz="1200" b="1"/>
              <a:t>Semaines par domaine et par période</a:t>
            </a:r>
          </a:p>
        </c:rich>
      </c:tx>
      <c:overlay val="0"/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Nombres et calculs</c:v>
                </c:pt>
              </c:strCache>
            </c:strRef>
          </c:tx>
          <c:spPr>
            <a:solidFill>
              <a:srgbClr val="4472C4"/>
            </a:solidFill>
          </c:spPr>
          <c:invertIfNegative val="0"/>
          <c:cat>
            <c:strRef>
              <c:f>Feuil1!$A$2:$A$6</c:f>
              <c:strCache>
                <c:ptCount val="5"/>
                <c:pt idx="0">
                  <c:v>P1</c:v>
                </c:pt>
                <c:pt idx="1">
                  <c:v>P2</c:v>
                </c:pt>
                <c:pt idx="2">
                  <c:v>P3</c:v>
                </c:pt>
                <c:pt idx="3">
                  <c:v>P4</c:v>
                </c:pt>
                <c:pt idx="4">
                  <c:v>P5</c:v>
                </c:pt>
              </c:strCache>
            </c:strRef>
          </c:cat>
          <c:val>
            <c:numRef>
              <c:f>Feuil1!$B$2:$B$6</c:f>
              <c:numCache>
                <c:formatCode>General</c:formatCode>
                <c:ptCount val="5"/>
                <c:pt idx="0">
                  <c:v>3</c:v>
                </c:pt>
                <c:pt idx="1">
                  <c:v>3</c:v>
                </c:pt>
                <c:pt idx="2">
                  <c:v>2</c:v>
                </c:pt>
                <c:pt idx="3">
                  <c:v>3</c:v>
                </c:pt>
                <c:pt idx="4">
                  <c:v>2</c:v>
                </c:pt>
              </c:numCache>
            </c:numRef>
          </c:val>
        </c:ser>
        <c:ser>
          <c:idx val="1"/>
          <c:order val="1"/>
          <c:tx>
            <c:strRef>
              <c:f>Feuil1!$C$1</c:f>
              <c:strCache>
                <c:ptCount val="1"/>
                <c:pt idx="0">
                  <c:v>Grandeurs et mesures</c:v>
                </c:pt>
              </c:strCache>
            </c:strRef>
          </c:tx>
          <c:spPr>
            <a:solidFill>
              <a:srgbClr val="ED7D31"/>
            </a:solidFill>
          </c:spPr>
          <c:invertIfNegative val="0"/>
          <c:cat>
            <c:strRef>
              <c:f>Feuil1!$A$2:$A$6</c:f>
              <c:strCache>
                <c:ptCount val="5"/>
                <c:pt idx="0">
                  <c:v>P1</c:v>
                </c:pt>
                <c:pt idx="1">
                  <c:v>P2</c:v>
                </c:pt>
                <c:pt idx="2">
                  <c:v>P3</c:v>
                </c:pt>
                <c:pt idx="3">
                  <c:v>P4</c:v>
                </c:pt>
                <c:pt idx="4">
                  <c:v>P5</c:v>
                </c:pt>
              </c:strCache>
            </c:strRef>
          </c:cat>
          <c:val>
            <c:numRef>
              <c:f>Feuil1!$C$2:$C$6</c:f>
              <c:numCache>
                <c:formatCode>General</c:formatCode>
                <c:ptCount val="5"/>
                <c:pt idx="0">
                  <c:v>1</c:v>
                </c:pt>
                <c:pt idx="1">
                  <c:v>2</c:v>
                </c:pt>
                <c:pt idx="2">
                  <c:v>2</c:v>
                </c:pt>
                <c:pt idx="3">
                  <c:v>2</c:v>
                </c:pt>
                <c:pt idx="4">
                  <c:v>1</c:v>
                </c:pt>
              </c:numCache>
            </c:numRef>
          </c:val>
        </c:ser>
        <c:ser>
          <c:idx val="2"/>
          <c:order val="2"/>
          <c:tx>
            <c:strRef>
              <c:f>Feuil1!$D$1</c:f>
              <c:strCache>
                <c:ptCount val="1"/>
                <c:pt idx="0">
                  <c:v>Espace et géométrie</c:v>
                </c:pt>
              </c:strCache>
            </c:strRef>
          </c:tx>
          <c:spPr>
            <a:solidFill>
              <a:srgbClr val="A5A5A5"/>
            </a:solidFill>
          </c:spPr>
          <c:invertIfNegative val="0"/>
          <c:cat>
            <c:strRef>
              <c:f>Feuil1!$A$2:$A$6</c:f>
              <c:strCache>
                <c:ptCount val="5"/>
                <c:pt idx="0">
                  <c:v>P1</c:v>
                </c:pt>
                <c:pt idx="1">
                  <c:v>P2</c:v>
                </c:pt>
                <c:pt idx="2">
                  <c:v>P3</c:v>
                </c:pt>
                <c:pt idx="3">
                  <c:v>P4</c:v>
                </c:pt>
                <c:pt idx="4">
                  <c:v>P5</c:v>
                </c:pt>
              </c:strCache>
            </c:strRef>
          </c:cat>
          <c:val>
            <c:numRef>
              <c:f>Feuil1!$D$2:$D$6</c:f>
              <c:numCache>
                <c:formatCode>General</c:formatCode>
                <c:ptCount val="5"/>
                <c:pt idx="0">
                  <c:v>3</c:v>
                </c:pt>
                <c:pt idx="1">
                  <c:v>2</c:v>
                </c:pt>
                <c:pt idx="2">
                  <c:v>2</c:v>
                </c:pt>
                <c:pt idx="3">
                  <c:v>2</c:v>
                </c:pt>
                <c:pt idx="4">
                  <c:v>2</c:v>
                </c:pt>
              </c:numCache>
            </c:numRef>
          </c:val>
        </c:ser>
        <c:ser>
          <c:idx val="3"/>
          <c:order val="3"/>
          <c:tx>
            <c:strRef>
              <c:f>Feuil1!$E$1</c:f>
              <c:strCache>
                <c:ptCount val="1"/>
                <c:pt idx="0">
                  <c:v>Données</c:v>
                </c:pt>
              </c:strCache>
            </c:strRef>
          </c:tx>
          <c:spPr>
            <a:solidFill>
              <a:srgbClr val="FFC000"/>
            </a:solidFill>
          </c:spPr>
          <c:invertIfNegative val="0"/>
          <c:cat>
            <c:strRef>
              <c:f>Feuil1!$A$2:$A$6</c:f>
              <c:strCache>
                <c:ptCount val="5"/>
                <c:pt idx="0">
                  <c:v>P1</c:v>
                </c:pt>
                <c:pt idx="1">
                  <c:v>P2</c:v>
                </c:pt>
                <c:pt idx="2">
                  <c:v>P3</c:v>
                </c:pt>
                <c:pt idx="3">
                  <c:v>P4</c:v>
                </c:pt>
                <c:pt idx="4">
                  <c:v>P5</c:v>
                </c:pt>
              </c:strCache>
            </c:strRef>
          </c:cat>
          <c:val>
            <c:numRef>
              <c:f>Feuil1!$E$2:$E$6</c:f>
              <c:numCache>
                <c:formatCode>General</c:formatCode>
                <c:ptCount val="5"/>
                <c:pt idx="0">
                  <c:v>0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0</c:v>
                </c:pt>
              </c:numCache>
            </c:numRef>
          </c:val>
        </c:ser>
        <c:ser>
          <c:idx val="4"/>
          <c:order val="4"/>
          <c:tx>
            <c:strRef>
              <c:f>Feuil1!$F$1</c:f>
              <c:strCache>
                <c:ptCount val="1"/>
                <c:pt idx="0">
                  <c:v>Algorithmique</c:v>
                </c:pt>
              </c:strCache>
            </c:strRef>
          </c:tx>
          <c:spPr>
            <a:solidFill>
              <a:srgbClr val="5B9BD5"/>
            </a:solidFill>
          </c:spPr>
          <c:invertIfNegative val="0"/>
          <c:cat>
            <c:strRef>
              <c:f>Feuil1!$A$2:$A$6</c:f>
              <c:strCache>
                <c:ptCount val="5"/>
                <c:pt idx="0">
                  <c:v>P1</c:v>
                </c:pt>
                <c:pt idx="1">
                  <c:v>P2</c:v>
                </c:pt>
                <c:pt idx="2">
                  <c:v>P3</c:v>
                </c:pt>
                <c:pt idx="3">
                  <c:v>P4</c:v>
                </c:pt>
                <c:pt idx="4">
                  <c:v>P5</c:v>
                </c:pt>
              </c:strCache>
            </c:strRef>
          </c:cat>
          <c:val>
            <c:numRef>
              <c:f>Feuil1!$F$2:$F$6</c:f>
              <c:numCache>
                <c:formatCode>General</c:formatCode>
                <c:ptCount val="5"/>
                <c:pt idx="0">
                  <c:v>1</c:v>
                </c:pt>
                <c:pt idx="1">
                  <c:v>0</c:v>
                </c:pt>
                <c:pt idx="2">
                  <c:v>1</c:v>
                </c:pt>
                <c:pt idx="3">
                  <c:v>0</c:v>
                </c:pt>
                <c:pt idx="4">
                  <c:v>2</c:v>
                </c:pt>
              </c:numCache>
            </c:numRef>
          </c:val>
        </c:ser>
        <c:gapWidth val="150"/>
        <c:overlap val="100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txPr>
          <a:bodyPr/>
          <a:lstStyle/>
          <a:p>
            <a:pPr>
              <a:defRPr sz="900">
                <a:solidFill>
                  <a:srgbClr val="595959"/>
                </a:solidFill>
              </a:defRPr>
            </a:pPr>
            <a:endParaRPr lang="fr-FR"/>
          </a:p>
        </c:txPr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txPr>
          <a:bodyPr/>
          <a:lstStyle/>
          <a:p>
            <a:pPr>
              <a:defRPr sz="900">
                <a:solidFill>
                  <a:srgbClr val="595959"/>
                </a:solidFill>
              </a:defRPr>
            </a:pPr>
            <a:endParaRPr lang="fr-FR"/>
          </a:p>
        </c:txPr>
        <c:crossAx val="50010001"/>
        <c:crosses val="autoZero"/>
        <c:crossBetween val="between"/>
      </c:valAx>
    </c:plotArea>
    <c:legend>
      <c:legendPos val="b"/>
      <c:overlay val="0"/>
      <c:txPr>
        <a:bodyPr/>
        <a:lstStyle/>
        <a:p>
          <a:pPr>
            <a:defRPr sz="900">
              <a:solidFill>
                <a:srgbClr val="595959"/>
              </a:solidFill>
            </a:defRPr>
          </a:pPr>
          <a:endParaRPr lang="fr-FR"/>
        </a:p>
      </c:txPr>
    </c:legend>
    <c:plotVisOnly val="1"/>
    <c:dispBlanksAs val="gap"/>
  </c:chart>
  <c:spPr>
    <a:solidFill>
      <a:srgbClr val="FFFFFF"/>
    </a:solidFill>
    <a:ln>
      <a:noFill/>
    </a:ln>
  </c:spPr>
  <c:txPr>
    <a:bodyPr/>
    <a:lstStyle/>
    <a:p>
      <a:pPr>
        <a:defRPr sz="1000">
          <a:solidFill>
            <a:srgbClr val="404040"/>
          </a:solidFill>
        </a:defRPr>
      </a:pPr>
      <a:endParaRPr lang="fr-FR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Progression annuelle – Mathématiques 5e</dc:title>
  <dc:subject>Mathématiques 5e</dc:subject>
  <dc:creator>Corpus provisoire ElixirOffice (contenu fictif)</dc:creator>
  <cp:keywords>progression; cycle 4; tableau</cp:keywords>
  <dc:description>Document genere - corpus provisoire, a remplacer par les documents reels.</dc:description>
  <cp:lastModifiedBy>Corpus provisoire ElixirOffice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