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Calibri" w:cs="Calibri" w:eastAsia="Calibri" w:hAnsi="Calibri"/>
          <w:b/>
          <w:bCs/>
          <w:color w:val="27AE60"/>
          <w:sz w:val="56"/>
          <w:szCs w:val="56"/>
        </w:rPr>
        <w:t xml:space="preserve">♻ EcoPuntos Pamplona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C3E50"/>
          <w:sz w:val="40"/>
          <w:szCs w:val="40"/>
        </w:rPr>
        <w:t xml:space="preserve">Mockups y Planificación de Interfaces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34495E"/>
          <w:sz w:val="28"/>
          <w:szCs w:val="28"/>
        </w:rPr>
        <w:t xml:space="preserve">Diseño de las vistas del sistema por rol de usuario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34495E"/>
          <w:sz w:val="22"/>
          <w:szCs w:val="22"/>
        </w:rPr>
        <w:t xml:space="preserve">Frontend Angular 22 · API FastAPI 0.142 · PostgreSQL 15 / PostGIS 3.3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Desarrollo Orientado a Plataformas · Universidad de Pamplona</w:t>
      </w:r>
    </w:p>
    <w:p>
      <w:r>
        <w:br w:type="page"/>
      </w:r>
    </w:p>
    <w:p>
      <w:pPr>
        <w:pStyle w:val="Heading1"/>
        <w:keepNext/>
        <w:pBdr>
          <w:bottom w:val="single" w:color="27AE6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3E50"/>
          <w:sz w:val="32"/>
          <w:szCs w:val="32"/>
        </w:rPr>
        <w:t xml:space="preserve">1. Introducción y Objetivo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documento presenta los mockups y la planificación de las interfaces de EcoPuntos Pamplona antes y durante el desarrollo del frontend en Angular. Su objetivo es definir, para cada rol del sistema, qué vistas existen, cómo se navega entre ellas, qué componente de Angular las implementa y qué endpoints de la API consume cada una.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diseñaron 18 vistas que cubren los elementos que se espera en una aplicación de este tipo: inicio de sesión, menú de navegación, listados, formularios, edición, detalle y diferenciación por roles (Invitado, Ciudadano, Gestor de Punto y Administrador). Los mockups usan la misma identidad visual de la aplicación (paleta verde, tarjetas redondeadas, barra de navegación inferior y encabezado con avatar) para mantener coherencia con el resultado final.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18 mockups de alta fidelidad en formato móvil (mobile-first, 390 px de ancho).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Mapa de navegación por rol con las rutas de Angular.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Tabla de planificación por vista: ruta, componente, endpoints y rol.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Reglas de validación, mensajes de error y estados de cada formulario.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Matriz de vistas por rol y correspondencia con los elementos solicitados en la rúbrica.</w:t>
      </w:r>
    </w:p>
    <w:p>
      <w:pPr>
        <w:pStyle w:val="Heading1"/>
        <w:keepNext/>
        <w:pBdr>
          <w:bottom w:val="single" w:color="27AE6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3E50"/>
          <w:sz w:val="32"/>
          <w:szCs w:val="32"/>
        </w:rPr>
        <w:t xml:space="preserve">2. Lineamientos de Diseño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Paleta de colores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5540"/>
      </w:tblGrid>
      <w:tr>
        <w:trPr>
          <w:tblHeader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Verde EcoPuntos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0B9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#10B981</w:t>
            </w:r>
          </w:p>
        </w:tc>
        <w:tc>
          <w:tcPr>
            <w:tcW w:type="dxa" w:w="5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Color principal: botones, estado activo, chips de éxito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Verde oscuro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5966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#059669</w:t>
            </w:r>
          </w:p>
        </w:tc>
        <w:tc>
          <w:tcPr>
            <w:tcW w:type="dxa" w:w="5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Títulos de acento, valores positivos (puntos, CO₂)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Azul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563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#2563EB</w:t>
            </w:r>
          </w:p>
        </w:tc>
        <w:tc>
          <w:tcPr>
            <w:tcW w:type="dxa" w:w="5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Acciones informativas, editar, estado «Entregas»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Ámbar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9E0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#F59E0B</w:t>
            </w:r>
          </w:p>
        </w:tc>
        <w:tc>
          <w:tcPr>
            <w:tcW w:type="dxa" w:w="5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Pendiente, alertas, nivel del reciclador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F44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#EF4444</w:t>
            </w:r>
          </w:p>
        </w:tc>
        <w:tc>
          <w:tcPr>
            <w:tcW w:type="dxa" w:w="5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Rechazar, eliminar y mensajes de error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Pizarra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29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#1E293B</w:t>
            </w:r>
          </w:p>
        </w:tc>
        <w:tc>
          <w:tcPr>
            <w:tcW w:type="dxa" w:w="5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Texto principal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Gris azulado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64748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#64748B</w:t>
            </w:r>
          </w:p>
        </w:tc>
        <w:tc>
          <w:tcPr>
            <w:tcW w:type="dxa" w:w="5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Texto secundario y etiquetas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Tipografía, componentes y comportamiento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Tipografía: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Outfit (con respaldo sans-serif); títulos en negrita, texto de apoyo en gris.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Componentes: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Tarjetas con borde suave y esquinas redondeadas, chips de estado, botones de acción principal (verde) y secundaria (borde), campos con ícono.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Navegación: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Encabezado con logotipo, notificaciones y avatar; barra inferior que cambia según el rol; botón central «Reciclar» para el Ciudadano.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Responsive: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Diseño mobile-first. En pantallas amplias el contenido se centra en un contenedor de ancho máximo y la barra inferior se mantiene.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Estados: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Cada vista contempla estado de carga (indicador), vacío (mensaje guía), error (mensaje en línea o aviso) y éxito (confirmación).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Coherencia: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Mismos íconos, colores de estado y textos de botón en todas las vistas: pendiente = ámbar, aprobada = verde, rechazada = rojo.</w:t>
      </w:r>
    </w:p>
    <w:p>
      <w:pPr>
        <w:pStyle w:val="Heading1"/>
        <w:keepNext/>
        <w:pBdr>
          <w:bottom w:val="single" w:color="27AE6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3E50"/>
          <w:sz w:val="32"/>
          <w:szCs w:val="32"/>
        </w:rPr>
        <w:t xml:space="preserve">3. Mapa de Navegación y Roles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 figura muestra el recorrido entre vistas según el rol. Tras iniciar sesión, cada rol llega a su pantalla de inicio y solo accede a las rutas autorizadas por los guards de Angular (AuthGuard y RoleGuard). El Invitado puede explorar el mapa de ecopuntos sin autenticarse.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3943350"/>
            <wp:effectExtent t="0" r="0" b="0" l="0"/>
            <wp:docPr id="1" name="nav" descr="Figura 1. Mapa de navegación por rol (líneas punteadas: acceso alterno o retorno)" title="Figura 1. Mapa de navegación por rol (líneas punteadas: acceso alterno o retorn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line="276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Figura 1. Mapa de navegación por rol (líneas punteadas: acceso alterno o retorno)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Matriz de vistas por rol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1250"/>
        <w:gridCol w:w="1250"/>
        <w:gridCol w:w="1250"/>
        <w:gridCol w:w="1250"/>
      </w:tblGrid>
      <w:tr>
        <w:trPr>
          <w:tblHeader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Vista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Invitado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Ciudadano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Gestor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Inicio de sesión y registro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Mapa y detalle de ecopuntos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Inicio del Ciudadano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Nueva entrega y mis entregas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Mi QR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Premios, detalle y canje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Ranking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Escanear QR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Entregas pendientes (aprobar/rechazar)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Panel y métricas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CRUD de ecopuntos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Crear Gestor de Punto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</w:tbl>
    <w:p>
      <w:pPr>
        <w:pStyle w:val="Heading1"/>
        <w:keepNext/>
        <w:pBdr>
          <w:bottom w:val="single" w:color="27AE6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3E50"/>
          <w:sz w:val="32"/>
          <w:szCs w:val="32"/>
        </w:rPr>
        <w:t xml:space="preserve">4. Mockups por Rol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4.1 Acceso público (Invitado)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Vistas disponibles sin sesión: inicio de sesión, registro y exploración del mapa de ecopuntos con su detalle.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01" descr="Figura 2. Inicio de sesión" title="Figura 2. Inicio de ses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2. Inicio de sesión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02" descr="Figura 3. Registro (validación)" title="Figura 3. Registro (validació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3. Registro (validación)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03" descr="Figura 4. Mapa y listado" title="Figura 4. Mapa y list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4. Mapa y listado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04" descr="Figura 5. Detalle de ecopunto" title="Figura 5. Detalle de ecopu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5. Detalle de ecopunto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4.2 Ciudadano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Ciudadano consulta su saldo, registra entregas, muestra su QR, canjea premios y sigue el ranking.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05" descr="Figura 6. Inicio del Ciudadano" title="Figura 6. Inicio del Ciudada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6. Inicio del Ciudadano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06" descr="Figura 7. Menú de usuario" title="Figura 7. Menú de usu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7. Menú de usuario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07" descr="Figura 8. Nueva entrega (formulario)" title="Figura 8. Nueva entrega (formulari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8. Nueva entrega (formulario)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08" descr="Figura 9. Mi QR Pase" title="Figura 9. Mi QR P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9. Mi QR Pase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09" descr="Figura 10. Premios (listado)" title="Figura 10. Premios (listad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10. Premios (listado)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10" descr="Figura 11. Detalle y canje" title="Figura 11. Detalle y canj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11. Detalle y canje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11" descr="Figura 12. Ranking" title="Figura 12. Rank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12. Ranking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12" descr="Figura 13. Mis entregas (listado)" title="Figura 13. Mis entregas (listad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13. Mis entregas (listado)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4.3 Gestor de Punto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Gestor identifica al ciudadano mediante su QR y aprueba o rechaza las entregas pendientes del punto.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13" descr="Figura 14. Escanear QR" title="Figura 14. Escanear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14. Escanear QR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14" descr="Figura 15. Entregas pendientes" title="Figura 15. Entregas pendie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15. Entregas pendientes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4.4 Administrador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Administrador consulta métricas globales, gestiona los ecopuntos (crear, editar, eliminar) y crea Gestores de Punto.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15" descr="Figura 16. Panel y métricas" title="Figura 16. Panel y métric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16. Panel y métricas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16" descr="Figura 17. Ecopuntos (listado y eliminar)" title="Figura 17. Ecopuntos (listado y elimina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17. Ecopuntos (listado y eliminar)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17" descr="Figura 18. Editar ecopunto" title="Figura 18. Editar ecopu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18. Editar ecopunto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647825" cy="3295650"/>
                  <wp:effectExtent t="0" r="0" b="0" l="0"/>
                  <wp:docPr id="1" name="s18" descr="Figura 19. Crear Gestor" title="Figura 19. Crear Ges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7"/>
                <w:szCs w:val="17"/>
              </w:rPr>
              <w:t xml:space="preserve">Figura 19. Crear Gestor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pStyle w:val="Heading1"/>
        <w:keepNext/>
        <w:pBdr>
          <w:bottom w:val="single" w:color="27AE6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3E50"/>
          <w:sz w:val="32"/>
          <w:szCs w:val="32"/>
        </w:rPr>
        <w:t xml:space="preserve">5. Planificación de las Interfaces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 siguiente tabla relaciona cada mockup con su ruta, el componente de Angular que lo implementa, los endpoints de la API que consume y el rol que puede acceder.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750"/>
        <w:gridCol w:w="1700"/>
        <w:gridCol w:w="2700"/>
        <w:gridCol w:w="1840"/>
      </w:tblGrid>
      <w:tr>
        <w:trPr>
          <w:tblHeader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Fig.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Vista y ruta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Endpoints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Inicio de sesión · /login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LoginComponent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POST /api/auth/login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Registro · /registro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RegisterComponent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POST /api/auth/register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Mapa y listado · /mapa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EcopointListComponent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/api/ecopoints/nearby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Detalle de ecopunto · /mapa/:id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EcopointDetailComponent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/api/ecopoints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Inicio · /inicio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HomeComponent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/api/auth/profile · GET /api/materials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Ciudadano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Menú de usuario (encabezado)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HeaderComponent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AuthService.logout() (sin endpoint)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Autenticado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Nueva entrega · /entregas/nueva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DeliveryFormComponent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/api/ecopoints · GET /api/materials · POST /api/deliveries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Ciudadano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Mi QR · /mi-qr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QrPassComponent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/api/qr/generate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Ciudadano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Premios · /premios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RewardListComponent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/api/rewards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Ciudadano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Detalle y canje · /premios/:id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RewardDetailComponent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POST /api/rewards/{id}/redeem · GET /api/rewards/history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Ciudadano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Ranking · /ranking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RankingComponent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/api/ranking · GET /api/ranking/me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Público / Ciudadano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Mis entregas · /entregas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DeliveryHistoryComponent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/api/deliveries/my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Ciudadano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Escanear QR · /gestor/escanear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QrScannerComponent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POST /api/qr/scan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Gestor, Admin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Entregas pendientes · /gestor/entregas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PendingDeliveriesComponent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/api/deliveries/pending · PATCH /api/deliveries/{id}/approve · PATCH …/reject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Gestor, Admin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Panel · /admin/panel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AdminDashboardComponent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/api/admin/metrics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Ecopuntos · /admin/ecopuntos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EcopointAdminListComponent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GET /api/ecopoints · DELETE /api/ecopoints/{id}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Crear/editar ecopunto · /admin/ecopuntos/nuevo y /:id/editar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EcopointFormComponent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POST /api/ecopoints · PUT /api/ecopoints/{id}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75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Crear Gestor · /admin/gestores/nuevo</w:t>
            </w:r>
          </w:p>
        </w:tc>
        <w:tc>
          <w:tcPr>
            <w:tcW w:type="dxa" w:w="1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GestorFormComponent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POST /api/admin/create-gestor</w:t>
            </w:r>
          </w:p>
        </w:tc>
        <w:tc>
          <w:tcPr>
            <w:tcW w:type="dxa" w:w="18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6"/>
                <w:szCs w:val="16"/>
              </w:rPr>
              <w:t xml:space="preserve">Admin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Seguridad de rutas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AuthGuard: redirige a /login si no hay token JWT válido.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RoleGuard: lee los roles permitidos del data de la ruta (por ejemplo { roles: ['Administrador'] }) y redirige a la pantalla de inicio del rol si no coincide.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AuthInterceptor: agrega el encabezado Authorization: Bearer &lt;token&gt; y, ante un 401, cierra la sesión.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ErrorInterceptor: traduce los códigos 400, 403, 404 y 409 en mensajes comprensibles para el usuario.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Validaciones y mensajes por formulario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540"/>
      </w:tblGrid>
      <w:tr>
        <w:trPr>
          <w:tblHeader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Formulario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Reglas de validación</w:t>
            </w:r>
          </w:p>
        </w:tc>
        <w:tc>
          <w:tcPr>
            <w:tcW w:type="dxa" w:w="3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Mensaje o comportamiento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Documento o correo requerido; contraseña requerida</w:t>
            </w:r>
          </w:p>
        </w:tc>
        <w:tc>
          <w:tcPr>
            <w:tcW w:type="dxa" w:w="3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«Campo obligatorio». Si falla: «Credenciales incorrectas» (401)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Registro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Nombre requerido; tipo y número de documento; ciudad; celular de 10 dígitos; contraseña de mínimo 6 caracteres</w:t>
            </w:r>
          </w:p>
        </w:tc>
        <w:tc>
          <w:tcPr>
            <w:tcW w:type="dxa" w:w="3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«Mínimo 6 caracteres». Documento repetido: aviso en línea (409)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Nueva entrega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Ecopunto requerido; al menos un material; peso mayor que 0 en cada fila</w:t>
            </w:r>
          </w:p>
        </w:tc>
        <w:tc>
          <w:tcPr>
            <w:tcW w:type="dxa" w:w="3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«El peso debe ser mayor que 0». Al registrar, la entrega queda «pendiente»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Canje de premio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Saldo suficiente y stock mayor que 0</w:t>
            </w:r>
          </w:p>
        </w:tc>
        <w:tc>
          <w:tcPr>
            <w:tcW w:type="dxa" w:w="3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Botón deshabilitado «Sin puntos»; si no hay stock, aviso de agotado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Ecopunto (crear/editar)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Nombre, dirección y ciudad requeridos; latitud entre -90 y 90; longitud entre -180 y 180</w:t>
            </w:r>
          </w:p>
        </w:tc>
        <w:tc>
          <w:tcPr>
            <w:tcW w:type="dxa" w:w="3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«Ingresa un número válido». Eliminar con entregas asociadas: aviso (409)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Crear Gestor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Nombre, documento y ciudad requeridos; correo con formato válido; contraseña de mínimo 6 caracteres</w:t>
            </w:r>
          </w:p>
        </w:tc>
        <w:tc>
          <w:tcPr>
            <w:tcW w:type="dxa" w:w="3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Solo el Administrador accede; si el correo existe, aviso en línea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Estados de las vistas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Carga: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Indicador de progreso mientras llega la respuesta de la API (listados, mapa, métricas).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Vacío: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Mensaje guía cuando no hay datos, por ejemplo «Aún no tienes entregas registradas».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Error: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Mensaje en línea en formularios y aviso emergente para errores de red o del servidor.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Éxito: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Confirmación visible al registrar una entrega, canjear un premio o guardar un ecopunto.</w:t>
      </w:r>
    </w:p>
    <w:p>
      <w:pPr>
        <w:pStyle w:val="Heading1"/>
        <w:keepNext/>
        <w:pBdr>
          <w:bottom w:val="single" w:color="27AE6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3E50"/>
          <w:sz w:val="32"/>
          <w:szCs w:val="32"/>
        </w:rPr>
        <w:t xml:space="preserve">6. Cobertura de Elementos Solicitados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Correspondencia entre los elementos que debe mostrar el diseño de interfaces y los mockups de este documento.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40"/>
        <w:gridCol w:w="3300"/>
      </w:tblGrid>
      <w:tr>
        <w:trPr>
          <w:tblHeader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1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Mockups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7AE6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Inicio de sesión</w:t>
            </w:r>
          </w:p>
        </w:tc>
        <w:tc>
          <w:tcPr>
            <w:tcW w:type="dxa" w:w="31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Figuras 2 y 3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Login y registro con validaciones visibles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Menú</w:t>
            </w:r>
          </w:p>
        </w:tc>
        <w:tc>
          <w:tcPr>
            <w:tcW w:type="dxa" w:w="31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Figuras 6 y 7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Barra de navegación por rol y menú de usuario desde el avatar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Listados</w:t>
            </w:r>
          </w:p>
        </w:tc>
        <w:tc>
          <w:tcPr>
            <w:tcW w:type="dxa" w:w="31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Figuras 4, 10, 13, 15 y 17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Ecopuntos, premios, entregas y entregas pendientes con estados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Formularios</w:t>
            </w:r>
          </w:p>
        </w:tc>
        <w:tc>
          <w:tcPr>
            <w:tcW w:type="dxa" w:w="31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Figuras 3, 8, 18 y 19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Registro, nueva entrega (varios materiales), ecopunto y Gestor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Edición</w:t>
            </w:r>
          </w:p>
        </w:tc>
        <w:tc>
          <w:tcPr>
            <w:tcW w:type="dxa" w:w="31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Figuras 17 y 18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Editar ecopunto y confirmar eliminación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Detalle</w:t>
            </w:r>
          </w:p>
        </w:tc>
        <w:tc>
          <w:tcPr>
            <w:tcW w:type="dxa" w:w="31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Figuras 5 y 11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7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Detalle de ecopunto y de recompensa con canje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Roles</w:t>
            </w:r>
          </w:p>
        </w:tc>
        <w:tc>
          <w:tcPr>
            <w:tcW w:type="dxa" w:w="31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Sección 3 y secciones 4.1 a 4.4</w:t>
            </w:r>
          </w:p>
        </w:tc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Mapa de navegación, matriz por rol y vistas diferenciadas</w:t>
            </w:r>
          </w:p>
        </w:tc>
      </w:tr>
    </w:tbl>
    <w:sectPr>
      <w:footerReference w:type="default" r:id="rId7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8C8D"/>
        <w:sz w:val="18"/>
        <w:szCs w:val="18"/>
      </w:rPr>
      <w:t xml:space="preserve">EcoPuntos Pamplona · Mockups y Planificación de Interfaces · Página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f270e525086f47834b5514cbdcd045e01833111.png"/><Relationship Id="rId9" Type="http://schemas.openxmlformats.org/officeDocument/2006/relationships/image" Target="media/b4111514ddabdf0b73608ef27a940432277771de.png"/><Relationship Id="rId10" Type="http://schemas.openxmlformats.org/officeDocument/2006/relationships/image" Target="media/d1c0fc83afd7013a6f8785942a1e59b8c9a1524a.png"/><Relationship Id="rId11" Type="http://schemas.openxmlformats.org/officeDocument/2006/relationships/image" Target="media/4602c04b19614fccebdb5682304fd35a678f1b34.png"/><Relationship Id="rId12" Type="http://schemas.openxmlformats.org/officeDocument/2006/relationships/image" Target="media/edc05c95286a34df480e6cf9f55c868d7b9dc1bf.png"/><Relationship Id="rId13" Type="http://schemas.openxmlformats.org/officeDocument/2006/relationships/image" Target="media/571bde510fe19ceeff19754659b74e2ca45eb17f.png"/><Relationship Id="rId14" Type="http://schemas.openxmlformats.org/officeDocument/2006/relationships/image" Target="media/e6a562d52e6ba012870045f2490098406f1e94df.png"/><Relationship Id="rId15" Type="http://schemas.openxmlformats.org/officeDocument/2006/relationships/image" Target="media/621499e8786710318211eb353828a44ebeaf058d.png"/><Relationship Id="rId16" Type="http://schemas.openxmlformats.org/officeDocument/2006/relationships/image" Target="media/112fc1bba9788f0adba850afcbc8fc811aa9b611.png"/><Relationship Id="rId17" Type="http://schemas.openxmlformats.org/officeDocument/2006/relationships/image" Target="media/b1b4332b875e3fd9458c60a5ad3b11cea2f7081e.png"/><Relationship Id="rId18" Type="http://schemas.openxmlformats.org/officeDocument/2006/relationships/image" Target="media/8afdbdbb1adb1471b36dc585987ba6d4b3ebc853.png"/><Relationship Id="rId19" Type="http://schemas.openxmlformats.org/officeDocument/2006/relationships/image" Target="media/59da8fbeeed4151f4644d7f92ce3b21bbf94c410.png"/><Relationship Id="rId20" Type="http://schemas.openxmlformats.org/officeDocument/2006/relationships/image" Target="media/12480442bd9cbae654800bab120deda71753b150.png"/><Relationship Id="rId21" Type="http://schemas.openxmlformats.org/officeDocument/2006/relationships/image" Target="media/ad4b4fe442ba55c865b7e765db3d27a7ddb5554b.png"/><Relationship Id="rId22" Type="http://schemas.openxmlformats.org/officeDocument/2006/relationships/image" Target="media/a910b193c391984d5a0cd6a9dc146ae9254f7603.png"/><Relationship Id="rId23" Type="http://schemas.openxmlformats.org/officeDocument/2006/relationships/image" Target="media/13d2f90195513fabd3528588ecb91df5888c0276.png"/><Relationship Id="rId24" Type="http://schemas.openxmlformats.org/officeDocument/2006/relationships/image" Target="media/317344c07c87cad295b4083c2d9f95699bea5dac.png"/><Relationship Id="rId25" Type="http://schemas.openxmlformats.org/officeDocument/2006/relationships/image" Target="media/1e8f8110ae0b731005c114d31973cc80086c5ea5.png"/><Relationship Id="rId26" Type="http://schemas.openxmlformats.org/officeDocument/2006/relationships/image" Target="media/abbae9ff760b85907111cc83d5f78870e86d7a2a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2026-10-04T03:24:53.662Z</dcterms:created>
  <dcterms:modified xsi:type="dcterms:W3CDTF">2026-10-04T03:24:53.662Z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