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D9EE" w14:textId="2030DFF4" w:rsidR="008D1587" w:rsidRPr="008D1587" w:rsidRDefault="008D1587" w:rsidP="008D158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D1587">
        <w:rPr>
          <w:rFonts w:ascii="Times New Roman" w:hAnsi="Times New Roman" w:cs="Times New Roman"/>
          <w:b/>
          <w:bCs/>
          <w:u w:val="single"/>
        </w:rPr>
        <w:t>Exemple de présentation</w:t>
      </w:r>
    </w:p>
    <w:p w14:paraId="434120B1" w14:textId="1466CD03" w:rsidR="008D1587" w:rsidRPr="00721AA5" w:rsidRDefault="008D1587" w:rsidP="008D1587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721AA5">
        <w:rPr>
          <w:rFonts w:ascii="Times New Roman" w:hAnsi="Times New Roman" w:cs="Times New Roman"/>
          <w:b/>
          <w:bCs/>
          <w:i/>
          <w:iCs/>
          <w:u w:val="single"/>
        </w:rPr>
        <w:t>Tableau 2 :</w:t>
      </w:r>
      <w:r w:rsidRPr="00721AA5">
        <w:rPr>
          <w:rFonts w:ascii="Times New Roman" w:hAnsi="Times New Roman" w:cs="Times New Roman"/>
          <w:b/>
          <w:bCs/>
          <w:i/>
          <w:iCs/>
        </w:rPr>
        <w:t xml:space="preserve"> Comparaison des caractéristiques des jeunes inclus dans l’échantillon final et des jeunes exclus (Belgique francophone, HBSC 2022, 15–20 ans)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81"/>
        <w:gridCol w:w="2093"/>
        <w:gridCol w:w="1951"/>
        <w:gridCol w:w="1091"/>
      </w:tblGrid>
      <w:tr w:rsidR="008D1587" w:rsidRPr="008D1587" w14:paraId="61910254" w14:textId="77777777" w:rsidTr="008D1587">
        <w:tc>
          <w:tcPr>
            <w:tcW w:w="0" w:type="auto"/>
            <w:hideMark/>
          </w:tcPr>
          <w:p w14:paraId="722FAFC1" w14:textId="77777777" w:rsidR="008D1587" w:rsidRPr="008D1587" w:rsidRDefault="008D1587" w:rsidP="008D15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Variables</w:t>
            </w:r>
          </w:p>
        </w:tc>
        <w:tc>
          <w:tcPr>
            <w:tcW w:w="0" w:type="auto"/>
            <w:hideMark/>
          </w:tcPr>
          <w:p w14:paraId="2A7670A2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Inclus (n=4 534)</w:t>
            </w:r>
          </w:p>
        </w:tc>
        <w:tc>
          <w:tcPr>
            <w:tcW w:w="0" w:type="auto"/>
            <w:hideMark/>
          </w:tcPr>
          <w:p w14:paraId="1CCBB186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Exclus (n=816)</w:t>
            </w:r>
          </w:p>
        </w:tc>
        <w:tc>
          <w:tcPr>
            <w:tcW w:w="0" w:type="auto"/>
            <w:hideMark/>
          </w:tcPr>
          <w:p w14:paraId="4D661DC6" w14:textId="77777777" w:rsidR="008D1587" w:rsidRPr="008D1587" w:rsidRDefault="008D1587" w:rsidP="008D15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p-value</w:t>
            </w:r>
          </w:p>
        </w:tc>
      </w:tr>
      <w:tr w:rsidR="008D1587" w:rsidRPr="008D1587" w14:paraId="5415EAEA" w14:textId="77777777" w:rsidTr="008D1587">
        <w:tc>
          <w:tcPr>
            <w:tcW w:w="0" w:type="auto"/>
            <w:hideMark/>
          </w:tcPr>
          <w:p w14:paraId="131342B6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Poly-consommation récente</w:t>
            </w:r>
          </w:p>
        </w:tc>
        <w:tc>
          <w:tcPr>
            <w:tcW w:w="0" w:type="auto"/>
            <w:hideMark/>
          </w:tcPr>
          <w:p w14:paraId="64F2ECB3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F6BCA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86F94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&lt;0,001</w:t>
            </w:r>
          </w:p>
        </w:tc>
      </w:tr>
      <w:tr w:rsidR="008D1587" w:rsidRPr="008D1587" w14:paraId="3ED3A19E" w14:textId="77777777" w:rsidTr="008D1587">
        <w:tc>
          <w:tcPr>
            <w:tcW w:w="0" w:type="auto"/>
            <w:hideMark/>
          </w:tcPr>
          <w:p w14:paraId="67E1EFD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Non</w:t>
            </w:r>
          </w:p>
        </w:tc>
        <w:tc>
          <w:tcPr>
            <w:tcW w:w="0" w:type="auto"/>
            <w:hideMark/>
          </w:tcPr>
          <w:p w14:paraId="61BB0D54" w14:textId="2D3E9200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71,4</w:t>
            </w:r>
          </w:p>
        </w:tc>
        <w:tc>
          <w:tcPr>
            <w:tcW w:w="0" w:type="auto"/>
            <w:hideMark/>
          </w:tcPr>
          <w:p w14:paraId="5FFB43E1" w14:textId="16C7871B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61,0</w:t>
            </w:r>
          </w:p>
        </w:tc>
        <w:tc>
          <w:tcPr>
            <w:tcW w:w="0" w:type="auto"/>
            <w:hideMark/>
          </w:tcPr>
          <w:p w14:paraId="4567EBF3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477AC5B9" w14:textId="77777777" w:rsidTr="008D1587">
        <w:tc>
          <w:tcPr>
            <w:tcW w:w="0" w:type="auto"/>
            <w:hideMark/>
          </w:tcPr>
          <w:p w14:paraId="57EC0A2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Oui</w:t>
            </w:r>
          </w:p>
        </w:tc>
        <w:tc>
          <w:tcPr>
            <w:tcW w:w="0" w:type="auto"/>
            <w:hideMark/>
          </w:tcPr>
          <w:p w14:paraId="154E7F9E" w14:textId="5473DF5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28,6</w:t>
            </w:r>
          </w:p>
        </w:tc>
        <w:tc>
          <w:tcPr>
            <w:tcW w:w="0" w:type="auto"/>
            <w:hideMark/>
          </w:tcPr>
          <w:p w14:paraId="7F829721" w14:textId="7F96CE1A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39,0</w:t>
            </w:r>
          </w:p>
        </w:tc>
        <w:tc>
          <w:tcPr>
            <w:tcW w:w="0" w:type="auto"/>
            <w:hideMark/>
          </w:tcPr>
          <w:p w14:paraId="4FECB8C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0979FB01" w14:textId="77777777" w:rsidTr="008D1587">
        <w:tc>
          <w:tcPr>
            <w:tcW w:w="0" w:type="auto"/>
            <w:hideMark/>
          </w:tcPr>
          <w:p w14:paraId="4C0032F5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Sentiment de solitude</w:t>
            </w:r>
          </w:p>
        </w:tc>
        <w:tc>
          <w:tcPr>
            <w:tcW w:w="0" w:type="auto"/>
            <w:hideMark/>
          </w:tcPr>
          <w:p w14:paraId="3EAFB84C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3E0689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8DA82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0,63</w:t>
            </w:r>
          </w:p>
        </w:tc>
      </w:tr>
      <w:tr w:rsidR="008D1587" w:rsidRPr="008D1587" w14:paraId="495D441F" w14:textId="77777777" w:rsidTr="008D1587">
        <w:tc>
          <w:tcPr>
            <w:tcW w:w="0" w:type="auto"/>
            <w:hideMark/>
          </w:tcPr>
          <w:p w14:paraId="279F065E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Faible</w:t>
            </w:r>
          </w:p>
        </w:tc>
        <w:tc>
          <w:tcPr>
            <w:tcW w:w="0" w:type="auto"/>
            <w:hideMark/>
          </w:tcPr>
          <w:p w14:paraId="1AC4160C" w14:textId="7C4C0889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72,5</w:t>
            </w:r>
          </w:p>
        </w:tc>
        <w:tc>
          <w:tcPr>
            <w:tcW w:w="0" w:type="auto"/>
            <w:hideMark/>
          </w:tcPr>
          <w:p w14:paraId="6F8E924A" w14:textId="576DBD9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71,7</w:t>
            </w:r>
          </w:p>
        </w:tc>
        <w:tc>
          <w:tcPr>
            <w:tcW w:w="0" w:type="auto"/>
            <w:hideMark/>
          </w:tcPr>
          <w:p w14:paraId="4B8F091C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7E9334DF" w14:textId="77777777" w:rsidTr="008D1587">
        <w:tc>
          <w:tcPr>
            <w:tcW w:w="0" w:type="auto"/>
            <w:hideMark/>
          </w:tcPr>
          <w:p w14:paraId="1A0B4802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Moyen à élevé</w:t>
            </w:r>
          </w:p>
        </w:tc>
        <w:tc>
          <w:tcPr>
            <w:tcW w:w="0" w:type="auto"/>
            <w:hideMark/>
          </w:tcPr>
          <w:p w14:paraId="3DD63A09" w14:textId="0BF05A3F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27,5</w:t>
            </w:r>
          </w:p>
        </w:tc>
        <w:tc>
          <w:tcPr>
            <w:tcW w:w="0" w:type="auto"/>
            <w:hideMark/>
          </w:tcPr>
          <w:p w14:paraId="5E7D45C8" w14:textId="280F5DB1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28,3</w:t>
            </w:r>
          </w:p>
        </w:tc>
        <w:tc>
          <w:tcPr>
            <w:tcW w:w="0" w:type="auto"/>
            <w:hideMark/>
          </w:tcPr>
          <w:p w14:paraId="06EAF3A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61AA4B1A" w14:textId="77777777" w:rsidTr="008D1587">
        <w:tc>
          <w:tcPr>
            <w:tcW w:w="0" w:type="auto"/>
            <w:hideMark/>
          </w:tcPr>
          <w:p w14:paraId="706046F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Satisfaction par rapport à la vie</w:t>
            </w:r>
          </w:p>
        </w:tc>
        <w:tc>
          <w:tcPr>
            <w:tcW w:w="0" w:type="auto"/>
            <w:hideMark/>
          </w:tcPr>
          <w:p w14:paraId="388F90F4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B8BA07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C59322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0,14</w:t>
            </w:r>
          </w:p>
        </w:tc>
      </w:tr>
      <w:tr w:rsidR="008D1587" w:rsidRPr="008D1587" w14:paraId="46C560F5" w14:textId="77777777" w:rsidTr="008D1587">
        <w:tc>
          <w:tcPr>
            <w:tcW w:w="0" w:type="auto"/>
            <w:hideMark/>
          </w:tcPr>
          <w:p w14:paraId="5D1016C9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Moyenne à élevée</w:t>
            </w:r>
          </w:p>
        </w:tc>
        <w:tc>
          <w:tcPr>
            <w:tcW w:w="0" w:type="auto"/>
            <w:hideMark/>
          </w:tcPr>
          <w:p w14:paraId="4D46FDE7" w14:textId="1EC2DAB6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78,5</w:t>
            </w:r>
          </w:p>
        </w:tc>
        <w:tc>
          <w:tcPr>
            <w:tcW w:w="0" w:type="auto"/>
            <w:hideMark/>
          </w:tcPr>
          <w:p w14:paraId="37875B70" w14:textId="708A113C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76,1</w:t>
            </w:r>
          </w:p>
        </w:tc>
        <w:tc>
          <w:tcPr>
            <w:tcW w:w="0" w:type="auto"/>
            <w:hideMark/>
          </w:tcPr>
          <w:p w14:paraId="5ECBAD5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508E05C7" w14:textId="77777777" w:rsidTr="008D1587">
        <w:tc>
          <w:tcPr>
            <w:tcW w:w="0" w:type="auto"/>
            <w:hideMark/>
          </w:tcPr>
          <w:p w14:paraId="1D2570F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Peu élevée</w:t>
            </w:r>
          </w:p>
        </w:tc>
        <w:tc>
          <w:tcPr>
            <w:tcW w:w="0" w:type="auto"/>
            <w:hideMark/>
          </w:tcPr>
          <w:p w14:paraId="406C9FE2" w14:textId="344D37F5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21,5</w:t>
            </w:r>
          </w:p>
        </w:tc>
        <w:tc>
          <w:tcPr>
            <w:tcW w:w="0" w:type="auto"/>
            <w:hideMark/>
          </w:tcPr>
          <w:p w14:paraId="223E7240" w14:textId="7BC42500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23,9</w:t>
            </w:r>
          </w:p>
        </w:tc>
        <w:tc>
          <w:tcPr>
            <w:tcW w:w="0" w:type="auto"/>
            <w:hideMark/>
          </w:tcPr>
          <w:p w14:paraId="50B1D039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6DACB0FC" w14:textId="77777777" w:rsidTr="008D1587">
        <w:tc>
          <w:tcPr>
            <w:tcW w:w="0" w:type="auto"/>
            <w:hideMark/>
          </w:tcPr>
          <w:p w14:paraId="738092C9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Sexe</w:t>
            </w:r>
          </w:p>
        </w:tc>
        <w:tc>
          <w:tcPr>
            <w:tcW w:w="0" w:type="auto"/>
            <w:hideMark/>
          </w:tcPr>
          <w:p w14:paraId="268C0DA6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F4710B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A1A7BB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0,002</w:t>
            </w:r>
          </w:p>
        </w:tc>
      </w:tr>
      <w:tr w:rsidR="008D1587" w:rsidRPr="008D1587" w14:paraId="7A3C483D" w14:textId="77777777" w:rsidTr="008D1587">
        <w:tc>
          <w:tcPr>
            <w:tcW w:w="0" w:type="auto"/>
            <w:hideMark/>
          </w:tcPr>
          <w:p w14:paraId="150E9DB9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Garçons</w:t>
            </w:r>
          </w:p>
        </w:tc>
        <w:tc>
          <w:tcPr>
            <w:tcW w:w="0" w:type="auto"/>
            <w:hideMark/>
          </w:tcPr>
          <w:p w14:paraId="6CC58484" w14:textId="1168828E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45,2</w:t>
            </w:r>
          </w:p>
        </w:tc>
        <w:tc>
          <w:tcPr>
            <w:tcW w:w="0" w:type="auto"/>
            <w:hideMark/>
          </w:tcPr>
          <w:p w14:paraId="7079B2A3" w14:textId="2ECC7B1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51,2</w:t>
            </w:r>
          </w:p>
        </w:tc>
        <w:tc>
          <w:tcPr>
            <w:tcW w:w="0" w:type="auto"/>
            <w:hideMark/>
          </w:tcPr>
          <w:p w14:paraId="07C70CA2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217E5887" w14:textId="77777777" w:rsidTr="008D1587">
        <w:tc>
          <w:tcPr>
            <w:tcW w:w="0" w:type="auto"/>
            <w:hideMark/>
          </w:tcPr>
          <w:p w14:paraId="75AC3E7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Filles</w:t>
            </w:r>
          </w:p>
        </w:tc>
        <w:tc>
          <w:tcPr>
            <w:tcW w:w="0" w:type="auto"/>
            <w:hideMark/>
          </w:tcPr>
          <w:p w14:paraId="6BE69588" w14:textId="71653F2D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54,8</w:t>
            </w:r>
          </w:p>
        </w:tc>
        <w:tc>
          <w:tcPr>
            <w:tcW w:w="0" w:type="auto"/>
            <w:hideMark/>
          </w:tcPr>
          <w:p w14:paraId="080364F1" w14:textId="759B1890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48,8</w:t>
            </w:r>
          </w:p>
        </w:tc>
        <w:tc>
          <w:tcPr>
            <w:tcW w:w="0" w:type="auto"/>
            <w:hideMark/>
          </w:tcPr>
          <w:p w14:paraId="05441FA3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405D4ACF" w14:textId="77777777" w:rsidTr="008D1587">
        <w:tc>
          <w:tcPr>
            <w:tcW w:w="0" w:type="auto"/>
            <w:hideMark/>
          </w:tcPr>
          <w:p w14:paraId="0717023F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Âge</w:t>
            </w:r>
          </w:p>
        </w:tc>
        <w:tc>
          <w:tcPr>
            <w:tcW w:w="0" w:type="auto"/>
            <w:hideMark/>
          </w:tcPr>
          <w:p w14:paraId="18BDDE24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FFC7D8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A28F3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0,007</w:t>
            </w:r>
          </w:p>
        </w:tc>
      </w:tr>
      <w:tr w:rsidR="008D1587" w:rsidRPr="008D1587" w14:paraId="79506384" w14:textId="77777777" w:rsidTr="008D1587">
        <w:tc>
          <w:tcPr>
            <w:tcW w:w="0" w:type="auto"/>
            <w:hideMark/>
          </w:tcPr>
          <w:p w14:paraId="560BBD8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15–17 ans</w:t>
            </w:r>
          </w:p>
        </w:tc>
        <w:tc>
          <w:tcPr>
            <w:tcW w:w="0" w:type="auto"/>
            <w:hideMark/>
          </w:tcPr>
          <w:p w14:paraId="1B725463" w14:textId="54358706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75,3</w:t>
            </w:r>
          </w:p>
        </w:tc>
        <w:tc>
          <w:tcPr>
            <w:tcW w:w="0" w:type="auto"/>
            <w:hideMark/>
          </w:tcPr>
          <w:p w14:paraId="0C1C0EDE" w14:textId="5A0A4C24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70,8</w:t>
            </w:r>
          </w:p>
        </w:tc>
        <w:tc>
          <w:tcPr>
            <w:tcW w:w="0" w:type="auto"/>
            <w:hideMark/>
          </w:tcPr>
          <w:p w14:paraId="2B73174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67594C6A" w14:textId="77777777" w:rsidTr="008D1587">
        <w:tc>
          <w:tcPr>
            <w:tcW w:w="0" w:type="auto"/>
            <w:hideMark/>
          </w:tcPr>
          <w:p w14:paraId="1C06BAAA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18–20 ans</w:t>
            </w:r>
          </w:p>
        </w:tc>
        <w:tc>
          <w:tcPr>
            <w:tcW w:w="0" w:type="auto"/>
            <w:hideMark/>
          </w:tcPr>
          <w:p w14:paraId="4933BB0A" w14:textId="2489DDC1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24,7</w:t>
            </w:r>
          </w:p>
        </w:tc>
        <w:tc>
          <w:tcPr>
            <w:tcW w:w="0" w:type="auto"/>
            <w:hideMark/>
          </w:tcPr>
          <w:p w14:paraId="609B39B6" w14:textId="5817D66C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29,2</w:t>
            </w:r>
          </w:p>
        </w:tc>
        <w:tc>
          <w:tcPr>
            <w:tcW w:w="0" w:type="auto"/>
            <w:hideMark/>
          </w:tcPr>
          <w:p w14:paraId="3E01D51B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0C7A7B7D" w14:textId="77777777" w:rsidTr="008D1587">
        <w:tc>
          <w:tcPr>
            <w:tcW w:w="0" w:type="auto"/>
            <w:hideMark/>
          </w:tcPr>
          <w:p w14:paraId="67D5760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Région</w:t>
            </w:r>
          </w:p>
        </w:tc>
        <w:tc>
          <w:tcPr>
            <w:tcW w:w="0" w:type="auto"/>
            <w:hideMark/>
          </w:tcPr>
          <w:p w14:paraId="031D6CCB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E36C75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C48DA3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&lt;0,001</w:t>
            </w:r>
          </w:p>
        </w:tc>
      </w:tr>
      <w:tr w:rsidR="008D1587" w:rsidRPr="008D1587" w14:paraId="37F4D8AC" w14:textId="77777777" w:rsidTr="008D1587">
        <w:tc>
          <w:tcPr>
            <w:tcW w:w="0" w:type="auto"/>
            <w:hideMark/>
          </w:tcPr>
          <w:p w14:paraId="51E012A5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Bruxelles</w:t>
            </w:r>
          </w:p>
        </w:tc>
        <w:tc>
          <w:tcPr>
            <w:tcW w:w="0" w:type="auto"/>
            <w:hideMark/>
          </w:tcPr>
          <w:p w14:paraId="1C38328A" w14:textId="580CF02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28,1</w:t>
            </w:r>
          </w:p>
        </w:tc>
        <w:tc>
          <w:tcPr>
            <w:tcW w:w="0" w:type="auto"/>
            <w:hideMark/>
          </w:tcPr>
          <w:p w14:paraId="32F78F82" w14:textId="2589C2CE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36,3</w:t>
            </w:r>
          </w:p>
        </w:tc>
        <w:tc>
          <w:tcPr>
            <w:tcW w:w="0" w:type="auto"/>
            <w:hideMark/>
          </w:tcPr>
          <w:p w14:paraId="5E492A9E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7582E533" w14:textId="77777777" w:rsidTr="008D1587">
        <w:tc>
          <w:tcPr>
            <w:tcW w:w="0" w:type="auto"/>
            <w:hideMark/>
          </w:tcPr>
          <w:p w14:paraId="47292031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Wallonie</w:t>
            </w:r>
          </w:p>
        </w:tc>
        <w:tc>
          <w:tcPr>
            <w:tcW w:w="0" w:type="auto"/>
            <w:hideMark/>
          </w:tcPr>
          <w:p w14:paraId="0FC4CC40" w14:textId="03660D7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71,9</w:t>
            </w:r>
          </w:p>
        </w:tc>
        <w:tc>
          <w:tcPr>
            <w:tcW w:w="0" w:type="auto"/>
            <w:hideMark/>
          </w:tcPr>
          <w:p w14:paraId="0BDC5B91" w14:textId="31031CF2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63,7</w:t>
            </w:r>
          </w:p>
        </w:tc>
        <w:tc>
          <w:tcPr>
            <w:tcW w:w="0" w:type="auto"/>
            <w:hideMark/>
          </w:tcPr>
          <w:p w14:paraId="1FB1728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50E4AB53" w14:textId="77777777" w:rsidTr="008D1587">
        <w:tc>
          <w:tcPr>
            <w:tcW w:w="0" w:type="auto"/>
            <w:hideMark/>
          </w:tcPr>
          <w:p w14:paraId="399FDF05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Situation financière perçue</w:t>
            </w:r>
          </w:p>
        </w:tc>
        <w:tc>
          <w:tcPr>
            <w:tcW w:w="0" w:type="auto"/>
            <w:hideMark/>
          </w:tcPr>
          <w:p w14:paraId="453BA8A5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C19603" w14:textId="77777777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A4C349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0,02</w:t>
            </w:r>
          </w:p>
        </w:tc>
      </w:tr>
      <w:tr w:rsidR="008D1587" w:rsidRPr="008D1587" w14:paraId="29BA7D84" w14:textId="77777777" w:rsidTr="008D1587">
        <w:tc>
          <w:tcPr>
            <w:tcW w:w="0" w:type="auto"/>
            <w:hideMark/>
          </w:tcPr>
          <w:p w14:paraId="6F8D66E4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Très à l’aise</w:t>
            </w:r>
          </w:p>
        </w:tc>
        <w:tc>
          <w:tcPr>
            <w:tcW w:w="0" w:type="auto"/>
            <w:hideMark/>
          </w:tcPr>
          <w:p w14:paraId="1EB12D92" w14:textId="7D1F6D63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9,8</w:t>
            </w:r>
          </w:p>
        </w:tc>
        <w:tc>
          <w:tcPr>
            <w:tcW w:w="0" w:type="auto"/>
            <w:hideMark/>
          </w:tcPr>
          <w:p w14:paraId="0E2DED85" w14:textId="5F7A4E06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12,5</w:t>
            </w:r>
          </w:p>
        </w:tc>
        <w:tc>
          <w:tcPr>
            <w:tcW w:w="0" w:type="auto"/>
            <w:hideMark/>
          </w:tcPr>
          <w:p w14:paraId="12FDB2A1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0446DAA1" w14:textId="77777777" w:rsidTr="008D1587">
        <w:tc>
          <w:tcPr>
            <w:tcW w:w="0" w:type="auto"/>
            <w:hideMark/>
          </w:tcPr>
          <w:p w14:paraId="726DFF2D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À l’aise</w:t>
            </w:r>
          </w:p>
        </w:tc>
        <w:tc>
          <w:tcPr>
            <w:tcW w:w="0" w:type="auto"/>
            <w:hideMark/>
          </w:tcPr>
          <w:p w14:paraId="00E35378" w14:textId="4C52EB41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50,7</w:t>
            </w:r>
          </w:p>
        </w:tc>
        <w:tc>
          <w:tcPr>
            <w:tcW w:w="0" w:type="auto"/>
            <w:hideMark/>
          </w:tcPr>
          <w:p w14:paraId="2C05C849" w14:textId="72101B69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46,2</w:t>
            </w:r>
          </w:p>
        </w:tc>
        <w:tc>
          <w:tcPr>
            <w:tcW w:w="0" w:type="auto"/>
            <w:hideMark/>
          </w:tcPr>
          <w:p w14:paraId="74E15A01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2E78623A" w14:textId="77777777" w:rsidTr="008D1587">
        <w:tc>
          <w:tcPr>
            <w:tcW w:w="0" w:type="auto"/>
            <w:hideMark/>
          </w:tcPr>
          <w:p w14:paraId="2D3E10E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Moyennement à l’aise</w:t>
            </w:r>
          </w:p>
        </w:tc>
        <w:tc>
          <w:tcPr>
            <w:tcW w:w="0" w:type="auto"/>
            <w:hideMark/>
          </w:tcPr>
          <w:p w14:paraId="411B5385" w14:textId="39B46308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30,6</w:t>
            </w:r>
          </w:p>
        </w:tc>
        <w:tc>
          <w:tcPr>
            <w:tcW w:w="0" w:type="auto"/>
            <w:hideMark/>
          </w:tcPr>
          <w:p w14:paraId="505FFAD8" w14:textId="6EF8862D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30,3</w:t>
            </w:r>
          </w:p>
        </w:tc>
        <w:tc>
          <w:tcPr>
            <w:tcW w:w="0" w:type="auto"/>
            <w:hideMark/>
          </w:tcPr>
          <w:p w14:paraId="0D270F08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:rsidRPr="008D1587" w14:paraId="462983B1" w14:textId="77777777" w:rsidTr="008D1587">
        <w:tc>
          <w:tcPr>
            <w:tcW w:w="0" w:type="auto"/>
            <w:hideMark/>
          </w:tcPr>
          <w:p w14:paraId="5B5D0703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  Peu à l’aise</w:t>
            </w:r>
          </w:p>
        </w:tc>
        <w:tc>
          <w:tcPr>
            <w:tcW w:w="0" w:type="auto"/>
            <w:hideMark/>
          </w:tcPr>
          <w:p w14:paraId="1AE2E3EC" w14:textId="5847EB51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8,9</w:t>
            </w:r>
          </w:p>
        </w:tc>
        <w:tc>
          <w:tcPr>
            <w:tcW w:w="0" w:type="auto"/>
            <w:hideMark/>
          </w:tcPr>
          <w:p w14:paraId="0D4E8272" w14:textId="4F405014" w:rsidR="008D1587" w:rsidRPr="008D1587" w:rsidRDefault="008D1587" w:rsidP="00721AA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8D1587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11,0</w:t>
            </w:r>
          </w:p>
        </w:tc>
        <w:tc>
          <w:tcPr>
            <w:tcW w:w="0" w:type="auto"/>
            <w:hideMark/>
          </w:tcPr>
          <w:p w14:paraId="17EEFB40" w14:textId="77777777" w:rsidR="008D1587" w:rsidRPr="008D1587" w:rsidRDefault="008D1587" w:rsidP="008D1587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  <w:tr w:rsidR="008D1587" w14:paraId="084FD536" w14:textId="77777777" w:rsidTr="0096455E">
        <w:tc>
          <w:tcPr>
            <w:tcW w:w="9016" w:type="dxa"/>
            <w:gridSpan w:val="4"/>
          </w:tcPr>
          <w:p w14:paraId="2026B739" w14:textId="714CE01C" w:rsidR="008D1587" w:rsidRPr="008D1587" w:rsidRDefault="008D1587" w:rsidP="00721AA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8D158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Les valeurs </w:t>
            </w:r>
            <w:r w:rsidRPr="008D158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sont exprimés en</w:t>
            </w:r>
            <w:r w:rsidRPr="008D158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pourcentages</w:t>
            </w:r>
            <w:r w:rsidR="00721AA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(%)</w:t>
            </w:r>
            <w:r w:rsidRPr="008D158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. Les p-values sont issues des tests du χ² pour les variables catégorielles.</w:t>
            </w:r>
          </w:p>
        </w:tc>
      </w:tr>
    </w:tbl>
    <w:p w14:paraId="57E6E7E7" w14:textId="77777777" w:rsidR="008D1587" w:rsidRDefault="008D1587" w:rsidP="008D1587"/>
    <w:p w14:paraId="054CC723" w14:textId="6BC3F6FB" w:rsidR="008D1587" w:rsidRPr="008D1587" w:rsidRDefault="008D1587" w:rsidP="008D1587">
      <w:pPr>
        <w:rPr>
          <w:rFonts w:ascii="Times New Roman" w:hAnsi="Times New Roman" w:cs="Times New Roman"/>
          <w:u w:val="single"/>
        </w:rPr>
      </w:pPr>
      <w:r w:rsidRPr="008D1587">
        <w:rPr>
          <w:rFonts w:ascii="Times New Roman" w:hAnsi="Times New Roman" w:cs="Times New Roman"/>
          <w:u w:val="single"/>
        </w:rPr>
        <w:t>Exemple d’interprétation académique</w:t>
      </w:r>
    </w:p>
    <w:p w14:paraId="6B36F84A" w14:textId="4F6F17A1" w:rsidR="008D1587" w:rsidRPr="008D1587" w:rsidRDefault="008D1587" w:rsidP="008D1587">
      <w:pPr>
        <w:spacing w:line="360" w:lineRule="auto"/>
        <w:jc w:val="both"/>
        <w:rPr>
          <w:rFonts w:ascii="Times New Roman" w:hAnsi="Times New Roman" w:cs="Times New Roman"/>
        </w:rPr>
      </w:pPr>
      <w:r w:rsidRPr="008D1587">
        <w:rPr>
          <w:rFonts w:ascii="Times New Roman" w:hAnsi="Times New Roman" w:cs="Times New Roman"/>
        </w:rPr>
        <w:t>La comparaison entre les 4 534 jeunes inclus dans l’échantillon final et les 816 exclus révèle plusieurs différences significatives. Les exclus étaient plus souvent des garçons (51,2 % contre 45,2 % chez les inclus, p=0,002), des adolescents âgés de 18 à 20 ans (29,2 % contre 24,7 %, p=0,007) et résidaient plus fréquemment à Bruxelles (36,3 % contre 28,1 %, p&lt;0,001). De plus, ils déclaraient davantage de poly-consommation récente (39,0 % contre 28,6 %, p&lt;0,001) et provenaient plus souvent de familles percevant une situation financière faible (11,0 % contre 8,9 %, p=0,02).</w:t>
      </w:r>
    </w:p>
    <w:p w14:paraId="11F2474F" w14:textId="1DFDF1BE" w:rsidR="008D1587" w:rsidRPr="008D1587" w:rsidRDefault="008D1587" w:rsidP="008D1587">
      <w:pPr>
        <w:spacing w:line="360" w:lineRule="auto"/>
        <w:jc w:val="both"/>
        <w:rPr>
          <w:rFonts w:ascii="Times New Roman" w:hAnsi="Times New Roman" w:cs="Times New Roman"/>
        </w:rPr>
      </w:pPr>
      <w:r w:rsidRPr="008D1587">
        <w:rPr>
          <w:rFonts w:ascii="Times New Roman" w:hAnsi="Times New Roman" w:cs="Times New Roman"/>
        </w:rPr>
        <w:t>En revanche, aucune différence significative n’a été observée concernant le sentiment de solitude (p=0,63), la satisfaction de vie (p=0,14)</w:t>
      </w:r>
      <w:r>
        <w:rPr>
          <w:rFonts w:ascii="Times New Roman" w:hAnsi="Times New Roman" w:cs="Times New Roman"/>
        </w:rPr>
        <w:t>.</w:t>
      </w:r>
    </w:p>
    <w:sectPr w:rsidR="008D1587" w:rsidRPr="008D1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87"/>
    <w:rsid w:val="00721AA5"/>
    <w:rsid w:val="008D1587"/>
    <w:rsid w:val="00B9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6142"/>
  <w15:chartTrackingRefBased/>
  <w15:docId w15:val="{805EC3A4-02E1-48A5-9BDD-EB260083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15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15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15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15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15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15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15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15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15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15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15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D1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8D1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1</cp:revision>
  <dcterms:created xsi:type="dcterms:W3CDTF">2025-09-25T12:11:00Z</dcterms:created>
  <dcterms:modified xsi:type="dcterms:W3CDTF">2025-09-25T17:59:00Z</dcterms:modified>
</cp:coreProperties>
</file>