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50DC7" w14:textId="77777777" w:rsidR="00CA7084" w:rsidRDefault="005648BA">
      <w:pPr>
        <w:spacing w:beforeAutospacing="1" w:afterAutospacing="1" w:line="360" w:lineRule="auto"/>
        <w:jc w:val="both"/>
        <w:outlineLvl w:val="2"/>
        <w:rPr>
          <w:rFonts w:ascii="Times New Roman" w:eastAsia="Times New Roman" w:hAnsi="Times New Roman" w:cs="Times New Roman"/>
          <w:b/>
          <w:bCs/>
          <w:color w:val="45B0E1" w:themeColor="accent1" w:themeTint="99"/>
          <w:kern w:val="0"/>
          <w:sz w:val="28"/>
          <w:szCs w:val="28"/>
          <w:lang w:eastAsia="fr-BE"/>
          <w14:ligatures w14:val="none"/>
        </w:rPr>
      </w:pPr>
      <w:r>
        <w:rPr>
          <w:rFonts w:ascii="Times New Roman" w:eastAsia="Times New Roman" w:hAnsi="Times New Roman" w:cs="Times New Roman"/>
          <w:b/>
          <w:bCs/>
          <w:color w:val="45B0E1" w:themeColor="accent1" w:themeTint="99"/>
          <w:kern w:val="0"/>
          <w:sz w:val="28"/>
          <w:szCs w:val="28"/>
          <w:lang w:eastAsia="fr-BE"/>
          <w14:ligatures w14:val="none"/>
        </w:rPr>
        <w:t>Introduction</w:t>
      </w:r>
    </w:p>
    <w:p w14:paraId="52CE59F8" w14:textId="77777777" w:rsidR="00CA7084" w:rsidRDefault="005648BA">
      <w:pPr>
        <w:spacing w:beforeAutospacing="1" w:afterAutospacing="1" w:line="360" w:lineRule="auto"/>
        <w:jc w:val="both"/>
        <w:outlineLvl w:val="2"/>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Les maladies cardiovasculaires constituent la première cause de mortalité dans le monde, avec environ 19,8 millions de décès en 2022, soit près de 32 % de l’ensemble des décès, dont 85 % liés à l’infarctus du myocarde et à l’accident vasculaire cérébral </w:t>
      </w:r>
      <w:r>
        <w:fldChar w:fldCharType="begin"/>
      </w:r>
      <w:r>
        <w:rPr>
          <w:rFonts w:ascii="Times New Roman" w:eastAsia="Times New Roman" w:hAnsi="Times New Roman" w:cs="Times New Roman"/>
          <w:kern w:val="0"/>
          <w:lang w:eastAsia="fr-BE"/>
        </w:rPr>
        <w:instrText>ADDIN ZOTERO_ITEM CSL_CITATION {"citationID":"kyQOINaf","properties":{"formattedCitation":"(1)","plainCitation":"(1)","noteIndex":0},"citationItems":[{"id":582,"uris":["http://zotero.org/users/11240916/items/FEDW8EDH"],"itemData":{"id":582,"type":"webpage","abstract":"WHO cardiovascular diseases fact sheet providing key facts and information on risk factors, symptoms, rheumatic heart disease, treatment and prevention, WHO response.","language":"fr","title":"Cardiovascular diseases (CVDs)","URL":"https://www.who.int/news-room/fact-sheets/detail/cardiovascular-diseases-(cvds)","accessed":{"date-parts":[["2026",1,16]]}}}],"schema":"https://github.com/citation-style-language/schema/raw/master/csl-citation.json"}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(1)</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 xml:space="preserve">. La maladie coronarienne, en particulier, représente l’une des principales composantes de ce fardeau et demeure une cause majeure de perte d’années de vie en bonne santé, avec plus de 180 millions de DALYs attribués à l’ischémie myocardique en 2019 </w:t>
      </w:r>
      <w:r>
        <w:fldChar w:fldCharType="begin"/>
      </w:r>
      <w:r>
        <w:rPr>
          <w:rFonts w:ascii="Times New Roman" w:eastAsia="Times New Roman" w:hAnsi="Times New Roman" w:cs="Times New Roman"/>
          <w:kern w:val="0"/>
          <w:lang w:eastAsia="fr-BE"/>
        </w:rPr>
        <w:instrText>ADDIN ZOTERO_ITEM CSL_CITATION {"citationID":"FYSaXcdf","properties":{"formattedCitation":"(2)","plainCitation":"(2)","noteIndex":0},"citationItems":[{"id":584,"uris":["http://zotero.org/users/11240916/items/WVXR84SW"],"itemData":{"id":584,"type":"webpage","title":"Charge mondiale de morbidité liée aux cardiopathies ischémiques de 2022 à 2050 : projections de l’incidence, de la prévalence, de la mortalité et des années de vie corrigées de l’incapacité | European Heart Journal - Quality of Care and Clinical Outcomes | Oxford Academic","URL":"https://academic.oup.com/ehjqcco/article/11/4/355/7699087?utm_source=chatgpt.com","accessed":{"date-parts":[["2026",1,16]]}}}],"schema":"https://github.com/citation-style-language/schema/raw/master/csl-citation.json"}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(2)</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 xml:space="preserve">. Une proportion importante de ces événements pourrait toutefois être prévenue par l’identification précoce et la prise en charge ciblée des sujets à haut risque. C’est dans cette perspective qu’a été initiée, en 1948, la </w:t>
      </w:r>
      <w:r>
        <w:rPr>
          <w:rFonts w:ascii="Times New Roman" w:eastAsia="Times New Roman" w:hAnsi="Times New Roman" w:cs="Times New Roman"/>
          <w:i/>
          <w:iCs/>
          <w:kern w:val="0"/>
          <w:lang w:eastAsia="fr-BE"/>
          <w14:ligatures w14:val="none"/>
        </w:rPr>
        <w:t>Framingham Heart Study</w:t>
      </w:r>
      <w:r>
        <w:rPr>
          <w:rFonts w:ascii="Times New Roman" w:eastAsia="Times New Roman" w:hAnsi="Times New Roman" w:cs="Times New Roman"/>
          <w:kern w:val="0"/>
          <w:lang w:eastAsia="fr-BE"/>
          <w14:ligatures w14:val="none"/>
        </w:rPr>
        <w:t xml:space="preserve">, large cohorte de population générale qui a profondément transformé la compréhension des déterminants du risque cardiovasculaire, en mettant en évidence le rôle de facteurs tels que l’hypertension artérielle, les dyslipidémies, le tabagisme, le diabète ou l’obésité </w:t>
      </w:r>
      <w:r>
        <w:fldChar w:fldCharType="begin"/>
      </w:r>
      <w:r>
        <w:rPr>
          <w:rFonts w:ascii="Times New Roman" w:eastAsia="Times New Roman" w:hAnsi="Times New Roman" w:cs="Times New Roman"/>
          <w:kern w:val="0"/>
          <w:lang w:eastAsia="fr-BE"/>
        </w:rPr>
        <w:instrText>ADDIN ZOTERO_ITEM CSL_CITATION {"citationID":"NavrI1WD","properties":{"formattedCitation":"(3)","plainCitation":"(3)","noteIndex":0},"citationItems":[{"id":585,"uris":["http://zotero.org/users/11240916/items/GM5287VB"],"itemData":{"id":585,"type":"webpage","title":"Maladies cardiovasculaires (risque à 10 ans) | Étude de Framingham sur le cœur","URL":"https://www.framinghamheartstudy.org/fhs-risk-functions/cardiovascular-disease-10-year-risk/?utm_source=chatgpt.com","accessed":{"date-parts":[["2026",1,16]]}}}],"schema":"https://github.com/citation-style-language/schema/raw/master/csl-citation.json"}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(3)</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r>
        <w:t xml:space="preserve"> </w:t>
      </w:r>
    </w:p>
    <w:p w14:paraId="515E4E4B" w14:textId="77777777" w:rsidR="00CA7084" w:rsidRDefault="005648BA">
      <w:pPr>
        <w:spacing w:beforeAutospacing="1" w:afterAutospacing="1" w:line="360" w:lineRule="auto"/>
        <w:jc w:val="both"/>
        <w:outlineLvl w:val="2"/>
        <w:rPr>
          <w:b/>
          <w:bCs/>
          <w:color w:val="C9211E"/>
          <w:shd w:val="clear" w:color="auto" w:fill="FFFF00"/>
        </w:rPr>
      </w:pPr>
      <w:r>
        <w:rPr>
          <w:b/>
          <w:bCs/>
          <w:color w:val="C9211E"/>
          <w:shd w:val="clear" w:color="auto" w:fill="FFFF00"/>
        </w:rPr>
        <w:t>cite le clinique où les données sont collectée</w:t>
      </w:r>
    </w:p>
    <w:p w14:paraId="29EE6CDD" w14:textId="77777777" w:rsidR="00CA7084" w:rsidRDefault="005648BA">
      <w:pPr>
        <w:spacing w:beforeAutospacing="1" w:afterAutospacing="1" w:line="360" w:lineRule="auto"/>
        <w:jc w:val="both"/>
        <w:outlineLvl w:val="2"/>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À partir de cette cohorte, plusieurs fonctions de risque multivariées ont été proposées pour estimer le risque à 10 ans d’événements coronariens ou cardiovasculaires, reposant classiquement sur des modèles de régression logistique ou de Cox intégrant l’âge, le sexe, la pression artérielle, les lipides, le tabagisme et le diabète </w:t>
      </w:r>
      <w:r>
        <w:fldChar w:fldCharType="begin"/>
      </w:r>
      <w:r>
        <w:rPr>
          <w:rFonts w:ascii="Times New Roman" w:eastAsia="Times New Roman" w:hAnsi="Times New Roman" w:cs="Times New Roman"/>
          <w:kern w:val="0"/>
          <w:lang w:eastAsia="fr-BE"/>
        </w:rPr>
        <w:instrText>ADDIN ZOTERO_ITEM CSL_CITATION {"citationID":"zwiM7qtC","properties":{"formattedCitation":"(4)","plainCitation":"(4)","noteIndex":0},"citationItems":[{"id":587,"uris":["http://zotero.org/users/11240916/items/956Z5TZY"],"itemData":{"id":587,"type":"article-journal","abstract":"Prediction models are developed to aid health care providers in estimating the probability or risk that a specific disease or condition is present (diagnostic models) or that a specific event will occur in the future (prognostic models), to inform their decision making. However, the overwhelming evidence shows that the quality of reporting of prediction model studies is poor. Only with full and clear reporting of information on all aspects of a prediction model can risk of bias and potential usefulness of prediction models be adequately assessed. The Transparent Reporting of a multivariable prediction model for Individual Prognosis Or Diagnosis (TRIPOD) Initiative developed a set of recommendations for the reporting of studies developing, validating, or updating a prediction model, whether for diagnostic or prognostic purposes. This article describes how the TRIPOD Statement was developed. An extensive list of items based on a review of the literature was created, which was reduced after a Web based survey and revised during a three day meeting in June 2011 with methodologists, health care professionals, and journal editors. The list was refined during several meetings of the steering group and in e-mail discussions with the wider group of TRIPOD contributors. The resulting TRIPOD Statement is a checklist of 22 items, deemed essential for transparent reporting of a prediction model study. The TRIPOD Statement aims to improve the transparency of the reporting of a prediction model study regardless of the study methods used. The TRIPOD Statement is best used in conjunction with the TRIPOD explanation and elaboration document. To aid the editorial process and readers of prediction model studies, it is recommended that authors include a completed checklist in their submission (also available at www.tripod-statement.org).To encourage dissemination of the TRIPOD Statement, this article is freely accessible on the Annals of Internal Medicine Web site (www.annals.org) and will be also published in BJOG, British Journal of Cancer, British Journal of Surgery, BMC Medicine, The BMJ, Circulation, Diabetic Medicine, European Journal of Clinical Investigation, European Urology, and Journal of Clinical Epidemiology. The authors jointly hold the copyright of this article. An accompanying explanation and elaboration article is freely available only on www.annals.org; Annals of Internal Medicine holds copyright for that article.","container-title":"BMJ (Clinical research ed.)","DOI":"10.1136/bmj.g7594","ISSN":"1756-1833","journalAbbreviation":"BMJ","language":"eng","page":"g7594","PMID":"25569120","source":"PubMed","title":"Transparent reporting of a multivariable prediction model for individual prognosis or diagnosis (TRIPOD): the TRIPOD statement","title-short":"Transparent reporting of a multivariable prediction model for individual prognosis or diagnosis (TRIPOD)","volume":"350","author":[{"family":"Collins","given":"Gary S."},{"family":"Reitsma","given":"Johannes B."},{"family":"Altman","given":"Douglas G."},{"family":"Moons","given":"Karel G. M."}],"issued":{"date-parts":[["2015",1,7]]}}}],"schema":"https://github.com/citation-style-language/schema/raw/master/csl-citation.json"}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(4)</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 xml:space="preserve">. Ces scores sont largement diffusés en pratique clinique, mais plusieurs études ont souligné des limites de transportabilité et de calibration lorsqu’ils sont appliqués à d’autres contextes que celui de Framingham, conduisant souvent à une surestimation du risque et à la nécessité de recalibrations locales </w:t>
      </w:r>
      <w:r>
        <w:fldChar w:fldCharType="begin"/>
      </w:r>
      <w:r>
        <w:rPr>
          <w:rFonts w:ascii="Times New Roman" w:eastAsia="Times New Roman" w:hAnsi="Times New Roman" w:cs="Times New Roman"/>
          <w:kern w:val="0"/>
          <w:lang w:eastAsia="fr-BE"/>
        </w:rPr>
        <w:instrText>ADDIN ZOTERO_ITEM CSL_CITATION {"citationID":"nD2mB1e0","properties":{"formattedCitation":"(5)","plainCitation":"(5)","noteIndex":0},"citationItems":[{"id":590,"uris":["http://zotero.org/users/11240916/items/BY55VXBU"],"itemData":{"id":590,"type":"article-journal","abstract":"Background\nMetabolic syndrome (MetS) is a cluster of risk factors and the Framingham risk score (FRS) is a useful metric for measuring the 10-year cardiovascular disease (CVD) risk of the population. The present study aimed to determine the 10-year risk of cardiovascular disease using the Framingham risk score in people with and without MetS in a large Iranian cohort study.\n\nMethods\nThis cross-sectional study was done using the Fasa cohort. Participants aged ≥ 35 years old were recruited to the study from 2015 to 2016. The FRS was calculated using age, sex, current smoking, diabetes, systolic blood pressure (SBP), total cholesterol, and high-density lipoprotein (HDL) cholesterol. MetS was defined as the presence of three or more of the MetS risk factors including triglyceride (TG) level ≥ 150 mg dl− 1, HDL level &lt; 40 mg dl− 1 in men and &lt; 50 mg dl− 1 in women, systolic/diastolic blood pressure ≥ 130/≥85 mmHg or using medicine for hypertension, fasting blood sugar (FBS) level ≥ 100 mg dl− 1 or using diabetes medication and abdominal obesity considered as waist circumference (WC) ≥ 88 cm for women and ≥ 102 cm for men. Multiple logistic regressions were applied to estimate the 10- year CVD risk among people with and without MetS.\n\nResults\nOf 8949 participants, 1928 people (21.6%) had MetS. The mean age of the participants with and without Mets was 50.4 ± 9.2 years and 46.9 ± 9.1 years respectively. In total 15.3% of participants with MetS and 8.0% of participants without MetS were in the high-risk category of 10-year CVD risk. Among participants with MetS gender, TG, SBP, FBS and in people without MetS gender, TG, SBP, FBS, and HDL showed strong associations with the predicted 10-year CVD risk.\n\nConclusion\nMale sex and increased SBP, TG, and FBS parameters were strongly associated with increased 10-year risk of CVD in people with and without MetS. In people without MetS, reduced HDL-cholestrol was strongly associated with increased 10-year risk of CVD. The recognition of participant’s TG, blood pressure (BP), FBS and planning appropriate lifestyle interventions related to these characteristics is an important step towards prevention of CVD.","container-title":"BMC Endocrine Disorders","DOI":"10.1186/s12902-024-01621-5","ISSN":"1472-6823","journalAbbreviation":"BMC Endocr Disord","page":"95","PMID":"38915041","PMCID":"PMC11194982","source":"PubMed Central","title":"Framingham risk scores for determination the 10-year risk of cardiovascular disease in participants with and without the metabolic syndrome: results of the Fasa Persian cohort study","title-short":"Framingham risk scores for determination the 10-year risk of cardiovascular disease in participants with and without the metabolic syndrome","volume":"24","author":[{"family":"Dehghan","given":"Azizallah"},{"family":"Jahangiry","given":"Leila"},{"family":"Khezri","given":"Rozhan"},{"family":"Jafari","given":"Alireza"},{"family":"Pezeshki","given":"Babak"},{"family":"Rezaei","given":"Fatemeh"},{"family":"Aune","given":"Dagfinn"}],"issued":{"date-parts":[["2024",6,24]]}}}],"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(5)</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 xml:space="preserve">. </w:t>
      </w:r>
    </w:p>
    <w:p w14:paraId="3AD3170D" w14:textId="77777777" w:rsidR="00CA7084" w:rsidRDefault="005648BA">
      <w:pPr>
        <w:spacing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Parallèlement, le développement de méthodes de modélisation plus flexibles a suscité un intérêt croissant pour des approches capables de capturer des relations non linéaires et des interactions entre facteurs de risque, dans l’objectif d’améliorer la discrimination et la calibration des modèles prédictifs cardiovasculaires </w:t>
      </w:r>
      <w:r>
        <w:fldChar w:fldCharType="begin"/>
      </w:r>
      <w:r>
        <w:rPr>
          <w:rFonts w:ascii="Times New Roman" w:eastAsia="Times New Roman" w:hAnsi="Times New Roman" w:cs="Times New Roman"/>
          <w:kern w:val="0"/>
          <w:lang w:eastAsia="fr-BE"/>
        </w:rPr>
        <w:instrText>ADDIN ZOTERO_ITEM CSL_CITATION {"citationID":"yIAiJiAx","properties":{"formattedCitation":"(6)","plainCitation":"(6)","noteIndex":0},"citationItems":[{"id":593,"uris":["http://zotero.org/users/11240916/items/5ZIZUCSJ"],"itemData":{"id":593,"type":"article-journal","abstract":"Machine learning and genomic medicine are the mainstays of research in delivering personalized healthcare services for disease diagnosis, risk stratification, tailored treatment, and prediction of adverse effects. However, potential prediction errors in healthcare services can have life-threatening impact, raising reasonable skepticism about whether these applications have practical benefit in clinical settings. Conformal prediction offers a versatile framework for addressing these concerns by quantifying the uncertainty of predictive models. In this perspective review, we investigate potential applications of conformalized models in genomic medicine and discuss the challenges towards bridging genomic medicine applications with clinical practice. We also demonstrate the impact of a binary transductive model and a regression-based inductive model in predicting drug response as well as the performance of a multi-class inductive predictor in addressing distribution shifts in molecular subtyping. The main conclusion is that as machine learning and genomic medicine are increasingly infiltrating healthcare services, conformal prediction has the potential to overcome the safety limitations of current methods and could be effectively integrated into uncertainty-informed applications within clinical environments.","container-title":"Frontiers in Bioinformatics","DOI":"10.3389/fbinf.2025.1507448","ISSN":"2673-7647","journalAbbreviation":"Front Bioinform","page":"1507448","PMID":"40066074","PMCID":"PMC11891349","source":"PubMed Central","title":"Reliable machine learning models in genomic medicine using conformal prediction","volume":"5","author":[{"family":"Papangelou","given":"Christina"},{"family":"Kyriakidis","given":"Konstantinos"},{"family":"Natsiavas","given":"Pantelis"},{"family":"Chouvarda","given":"Ioanna"},{"family":"Malousi","given":"Andigoni"}],"issued":{"date-parts":[["2025",2,24]]}}}],"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(6)</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r>
        <w:t xml:space="preserve"> </w:t>
      </w:r>
      <w:r>
        <w:rPr>
          <w:rFonts w:ascii="Times New Roman" w:eastAsia="Times New Roman" w:hAnsi="Times New Roman" w:cs="Times New Roman"/>
          <w:kern w:val="0"/>
          <w:lang w:eastAsia="fr-BE"/>
          <w14:ligatures w14:val="none"/>
        </w:rPr>
        <w:t xml:space="preserve"> L’application de ces modèles à des bases cliniques réelles pose toutefois plusieurs défis méthodologiques. Un premier enjeu concerne le déséquilibre de classes : dans de nombreux jeux de données en cardiologie, les événements d’intérêt représentent une proportion minoritaire des observations (souvent &lt; 30 %), comme c’est le cas dans l’extrait de la cohorte de Framingham utilisé ici (environ 15 % d’événements coronariens à dix ans). Dans ce contexte, un modèle qui optimiserait </w:t>
      </w:r>
      <w:r>
        <w:rPr>
          <w:rFonts w:ascii="Times New Roman" w:eastAsia="Times New Roman" w:hAnsi="Times New Roman" w:cs="Times New Roman"/>
          <w:kern w:val="0"/>
          <w:lang w:eastAsia="fr-BE"/>
          <w14:ligatures w14:val="none"/>
        </w:rPr>
        <w:lastRenderedPageBreak/>
        <w:t>uniquement l’exactitude globale (</w:t>
      </w:r>
      <w:r>
        <w:rPr>
          <w:rFonts w:ascii="Times New Roman" w:eastAsia="Times New Roman" w:hAnsi="Times New Roman" w:cs="Times New Roman"/>
          <w:i/>
          <w:iCs/>
          <w:kern w:val="0"/>
          <w:lang w:eastAsia="fr-BE"/>
          <w14:ligatures w14:val="none"/>
        </w:rPr>
        <w:t>accuracy</w:t>
      </w:r>
      <w:r>
        <w:rPr>
          <w:rFonts w:ascii="Times New Roman" w:eastAsia="Times New Roman" w:hAnsi="Times New Roman" w:cs="Times New Roman"/>
          <w:kern w:val="0"/>
          <w:lang w:eastAsia="fr-BE"/>
          <w14:ligatures w14:val="none"/>
        </w:rPr>
        <w:t xml:space="preserve">) tendrait à privilégier la classe majoritaire (patients sans événement) et à présenter une sensibilité très faible pour la classe événement, ce qui est problématique pour la décision clinique. Des stratégies de rééquilibrage, telles que le sur-échantillonnage synthétique (SMOTE), le sous-échantillonnage ou l’introduction de coûts différenciés, ont été proposées pour mieux prendre en compte la classe minoritaire, avec des résultats contrastés sur la discrimination, la calibration et la généralisable des modèles </w:t>
      </w:r>
      <w:r>
        <w:fldChar w:fldCharType="begin"/>
      </w:r>
      <w:r>
        <w:rPr>
          <w:rFonts w:ascii="Times New Roman" w:eastAsia="Times New Roman" w:hAnsi="Times New Roman" w:cs="Times New Roman"/>
          <w:kern w:val="0"/>
          <w:lang w:eastAsia="fr-BE"/>
        </w:rPr>
        <w:instrText>ADDIN ZOTERO_ITEM CSL_CITATION {"citationID":"hck60qid","properties":{"formattedCitation":"(7)","plainCitation":"(7)","noteIndex":0},"citationItems":[{"id":597,"uris":["http://zotero.org/users/11240916/items/2WM79QAG"],"itemData":{"id":597,"type":"article-journal","issue":"3","language":"en","source":"Zotero","title":"CONFORMAL APPROACH TO GAUSSIAN PROCESS SURROGATE EVALUATION WITH MARGINAL COVERAGE GUARANTEES","volume":"6","author":[{"family":"Jaber","given":"Edgar"},{"family":"Blot","given":"Vincent"},{"family":"Brunel","given":"Nicolas J B"},{"family":"Chabridon","given":"Vincent"},{"family":"Remy","given":"Emmanuel"},{"family":"Iooss","given":"Bertrand"},{"family":"Lucor","given":"Didier"},{"family":"Mougeot","given":"Mathilde"},{"family":"Leite","given":"Alessandro"}],"issued":{"date-parts":[["2025"]]}}}],"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(7)</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 xml:space="preserve">. </w:t>
      </w:r>
    </w:p>
    <w:p w14:paraId="4F28337A" w14:textId="77777777" w:rsidR="00CA7084" w:rsidRDefault="005648BA">
      <w:pPr>
        <w:spacing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Un second enjeu majeur concerne la gestion des valeurs manquantes, fréquentes dans les bases de données observationnelles. L’exclusion des enregistrements incomplets réduit la puissance et peut introduire un biais lorsque les données ne sont pas manquantes complètement au hasard. Les approches contemporaines recommandent le recours à des méthodes d’imputation multivariée, en particulier l’imputation multiple par équations en chaîne (</w:t>
      </w:r>
      <w:r>
        <w:rPr>
          <w:rFonts w:ascii="Times New Roman" w:eastAsia="Times New Roman" w:hAnsi="Times New Roman" w:cs="Times New Roman"/>
          <w:i/>
          <w:iCs/>
          <w:kern w:val="0"/>
          <w:lang w:eastAsia="fr-BE"/>
          <w14:ligatures w14:val="none"/>
        </w:rPr>
        <w:t>Multiple Imputation by Chained Equations</w:t>
      </w:r>
      <w:r>
        <w:rPr>
          <w:rFonts w:ascii="Times New Roman" w:eastAsia="Times New Roman" w:hAnsi="Times New Roman" w:cs="Times New Roman"/>
          <w:kern w:val="0"/>
          <w:lang w:eastAsia="fr-BE"/>
          <w14:ligatures w14:val="none"/>
        </w:rPr>
        <w:t>, MICE), qui permettent de mieux préserver les distributions des covariables et les relations entre prédicteurs et évènement que les imputations univariées simples</w:t>
      </w:r>
      <w:r>
        <w:fldChar w:fldCharType="begin"/>
      </w:r>
      <w:r>
        <w:rPr>
          <w:rFonts w:ascii="Times New Roman" w:eastAsia="Times New Roman" w:hAnsi="Times New Roman" w:cs="Times New Roman"/>
          <w:kern w:val="0"/>
          <w:lang w:eastAsia="fr-BE"/>
        </w:rPr>
        <w:instrText>ADDIN ZOTERO_ITEM CSL_CITATION {"citationID":"ukIOh4v3","properties":{"formattedCitation":"(8)","plainCitation":"(8)","noteIndex":0},"citationItems":[{"id":598,"uris":["http://zotero.org/users/11240916/items/VN8K5VVW"],"itemData":{"id":598,"type":"article-journal","abstract":"Missing data are a common occurrence in real datasets. For epidemiological and prognostic factors studies in medicine, multiple imputation is becoming the standard route to estimating models with missing covariate data under a missing-at-random assumption. We describe ice, an implementation in Stata of the MICE approach to multiple imputation. Real data from an observational study in ovarian cancer are used to illustrate the most important of the many options available with ice. We remark briefly on the new database architecture and procedures for multiple imputation introduced in releases 11 and 12 of Stata.","container-title":"Journal of Statistical Software","DOI":"10.18637/jss.v045.i04","ISSN":"1548-7660","language":"en","license":"Copyright (c) 2009 Patrick Royston, Ian R. White","page":"1-20","source":"www.jstatsoft.org","title":"Multiple Imputation by Chained Equations (MICE): Implementation in Stata","title-short":"Multiple Imputation by Chained Equations (MICE)","volume":"45","author":[{"family":"Royston","given":"Patrick"},{"family":"White","given":"Ian R."}],"issued":{"date-parts":[["2011",12,12]]}}}],"schema":"https://github.com/citation-style-language/schema/raw/master/csl-citation.json"}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(8)</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r>
        <w:t xml:space="preserve"> </w:t>
      </w:r>
      <w:r>
        <w:rPr>
          <w:rFonts w:ascii="Times New Roman" w:eastAsia="Times New Roman" w:hAnsi="Times New Roman" w:cs="Times New Roman"/>
          <w:kern w:val="0"/>
          <w:lang w:eastAsia="fr-BE"/>
          <w14:ligatures w14:val="none"/>
        </w:rPr>
        <w:t xml:space="preserve"> L’interaction entre ces choix de prétraitement (imputation) et les stratégies de gestion du déséquilibre de classes demeure cependant peu documentée dans le domaine de la prédiction cardiovasculaire.</w:t>
      </w:r>
    </w:p>
    <w:p w14:paraId="544B9C6C" w14:textId="77777777" w:rsidR="00CA7084" w:rsidRDefault="005648BA">
      <w:pPr>
        <w:spacing w:line="360" w:lineRule="auto"/>
        <w:jc w:val="both"/>
        <w:rPr>
          <w:b/>
          <w:bCs/>
          <w:shd w:val="clear" w:color="auto" w:fill="FFFF00"/>
          <w14:ligatures w14:val="none"/>
        </w:rPr>
      </w:pPr>
      <w:r>
        <w:rPr>
          <w:rFonts w:ascii="Times New Roman" w:eastAsia="Times New Roman" w:hAnsi="Times New Roman" w:cs="Times New Roman"/>
          <w:b/>
          <w:bCs/>
          <w:kern w:val="0"/>
          <w:shd w:val="clear" w:color="auto" w:fill="FFFF00"/>
          <w:lang w:eastAsia="fr-BE"/>
          <w14:ligatures w14:val="none"/>
        </w:rPr>
        <w:t>Trop de détails pour une intro, tu peux citer uniquement les difficultés (données manquantes et déséquilibre sans parler des solutions à ce niveau)</w:t>
      </w:r>
    </w:p>
    <w:p w14:paraId="73BCB18D" w14:textId="77777777" w:rsidR="00CA7084" w:rsidRDefault="005648BA">
      <w:pPr>
        <w:spacing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Enfin, au-delà des performances ponctuelles, la quantification de l’incertitude des prédictions représente un enjeu central pour l’utilisation de modèles en pratique clinique. Sur le plan global, des méthodes de ré-échantillonnage telles que le bootstrap permettent d’estimer l’incertitude autour de métriques de performance (par exemple, intervalles de confiance pour le rappel, la précision ou l’AUC), comme recommandé dans les travaux récents sur le développement et la validation des modèles de risque </w:t>
      </w:r>
      <w:r>
        <w:fldChar w:fldCharType="begin"/>
      </w:r>
      <w:r>
        <w:rPr>
          <w:rFonts w:ascii="Times New Roman" w:eastAsia="Times New Roman" w:hAnsi="Times New Roman" w:cs="Times New Roman"/>
          <w:kern w:val="0"/>
          <w:lang w:eastAsia="fr-BE"/>
        </w:rPr>
        <w:instrText>ADDIN ZOTERO_ITEM CSL_CITATION {"citationID":"zqk0xHuH","properties":{"formattedCitation":"(9)","plainCitation":"(9)","noteIndex":0},"citationItems":[{"id":600,"uris":["http://zotero.org/users/11240916/items/6VQQ47YQ"],"itemData":{"id":600,"type":"article-journal","container-title":"Annals of Internal Medicine","DOI":"10.7326/M14-0698","ISSN":"0003-4819, 1539-3704","issue":"1","journalAbbreviation":"Ann Intern Med","language":"en","page":"W1-W73","source":"DOI.org (Crossref)","title":"Transparent Reporting of a multivariable prediction model for Individual Prognosis Or Diagnosis (TRIPOD): Explanation and Elaboration","title-short":"Transparent Reporting of a multivariable prediction model for Individual Prognosis Or Diagnosis (TRIPOD)","volume":"162","author":[{"family":"Moons","given":"Karel G.M."},{"family":"Altman","given":"Douglas G."},{"family":"Reitsma","given":"Johannes B."},{"family":"Ioannidis","given":"John P.A."},{"family":"Macaskill","given":"Petra"},{"family":"Steyerberg","given":"Ewout W."},{"family":"Vickers","given":"Andrew J."},{"family":"Ransohoff","given":"David F."},{"family":"Collins","given":"Gary S."}],"issued":{"date-parts":[["2015",1,6]]}}}],"schema":"https://github.com/citation-style-language/schema/raw/master/csl-citation.json"}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(9)</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r>
        <w:t xml:space="preserve"> </w:t>
      </w:r>
    </w:p>
    <w:p w14:paraId="28F451A7" w14:textId="77777777" w:rsidR="00CA7084" w:rsidRDefault="005648BA">
      <w:pPr>
        <w:spacing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Sur le plan individuel, des cadres comme la prédiction conforme (</w:t>
      </w:r>
      <w:r>
        <w:rPr>
          <w:rFonts w:ascii="Times New Roman" w:eastAsia="Times New Roman" w:hAnsi="Times New Roman" w:cs="Times New Roman"/>
          <w:i/>
          <w:iCs/>
          <w:kern w:val="0"/>
          <w:lang w:eastAsia="fr-BE"/>
          <w14:ligatures w14:val="none"/>
        </w:rPr>
        <w:t>conformal prediction</w:t>
      </w:r>
      <w:r>
        <w:rPr>
          <w:rFonts w:ascii="Times New Roman" w:eastAsia="Times New Roman" w:hAnsi="Times New Roman" w:cs="Times New Roman"/>
          <w:kern w:val="0"/>
          <w:lang w:eastAsia="fr-BE"/>
          <w14:ligatures w14:val="none"/>
        </w:rPr>
        <w:t xml:space="preserve">) offrent la possibilité de produire, à partir de scores de probabilité, des ensembles prédictifs assortis de garanties formelles de couverture, ce qui fournit un moyen explicite de représenter l’incertitude pour chaque patient </w:t>
      </w:r>
      <w:r>
        <w:fldChar w:fldCharType="begin"/>
      </w:r>
      <w:r>
        <w:rPr>
          <w:rFonts w:ascii="Times New Roman" w:eastAsia="Times New Roman" w:hAnsi="Times New Roman" w:cs="Times New Roman"/>
          <w:kern w:val="0"/>
          <w:lang w:eastAsia="fr-BE"/>
        </w:rPr>
        <w:instrText>ADDIN ZOTERO_ITEM CSL_CITATION {"citationID":"LCpPNJm6","properties":{"formattedCitation":"(10)","plainCitation":"(10)","noteIndex":0},"citationItems":[{"id":601,"uris":["http://zotero.org/users/11240916/items/SITUI57W"],"itemData":{"id":601,"type":"article-journal","abstract":"Machine learning and genomic medicine are the mainstays of research in delivering personalized healthcare services for disease diagnosis, risk stratification, tailored treatment, and prediction of adverse effects. However, potential prediction errors in healthcare services can have life-threatening impact, raising reasonable skepticism about whether these applications have practical benefit in clinical settings. Conformal prediction offers a versatile framework for addressing these concerns by quantifying the uncertainty of predictive models. In this perspective review, we investigate potential applications of conformalized models in genomic medicine and discuss the challenges towards bridging genomic medicine applications with clinical practice. We also demonstrate the impact of a binary transductive model and a regression-based inductive model in predicting drug response as well as the performance of a multi-class inductive predictor in addressing distribution shifts in molecular subtyping. The main conclusion is that as machine learning and genomic medicine are increasingly infiltrating healthcare services, conformal prediction has the potential to overcome the safety limitations of current methods and could be effectively integrated into uncertainty-informed applications within clinical environments.","container-title":"Frontiers in Bioinformatics","DOI":"10.3389/fbinf.2025.1507448","ISSN":"2673-7647","journalAbbreviation":"Front Bioinform","page":"1507448","PMID":"40066074","PMCID":"PMC11891349","source":"PubMed Central","title":"Reliable machine learning models in genomic medicine using conformal prediction","volume":"5","author":[{"family":"Papangelou","given":"Christina"},{"family":"Kyriakidis","given":"Konstantinos"},{"family":"Natsiavas","given":"Pantelis"},{"family":"Chouvarda","given":"Ioanna"},{"family":"Malousi","given":"Andigoni"}],"issued":{"date-parts":[["2025",2,24]]}}}],"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(10)</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r>
        <w:t xml:space="preserve"> </w:t>
      </w:r>
    </w:p>
    <w:p w14:paraId="3FED4F02" w14:textId="77777777" w:rsidR="00CA7084" w:rsidRDefault="005648BA">
      <w:pPr>
        <w:spacing w:line="360" w:lineRule="auto"/>
        <w:jc w:val="both"/>
        <w:rPr>
          <w:b/>
          <w:bCs/>
          <w:color w:val="C9211E"/>
          <w:shd w:val="clear" w:color="auto" w:fill="FFFF00"/>
        </w:rPr>
      </w:pPr>
      <w:r>
        <w:rPr>
          <w:b/>
          <w:bCs/>
          <w:color w:val="C9211E"/>
          <w:shd w:val="clear" w:color="auto" w:fill="FFFF00"/>
        </w:rPr>
        <w:t>pas clair le paragraphe suivant</w:t>
      </w:r>
    </w:p>
    <w:p w14:paraId="0DFCC351" w14:textId="77777777" w:rsidR="00CA7084" w:rsidRDefault="005648BA">
      <w:pPr>
        <w:spacing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lastRenderedPageBreak/>
        <w:t xml:space="preserve">La conception de l’étude et le reporting des résultats s’appuient sur les recommandations récentes pour les modèles de prédiction clinique, en particulier les principes de transparence et de reproductibilité portés par TRIPOD et son extension TRIPOD+AI, sans détailler ici l’ensemble de la checklist </w:t>
      </w:r>
      <w:r>
        <w:fldChar w:fldCharType="begin"/>
      </w:r>
      <w:r>
        <w:rPr>
          <w:rFonts w:ascii="Times New Roman" w:eastAsia="Times New Roman" w:hAnsi="Times New Roman" w:cs="Times New Roman"/>
          <w:kern w:val="0"/>
          <w:lang w:eastAsia="fr-BE"/>
        </w:rPr>
        <w:instrText>ADDIN ZOTERO_ITEM CSL_CITATION {"citationID":"jCcbXF66","properties":{"formattedCitation":"(9)","plainCitation":"(9)","noteIndex":0},"citationItems":[{"id":600,"uris":["http://zotero.org/users/11240916/items/6VQQ47YQ"],"itemData":{"id":600,"type":"article-journal","container-title":"Annals of Internal Medicine","DOI":"10.7326/M14-0698","ISSN":"0003-4819, 1539-3704","issue":"1","journalAbbreviation":"Ann Intern Med","language":"en","page":"W1-W73","source":"DOI.org (Crossref)","title":"Transparent Reporting of a multivariable prediction model for Individual Prognosis Or Diagnosis (TRIPOD): Explanation and Elaboration","title-short":"Transparent Reporting of a multivariable prediction model for Individual Prognosis Or Diagnosis (TRIPOD)","volume":"162","author":[{"family":"Moons","given":"Karel G.M."},{"family":"Altman","given":"Douglas G."},{"family":"Reitsma","given":"Johannes B."},{"family":"Ioannidis","given":"John P.A."},{"family":"Macaskill","given":"Petra"},{"family":"Steyerberg","given":"Ewout W."},{"family":"Vickers","given":"Andrew J."},{"family":"Ransohoff","given":"David F."},{"family":"Collins","given":"Gary S."}],"issued":{"date-parts":[["2015",1,6]]}}}],"schema":"https://github.com/citation-style-language/schema/raw/master/csl-citation.json"}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(9)</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 Les résultats seront systématiquement mis en regard des travaux publiés sur la base Framingham ou sur des jeux de données cardiovasculaires apparentés, afin de situer les performances observées et de discuter la pertinence des choix méthodologiques en épidémiologie clinique. Au-delà de la comparaison méthodologique, l’objectif ultime est de déterminer dans quelle mesure un modèle de risque bien calibré, accompagné d’une estimation explicite de son incertitude, pourrait servir d’outil d’aide à la décision pour repérer plus finement les patients à haut risque, guider l’intensification des traitements préventifs (par exemple statines et antihypertenseurs) et structurer des stratégies de prévention primaire plus ciblées au niveau individuel et populationnel.</w:t>
      </w:r>
    </w:p>
    <w:p w14:paraId="34DDA7C2" w14:textId="77777777" w:rsidR="00CA7084" w:rsidRDefault="005648BA">
      <w:pPr>
        <w:spacing w:line="360" w:lineRule="auto"/>
        <w:jc w:val="both"/>
        <w:rPr>
          <w:rFonts w:ascii="Times New Roman" w:eastAsia="Times New Roman" w:hAnsi="Times New Roman" w:cs="Times New Roman"/>
          <w:b/>
          <w:bCs/>
          <w:color w:val="45B0E1" w:themeColor="accent1" w:themeTint="99"/>
          <w:kern w:val="0"/>
          <w:sz w:val="28"/>
          <w:szCs w:val="28"/>
          <w:lang w:eastAsia="fr-BE"/>
          <w14:ligatures w14:val="none"/>
        </w:rPr>
      </w:pPr>
      <w:r>
        <w:rPr>
          <w:rFonts w:ascii="Times New Roman" w:eastAsia="Times New Roman" w:hAnsi="Times New Roman" w:cs="Times New Roman"/>
          <w:b/>
          <w:bCs/>
          <w:color w:val="45B0E1" w:themeColor="accent1" w:themeTint="99"/>
          <w:kern w:val="0"/>
          <w:sz w:val="28"/>
          <w:szCs w:val="28"/>
          <w:lang w:eastAsia="fr-BE"/>
          <w14:ligatures w14:val="none"/>
        </w:rPr>
        <w:t>Objectifs de l’étude</w:t>
      </w:r>
    </w:p>
    <w:p w14:paraId="36799332" w14:textId="77777777" w:rsidR="00CA7084" w:rsidRDefault="005648BA">
      <w:pPr>
        <w:spacing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L’objectif général de ce travail est de développer et d’évaluer des modèles de prédiction du risque de maladie cardiaque à dix ans à partir de la base Framingham, en s’appuyant sur des algorithmes d’apprentissage automatique et sur des méthodes explicites de quantification de l’incertitude, dans une perspective d’aide à la décision médicale.</w:t>
      </w:r>
    </w:p>
    <w:p w14:paraId="7110B735" w14:textId="77777777" w:rsidR="00CA7084" w:rsidRDefault="005648BA">
      <w:pPr>
        <w:spacing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De manière plus spécifique, le projet vise à :</w:t>
      </w:r>
    </w:p>
    <w:p w14:paraId="2951687D" w14:textId="77777777" w:rsidR="00CA7084" w:rsidRDefault="005648BA">
      <w:pPr>
        <w:pStyle w:val="NormalWeb"/>
        <w:numPr>
          <w:ilvl w:val="0"/>
          <w:numId w:val="2"/>
        </w:numPr>
        <w:spacing w:before="280" w:after="0" w:line="360" w:lineRule="auto"/>
        <w:jc w:val="both"/>
      </w:pPr>
      <w:r>
        <w:t xml:space="preserve"> </w:t>
      </w:r>
      <w:r>
        <w:rPr>
          <w:rStyle w:val="lev"/>
          <w:rFonts w:eastAsiaTheme="majorEastAsia"/>
        </w:rPr>
        <w:t>Décrire et analyser la base de données</w:t>
      </w:r>
      <w:r>
        <w:t xml:space="preserve"> issue de la </w:t>
      </w:r>
      <w:r>
        <w:rPr>
          <w:rStyle w:val="Accentuation"/>
          <w:rFonts w:eastAsiaTheme="majorEastAsia"/>
        </w:rPr>
        <w:t>Framingham Heart Study</w:t>
      </w:r>
      <w:r>
        <w:t>, en caractérisant la distribution des variables cliniques et biologiques, la présence de valeurs manquantes et de valeurs extrêmes, ainsi que le déséquilibre entre classes (événement vs non-événement).</w:t>
      </w:r>
    </w:p>
    <w:p w14:paraId="33223D2E" w14:textId="77777777" w:rsidR="00CA7084" w:rsidRDefault="005648BA">
      <w:pPr>
        <w:pStyle w:val="NormalWeb"/>
        <w:numPr>
          <w:ilvl w:val="0"/>
          <w:numId w:val="2"/>
        </w:numPr>
        <w:spacing w:after="0" w:line="360" w:lineRule="auto"/>
        <w:jc w:val="both"/>
      </w:pPr>
      <w:r>
        <w:t xml:space="preserve"> </w:t>
      </w:r>
      <w:r>
        <w:rPr>
          <w:rStyle w:val="lev"/>
          <w:rFonts w:eastAsiaTheme="majorEastAsia"/>
        </w:rPr>
        <w:t>Appliquer et comparer plusieurs algorithmes de prédiction supervisée</w:t>
      </w:r>
      <w:r>
        <w:t xml:space="preserve"> (régression logistique, forêts aléatoires, gradient boosting, XGBoost, SVM) pour l’estimation du risque de maladie cardiaque à dix ans, en évaluant leurs performances selon des métriques adaptées au déséquilibre de classes (rappel, précision, F1-score, AUC-ROC, AUC-PR, Brier score).</w:t>
      </w:r>
    </w:p>
    <w:p w14:paraId="4391E946" w14:textId="77777777" w:rsidR="00CA7084" w:rsidRDefault="005648BA">
      <w:pPr>
        <w:pStyle w:val="NormalWeb"/>
        <w:numPr>
          <w:ilvl w:val="0"/>
          <w:numId w:val="2"/>
        </w:numPr>
        <w:spacing w:after="0" w:line="360" w:lineRule="auto"/>
        <w:jc w:val="both"/>
      </w:pPr>
      <w:r>
        <w:t xml:space="preserve">  </w:t>
      </w:r>
      <w:r>
        <w:rPr>
          <w:rStyle w:val="lev"/>
          <w:rFonts w:eastAsiaTheme="majorEastAsia"/>
        </w:rPr>
        <w:t>Quantifier l’incertitude associée aux performances et aux prédictions des modèles</w:t>
      </w:r>
      <w:r>
        <w:t>, en combinant des approches de rééchantillonnage pour obtenir des intervalles de confiance des métriques globales, et des méthodes d’incertitude au niveau individuel (prédiction conforme) afin d’associer un niveau de confiance explicite à chaque prédiction.</w:t>
      </w:r>
    </w:p>
    <w:p w14:paraId="4FAEFAEB" w14:textId="77777777" w:rsidR="00CA7084" w:rsidRDefault="005648BA">
      <w:pPr>
        <w:pStyle w:val="NormalWeb"/>
        <w:numPr>
          <w:ilvl w:val="0"/>
          <w:numId w:val="2"/>
        </w:numPr>
        <w:spacing w:after="280" w:line="360" w:lineRule="auto"/>
        <w:jc w:val="both"/>
      </w:pPr>
      <w:r>
        <w:lastRenderedPageBreak/>
        <w:t xml:space="preserve"> </w:t>
      </w:r>
      <w:r>
        <w:rPr>
          <w:rStyle w:val="lev"/>
          <w:rFonts w:eastAsiaTheme="majorEastAsia"/>
        </w:rPr>
        <w:t>Discuter la pertinence des modèles obtenus dans un contexte d’aide à la décision clinique</w:t>
      </w:r>
      <w:r>
        <w:t>, en mettant en balance performance, stabilité, interprétabilité et gestion explicite de l’incertitude, et en situant les résultats par rapport aux travaux publiés sur la base Framingham et sur la prédiction du risque cardiovasculaire.</w:t>
      </w:r>
    </w:p>
    <w:p w14:paraId="06DCF712" w14:textId="77777777" w:rsidR="00CA7084" w:rsidRDefault="00CA7084">
      <w:pPr>
        <w:spacing w:line="360" w:lineRule="auto"/>
        <w:ind w:left="720"/>
        <w:jc w:val="both"/>
        <w:rPr>
          <w:rFonts w:ascii="Times New Roman" w:eastAsia="Times New Roman" w:hAnsi="Times New Roman" w:cs="Times New Roman"/>
          <w:b/>
          <w:bCs/>
          <w:kern w:val="0"/>
          <w:lang w:eastAsia="fr-BE"/>
          <w14:ligatures w14:val="none"/>
        </w:rPr>
      </w:pPr>
    </w:p>
    <w:p w14:paraId="65FF1E04" w14:textId="77777777" w:rsidR="00CA7084" w:rsidRDefault="00CA7084">
      <w:pPr>
        <w:spacing w:line="360" w:lineRule="auto"/>
        <w:ind w:left="720"/>
        <w:jc w:val="both"/>
        <w:rPr>
          <w:rFonts w:ascii="Times New Roman" w:eastAsia="Times New Roman" w:hAnsi="Times New Roman" w:cs="Times New Roman"/>
          <w:b/>
          <w:bCs/>
          <w:kern w:val="0"/>
          <w:lang w:eastAsia="fr-BE"/>
          <w14:ligatures w14:val="none"/>
        </w:rPr>
      </w:pPr>
    </w:p>
    <w:p w14:paraId="072F6D4D" w14:textId="77777777" w:rsidR="00CA7084" w:rsidRDefault="00CA7084">
      <w:pPr>
        <w:spacing w:line="360" w:lineRule="auto"/>
        <w:ind w:left="720"/>
        <w:jc w:val="both"/>
        <w:rPr>
          <w:rFonts w:ascii="Times New Roman" w:eastAsia="Times New Roman" w:hAnsi="Times New Roman" w:cs="Times New Roman"/>
          <w:b/>
          <w:bCs/>
          <w:kern w:val="0"/>
          <w:lang w:eastAsia="fr-BE"/>
          <w14:ligatures w14:val="none"/>
        </w:rPr>
      </w:pPr>
    </w:p>
    <w:p w14:paraId="4180E163" w14:textId="77777777" w:rsidR="00CA7084" w:rsidRDefault="00CA7084">
      <w:pPr>
        <w:spacing w:line="360" w:lineRule="auto"/>
        <w:jc w:val="both"/>
        <w:rPr>
          <w:rFonts w:ascii="Times New Roman" w:eastAsia="Times New Roman" w:hAnsi="Times New Roman" w:cs="Times New Roman"/>
          <w:b/>
          <w:bCs/>
          <w:kern w:val="0"/>
          <w:lang w:eastAsia="fr-BE"/>
          <w14:ligatures w14:val="none"/>
        </w:rPr>
      </w:pPr>
    </w:p>
    <w:p w14:paraId="08537892" w14:textId="77777777" w:rsidR="00CA7084" w:rsidRDefault="005648BA">
      <w:pPr>
        <w:spacing w:line="360" w:lineRule="auto"/>
        <w:jc w:val="both"/>
        <w:rPr>
          <w:rFonts w:ascii="Times New Roman" w:eastAsia="Times New Roman" w:hAnsi="Times New Roman" w:cs="Times New Roman"/>
          <w:b/>
          <w:bCs/>
          <w:color w:val="45B0E1" w:themeColor="accent1" w:themeTint="99"/>
          <w:kern w:val="0"/>
          <w:sz w:val="28"/>
          <w:szCs w:val="28"/>
          <w:lang w:eastAsia="fr-BE"/>
          <w14:ligatures w14:val="none"/>
        </w:rPr>
      </w:pPr>
      <w:r>
        <w:rPr>
          <w:rFonts w:ascii="Times New Roman" w:eastAsia="Times New Roman" w:hAnsi="Times New Roman" w:cs="Times New Roman"/>
          <w:b/>
          <w:bCs/>
          <w:color w:val="45B0E1" w:themeColor="accent1" w:themeTint="99"/>
          <w:kern w:val="0"/>
          <w:sz w:val="28"/>
          <w:szCs w:val="28"/>
          <w:lang w:eastAsia="fr-BE"/>
          <w14:ligatures w14:val="none"/>
        </w:rPr>
        <w:t>Méthodes</w:t>
      </w:r>
    </w:p>
    <w:p w14:paraId="05453835" w14:textId="77777777" w:rsidR="00CA7084" w:rsidRDefault="005648BA">
      <w:pPr>
        <w:spacing w:line="360" w:lineRule="auto"/>
        <w:jc w:val="both"/>
        <w:rPr>
          <w:rFonts w:ascii="Times New Roman" w:eastAsia="Times New Roman" w:hAnsi="Times New Roman" w:cs="Times New Roman"/>
          <w:b/>
          <w:bCs/>
          <w:color w:val="45B0E1" w:themeColor="accent1" w:themeTint="99"/>
          <w:kern w:val="0"/>
          <w:lang w:eastAsia="fr-BE"/>
          <w14:ligatures w14:val="none"/>
        </w:rPr>
      </w:pPr>
      <w:r>
        <w:rPr>
          <w:rFonts w:ascii="Times New Roman" w:eastAsia="Times New Roman" w:hAnsi="Times New Roman" w:cs="Times New Roman"/>
          <w:b/>
          <w:bCs/>
          <w:color w:val="45B0E1" w:themeColor="accent1" w:themeTint="99"/>
          <w:kern w:val="0"/>
          <w:lang w:eastAsia="fr-BE"/>
          <w14:ligatures w14:val="none"/>
        </w:rPr>
        <w:t>Type d’étude et source des données</w:t>
      </w:r>
    </w:p>
    <w:p w14:paraId="4B8A0173" w14:textId="77777777" w:rsidR="00CA7084" w:rsidRDefault="005648BA">
      <w:pPr>
        <w:spacing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Il s’agit d’une étude de modélisation prédictive, rétrospective, basée sur un jeu de données dérivé de la Framingham Heart Study, grande cohorte de population générale initiée en 1948 et suivie de manière longitudinale. </w:t>
      </w:r>
    </w:p>
    <w:p w14:paraId="08667B76" w14:textId="77777777" w:rsidR="00CA7084" w:rsidRDefault="005648BA">
      <w:pPr>
        <w:spacing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Le jeu de données utilisé comprend 4 239 individus, initialement exempts de maladie coronarienne, pour lesquels sont disponibles des informations cliniques, biologiques et comportementales, ainsi que la survenue ou non d’un événement coronarien sur une période de dix ans.</w:t>
      </w:r>
      <w:r>
        <w:rPr>
          <w:rFonts w:ascii="Times New Roman" w:eastAsia="Times New Roman" w:hAnsi="Times New Roman" w:cs="Times New Roman"/>
          <w:b/>
          <w:bCs/>
          <w:color w:val="C9211E"/>
          <w:kern w:val="0"/>
          <w:shd w:val="clear" w:color="auto" w:fill="FFFF00"/>
          <w:lang w:eastAsia="fr-BE"/>
          <w14:ligatures w14:val="none"/>
        </w:rPr>
        <w:t>éviter répétition tu as déjà parlé de ca dans l'intro</w:t>
      </w:r>
    </w:p>
    <w:p w14:paraId="5E9B19CF" w14:textId="77777777" w:rsidR="00CA7084" w:rsidRDefault="005648BA">
      <w:pPr>
        <w:spacing w:line="360" w:lineRule="auto"/>
        <w:jc w:val="both"/>
        <w:rPr>
          <w:rFonts w:ascii="Times New Roman" w:eastAsia="Times New Roman" w:hAnsi="Times New Roman" w:cs="Times New Roman"/>
          <w:b/>
          <w:bCs/>
          <w:color w:val="45B0E1" w:themeColor="accent1" w:themeTint="99"/>
          <w:kern w:val="0"/>
          <w:lang w:eastAsia="fr-BE"/>
          <w14:ligatures w14:val="none"/>
        </w:rPr>
      </w:pPr>
      <w:r>
        <w:rPr>
          <w:rFonts w:ascii="Times New Roman" w:eastAsia="Times New Roman" w:hAnsi="Times New Roman" w:cs="Times New Roman"/>
          <w:b/>
          <w:bCs/>
          <w:color w:val="45B0E1" w:themeColor="accent1" w:themeTint="99"/>
          <w:kern w:val="0"/>
          <w:lang w:eastAsia="fr-BE"/>
          <w14:ligatures w14:val="none"/>
        </w:rPr>
        <w:t>Source des données et population d’étude</w:t>
      </w:r>
    </w:p>
    <w:p w14:paraId="7F3A0006" w14:textId="77777777" w:rsidR="00CA7084" w:rsidRDefault="005648BA">
      <w:pPr>
        <w:spacing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Les données proviennent d’un sous-ensemble de la Framingham Heart Study, grande cohorte prospective de population générale initiée à la fin des années 1940, qui a largement contribué à l’identification des principaux facteurs de risque cardiovasculaire et au développement de fonctions de risque multivariées. Ce jeu de données, fréquemment mobilisé à des fins pédagogiques et méthodologiques, regroupe 4 239 individus et une variable de sortie binaire indiquant la survenue ou non d’un événement coronarien à dix ans. Les participants sont des adultes initialement indemnes de maladie coronarienne, pour lesquels un ensemble standard de facteurs de risque (âge, sexe, pression artérielle, profil lipidique, tabagisme, diabète, indice de masse corporelle, antécédents cardiovasculaires) a été recueilli à l’inclusion, avant un suivi de dix ans documentant la survenue éventuelle d’un événement coronarien </w:t>
      </w:r>
      <w:r>
        <w:fldChar w:fldCharType="begin"/>
      </w:r>
      <w:r>
        <w:rPr>
          <w:rFonts w:ascii="Times New Roman" w:eastAsia="Times New Roman" w:hAnsi="Times New Roman" w:cs="Times New Roman"/>
          <w:kern w:val="0"/>
          <w:lang w:eastAsia="fr-BE"/>
        </w:rPr>
        <w:instrText>ADDIN ZOTERO_ITEM CSL_CITATION {"citationID":"Ic5XFXwp","properties":{"formattedCitation":"(11,12)","plainCitation":"(11,12)","noteIndex":0},"citationItems":[{"id":607,"uris":["http://zotero.org/users/11240916/items/HVELA5LN"],"itemData":{"id":607,"type":"webpage","title":"Clinical Prediction Models: A Practical Approach to Development, Validation, and Updating (Statistics for Biology and Health): 9783030163983: Medicine &amp; Health Science Books @ Amazon.com","URL":"https://www.amazon.com/Clinical-Prediction-Models-Development-Validation/dp/3030163989?utm_source=chatgpt.com","accessed":{"date-parts":[["2026",1,16]]}},"label":"page"},{"id":606,"uris":["http://zotero.org/users/11240916/items/FQLP2L2J"],"itemData":{"id":606,"type":"article-journal","abstract":"Epidemiology involves the study of disease frequency and its determinants within the population. Cardiovascular epidemiology began in the 1930s as a result of changes observed in the causes of dea","container-title":"Revista Española de Cardiología (English Edition)","DOI":"10.1016/S1885-5857(08)60118-8","ISSN":"1885-5857","issue":"3","language":"en","page":"299-310","publisher":"Elsevier","source":"www.revespcardiol.org","title":"Cardiovascular Risk Factors. Insights From Framingham Heart Study","volume":"61","issued":{"date-parts":[["2008",3,1]]}},"label":"page"}],"schema":"https://github.com/citation-style-language/schema/raw/master/csl-citation.json"}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(11,12)</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 xml:space="preserve">. </w:t>
      </w:r>
    </w:p>
    <w:p w14:paraId="6F1FE09C" w14:textId="77777777" w:rsidR="00CA7084" w:rsidRDefault="005648BA">
      <w:pPr>
        <w:spacing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color w:val="C9211E"/>
          <w:kern w:val="0"/>
          <w:shd w:val="clear" w:color="auto" w:fill="FFFF00"/>
          <w:lang w:eastAsia="fr-BE"/>
          <w14:ligatures w14:val="none"/>
        </w:rPr>
        <w:t>é</w:t>
      </w:r>
      <w:r>
        <w:rPr>
          <w:rFonts w:ascii="Times New Roman" w:eastAsia="Times New Roman" w:hAnsi="Times New Roman" w:cs="Times New Roman"/>
          <w:b/>
          <w:bCs/>
          <w:color w:val="C9211E"/>
          <w:kern w:val="0"/>
          <w:shd w:val="clear" w:color="auto" w:fill="FFFF00"/>
          <w:lang w:eastAsia="fr-BE"/>
          <w14:ligatures w14:val="none"/>
        </w:rPr>
        <w:t>viter répétition tu as déjà parlé de ca dans l'intro tu peux résumer</w:t>
      </w:r>
    </w:p>
    <w:p w14:paraId="34F8B962" w14:textId="77777777" w:rsidR="00CA7084" w:rsidRDefault="005648BA">
      <w:pPr>
        <w:spacing w:line="360" w:lineRule="auto"/>
        <w:jc w:val="both"/>
        <w:rPr>
          <w:rFonts w:ascii="Times New Roman" w:eastAsia="Times New Roman" w:hAnsi="Times New Roman" w:cs="Times New Roman"/>
          <w:b/>
          <w:bCs/>
          <w:color w:val="45B0E1" w:themeColor="accent1" w:themeTint="99"/>
          <w:kern w:val="0"/>
          <w:lang w:eastAsia="fr-BE"/>
          <w14:ligatures w14:val="none"/>
        </w:rPr>
      </w:pPr>
      <w:r>
        <w:rPr>
          <w:rFonts w:ascii="Times New Roman" w:eastAsia="Times New Roman" w:hAnsi="Times New Roman" w:cs="Times New Roman"/>
          <w:b/>
          <w:bCs/>
          <w:color w:val="45B0E1" w:themeColor="accent1" w:themeTint="99"/>
          <w:kern w:val="0"/>
          <w:lang w:eastAsia="fr-BE"/>
          <w14:ligatures w14:val="none"/>
        </w:rPr>
        <w:lastRenderedPageBreak/>
        <w:t xml:space="preserve">Variable cible et prédicteurs </w:t>
      </w:r>
    </w:p>
    <w:p w14:paraId="44ECB00E" w14:textId="77777777" w:rsidR="00CA7084" w:rsidRDefault="005648BA">
      <w:pPr>
        <w:spacing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La variable cible est un indicateur binaire de survenue d’un événement coronarien à dix ans (0 = aucun événement, 1 = événement). La prévalence de la classe événement est d’environ 15 %, traduisant un déséquilibre marqué entre patients avec et sans événement </w:t>
      </w:r>
      <w:r>
        <w:fldChar w:fldCharType="begin"/>
      </w:r>
      <w:r>
        <w:rPr>
          <w:rFonts w:ascii="Times New Roman" w:eastAsia="Times New Roman" w:hAnsi="Times New Roman" w:cs="Times New Roman"/>
          <w:kern w:val="0"/>
          <w:lang w:eastAsia="fr-BE"/>
        </w:rPr>
        <w:instrText>ADDIN ZOTERO_ITEM CSL_CITATION {"citationID":"ljEm0vDy","properties":{"formattedCitation":"(11)","plainCitation":"(11)","noteIndex":0},"citationItems":[{"id":607,"uris":["http://zotero.org/users/11240916/items/HVELA5LN"],"itemData":{"id":607,"type":"webpage","title":"Clinical Prediction Models: A Practical Approach to Development, Validation, and Updating (Statistics for Biology and Health): 9783030163983: Medicine &amp; Health Science Books @ Amazon.com","URL":"https://www.amazon.com/Clinical-Prediction-Models-Development-Validation/dp/3030163989?utm_source=chatgpt.com","accessed":{"date-parts":[["2026",1,16]]}}}],"schema":"https://github.com/citation-style-language/schema/raw/master/csl-citation.json"}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(11)</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r>
        <w:t xml:space="preserve"> </w:t>
      </w:r>
      <w:r>
        <w:rPr>
          <w:b/>
          <w:bCs/>
          <w:color w:val="C9211E"/>
          <w:shd w:val="clear" w:color="auto" w:fill="FFFF00"/>
        </w:rPr>
        <w:t>utilise plutot le terme avec et sans risque</w:t>
      </w:r>
    </w:p>
    <w:p w14:paraId="472ADF8E" w14:textId="77777777" w:rsidR="00CA7084" w:rsidRDefault="005648BA">
      <w:pPr>
        <w:spacing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Les prédicteurs retenus sont des facteurs de risque classiques issus de Framingham :</w:t>
      </w:r>
    </w:p>
    <w:p w14:paraId="52CF1597" w14:textId="77777777" w:rsidR="00CA7084" w:rsidRDefault="005648BA">
      <w:pPr>
        <w:pStyle w:val="Paragraphedeliste"/>
        <w:numPr>
          <w:ilvl w:val="0"/>
          <w:numId w:val="3"/>
        </w:numPr>
        <w:spacing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Données démographiques : âge (années), sexe (masculin/féminin) ;</w:t>
      </w:r>
    </w:p>
    <w:p w14:paraId="6D7C14E0" w14:textId="77777777" w:rsidR="00CA7084" w:rsidRDefault="005648BA">
      <w:pPr>
        <w:pStyle w:val="Paragraphedeliste"/>
        <w:numPr>
          <w:ilvl w:val="0"/>
          <w:numId w:val="3"/>
        </w:numPr>
        <w:spacing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Comportements : statut tabagique (fumeur actuel ou non), nombre de cigarettes fumées par jour ;</w:t>
      </w:r>
    </w:p>
    <w:p w14:paraId="4C39B91B" w14:textId="77777777" w:rsidR="00CA7084" w:rsidRDefault="005648BA">
      <w:pPr>
        <w:pStyle w:val="Paragraphedeliste"/>
        <w:numPr>
          <w:ilvl w:val="0"/>
          <w:numId w:val="3"/>
        </w:numPr>
        <w:spacing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Variables cliniques : pression artérielle systolique et diastolique, fréquence cardiaque, antécédent d’accident vasculaire cérébral, hypertension connue, traitement antihypertenseur ;</w:t>
      </w:r>
    </w:p>
    <w:p w14:paraId="5D7F11A8" w14:textId="77777777" w:rsidR="00CA7084" w:rsidRDefault="005648BA">
      <w:pPr>
        <w:pStyle w:val="Paragraphedeliste"/>
        <w:numPr>
          <w:ilvl w:val="0"/>
          <w:numId w:val="3"/>
        </w:numPr>
        <w:spacing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Variables biologiques : cholestérol total, glycémie ; </w:t>
      </w:r>
    </w:p>
    <w:p w14:paraId="6ED5337E" w14:textId="77777777" w:rsidR="00CA7084" w:rsidRDefault="005648BA">
      <w:pPr>
        <w:pStyle w:val="Paragraphedeliste"/>
        <w:numPr>
          <w:ilvl w:val="0"/>
          <w:numId w:val="3"/>
        </w:numPr>
        <w:spacing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Facteurs métaboliques et socio-économiques : diabète, indice de masse corporelle (IMC), niveau d’éducation.</w:t>
      </w:r>
    </w:p>
    <w:p w14:paraId="04256456" w14:textId="77777777" w:rsidR="00CA7084" w:rsidRDefault="005648BA">
      <w:pPr>
        <w:spacing w:line="360" w:lineRule="auto"/>
        <w:jc w:val="both"/>
      </w:pPr>
      <w:r>
        <w:rPr>
          <w:rFonts w:ascii="Times New Roman" w:eastAsia="Times New Roman" w:hAnsi="Times New Roman" w:cs="Times New Roman"/>
          <w:kern w:val="0"/>
          <w:lang w:eastAsia="fr-BE"/>
          <w14:ligatures w14:val="none"/>
        </w:rPr>
        <w:t xml:space="preserve">Ces variables ont été sélectionnées car elles correspondent aux facteurs de risque classiquement utilisés dans les équations de risque de Framingham et sont disponibles pour l’ensemble ou la quasi-totalité des sujets </w:t>
      </w:r>
      <w:r>
        <w:fldChar w:fldCharType="begin"/>
      </w:r>
      <w:r>
        <w:rPr>
          <w:rFonts w:ascii="Times New Roman" w:eastAsia="Times New Roman" w:hAnsi="Times New Roman" w:cs="Times New Roman"/>
          <w:kern w:val="0"/>
          <w:lang w:eastAsia="fr-BE"/>
        </w:rPr>
        <w:instrText>ADDIN ZOTERO_ITEM CSL_CITATION {"citationID":"rfu8JDXd","properties":{"formattedCitation":"(13)","plainCitation":"(13)","noteIndex":0},"citationItems":[{"id":618,"uris":["http://zotero.org/users/11240916/items/RUQJ9VS2"],"itemData":{"id":618,"type":"chapter","abstract":"A prediction model should provide valid outcome predictions for new patients. Essentially, the data set to develop a model is not of interest other than to learn for the future. Validation, hence, is an important aspect of the process of predictive modeling. An important distinction is between apparent, internal and external validationExternal validation. In this chapter, we focus on internal and external validationExternal validation techniques, with illustrations in case studies.","container-title":"Clinical Prediction Models: A Practical Approach to Development, Validation, and Updating","DOI":"10.1007/978-3-030-16399-0_17","ISBN":"978-3-030-16399-0","language":"en","page":"329-344","publisher":"Springer International Publishing","publisher-place":"Cham","source":"Springer Link","title":"Validation of Prediction Models","URL":"https://doi.org/10.1007/978-3-030-16399-0_17","author":[{"family":"Steyerberg","given":"Ewout W."}],"editor":[{"family":"Steyerberg","given":"Ewout W."}],"accessed":{"date-parts":[["2026",1,16]]},"issued":{"date-parts":[["2019"]]}}}],"schema":"https://github.com/citation-style-language/schema/raw/master/csl-citation.json"}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(13)</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 xml:space="preserve">. </w:t>
      </w:r>
    </w:p>
    <w:p w14:paraId="2986D896" w14:textId="77777777" w:rsidR="00CA7084" w:rsidRDefault="005648BA">
      <w:pPr>
        <w:spacing w:line="360" w:lineRule="auto"/>
        <w:jc w:val="both"/>
        <w:rPr>
          <w:rFonts w:ascii="Times New Roman" w:hAnsi="Times New Roman" w:cs="Times New Roman"/>
        </w:rPr>
      </w:pPr>
      <w:r>
        <w:rPr>
          <w:rFonts w:ascii="Times New Roman" w:hAnsi="Times New Roman" w:cs="Times New Roman"/>
        </w:rPr>
        <w:t>Tableau 1 – Description des variables utilisées pour la modélisation (base Framingham)</w:t>
      </w:r>
    </w:p>
    <w:tbl>
      <w:tblPr>
        <w:tblStyle w:val="Grilledutableau"/>
        <w:tblW w:w="10632" w:type="dxa"/>
        <w:tblInd w:w="-714" w:type="dxa"/>
        <w:tblLayout w:type="fixed"/>
        <w:tblLook w:val="04A0" w:firstRow="1" w:lastRow="0" w:firstColumn="1" w:lastColumn="0" w:noHBand="0" w:noVBand="1"/>
      </w:tblPr>
      <w:tblGrid>
        <w:gridCol w:w="2268"/>
        <w:gridCol w:w="1984"/>
        <w:gridCol w:w="1135"/>
        <w:gridCol w:w="1842"/>
        <w:gridCol w:w="3403"/>
      </w:tblGrid>
      <w:tr w:rsidR="00CA7084" w14:paraId="10AFCED7" w14:textId="77777777">
        <w:tc>
          <w:tcPr>
            <w:tcW w:w="2268" w:type="dxa"/>
          </w:tcPr>
          <w:p w14:paraId="352FC5D0" w14:textId="77777777" w:rsidR="00CA7084" w:rsidRDefault="005648BA">
            <w:pPr>
              <w:spacing w:beforeAutospacing="1" w:after="0" w:line="240" w:lineRule="auto"/>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Nom (français)</w:t>
            </w:r>
          </w:p>
        </w:tc>
        <w:tc>
          <w:tcPr>
            <w:tcW w:w="1984" w:type="dxa"/>
          </w:tcPr>
          <w:p w14:paraId="04C495CE" w14:textId="77777777" w:rsidR="00CA7084" w:rsidRDefault="005648BA">
            <w:pPr>
              <w:spacing w:beforeAutospacing="1" w:after="0" w:line="240" w:lineRule="auto"/>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Nom original (Framingham)</w:t>
            </w:r>
          </w:p>
        </w:tc>
        <w:tc>
          <w:tcPr>
            <w:tcW w:w="1135" w:type="dxa"/>
          </w:tcPr>
          <w:p w14:paraId="04B3C021" w14:textId="77777777" w:rsidR="00CA7084" w:rsidRDefault="005648BA">
            <w:pPr>
              <w:spacing w:beforeAutospacing="1" w:after="0" w:line="240" w:lineRule="auto"/>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Type</w:t>
            </w:r>
          </w:p>
        </w:tc>
        <w:tc>
          <w:tcPr>
            <w:tcW w:w="1842" w:type="dxa"/>
          </w:tcPr>
          <w:p w14:paraId="7EDE5F9E" w14:textId="77777777" w:rsidR="00CA7084" w:rsidRDefault="005648BA">
            <w:pPr>
              <w:spacing w:beforeAutospacing="1" w:after="0" w:line="240" w:lineRule="auto"/>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Unité / codage</w:t>
            </w:r>
          </w:p>
        </w:tc>
        <w:tc>
          <w:tcPr>
            <w:tcW w:w="3403" w:type="dxa"/>
          </w:tcPr>
          <w:p w14:paraId="340721FE" w14:textId="77777777" w:rsidR="00CA7084" w:rsidRDefault="005648BA">
            <w:pPr>
              <w:spacing w:beforeAutospacing="1" w:after="0" w:line="240" w:lineRule="auto"/>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Description synthétique</w:t>
            </w:r>
          </w:p>
        </w:tc>
      </w:tr>
      <w:tr w:rsidR="00CA7084" w14:paraId="2095F809" w14:textId="77777777">
        <w:tc>
          <w:tcPr>
            <w:tcW w:w="2268" w:type="dxa"/>
          </w:tcPr>
          <w:p w14:paraId="439EBF1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Risque_chd_10ans</w:t>
            </w:r>
          </w:p>
        </w:tc>
        <w:tc>
          <w:tcPr>
            <w:tcW w:w="1984" w:type="dxa"/>
          </w:tcPr>
          <w:p w14:paraId="3C166712"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TenYearCHD</w:t>
            </w:r>
          </w:p>
        </w:tc>
        <w:tc>
          <w:tcPr>
            <w:tcW w:w="1135" w:type="dxa"/>
          </w:tcPr>
          <w:p w14:paraId="427CE578"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Binaire</w:t>
            </w:r>
          </w:p>
        </w:tc>
        <w:tc>
          <w:tcPr>
            <w:tcW w:w="1842" w:type="dxa"/>
          </w:tcPr>
          <w:p w14:paraId="4C7C14D2"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 = non, 1 = oui</w:t>
            </w:r>
          </w:p>
        </w:tc>
        <w:tc>
          <w:tcPr>
            <w:tcW w:w="3403" w:type="dxa"/>
          </w:tcPr>
          <w:p w14:paraId="4F37892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Survenue d’un événement coronarien (angor, infarctus, décès coronarien) dans les 10 ans.</w:t>
            </w:r>
          </w:p>
        </w:tc>
      </w:tr>
      <w:tr w:rsidR="00CA7084" w14:paraId="20BBD16B" w14:textId="77777777">
        <w:tc>
          <w:tcPr>
            <w:tcW w:w="2268" w:type="dxa"/>
          </w:tcPr>
          <w:p w14:paraId="34593AB3"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Age</w:t>
            </w:r>
          </w:p>
        </w:tc>
        <w:tc>
          <w:tcPr>
            <w:tcW w:w="1984" w:type="dxa"/>
          </w:tcPr>
          <w:p w14:paraId="5E2DBF2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age</w:t>
            </w:r>
          </w:p>
        </w:tc>
        <w:tc>
          <w:tcPr>
            <w:tcW w:w="1135" w:type="dxa"/>
          </w:tcPr>
          <w:p w14:paraId="1C0B9BCE"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Continue</w:t>
            </w:r>
          </w:p>
        </w:tc>
        <w:tc>
          <w:tcPr>
            <w:tcW w:w="1842" w:type="dxa"/>
          </w:tcPr>
          <w:p w14:paraId="0464F6BF"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Années</w:t>
            </w:r>
          </w:p>
        </w:tc>
        <w:tc>
          <w:tcPr>
            <w:tcW w:w="3403" w:type="dxa"/>
          </w:tcPr>
          <w:p w14:paraId="305AA6C0"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Âge du participant à l’inclusion.</w:t>
            </w:r>
          </w:p>
        </w:tc>
      </w:tr>
      <w:tr w:rsidR="00CA7084" w14:paraId="0C30B1EB" w14:textId="77777777">
        <w:tc>
          <w:tcPr>
            <w:tcW w:w="2268" w:type="dxa"/>
          </w:tcPr>
          <w:p w14:paraId="605DBC2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Sexe masculin</w:t>
            </w:r>
          </w:p>
        </w:tc>
        <w:tc>
          <w:tcPr>
            <w:tcW w:w="1984" w:type="dxa"/>
          </w:tcPr>
          <w:p w14:paraId="07080C8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male</w:t>
            </w:r>
          </w:p>
        </w:tc>
        <w:tc>
          <w:tcPr>
            <w:tcW w:w="1135" w:type="dxa"/>
          </w:tcPr>
          <w:p w14:paraId="5AD60B4F"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Binaire</w:t>
            </w:r>
          </w:p>
        </w:tc>
        <w:tc>
          <w:tcPr>
            <w:tcW w:w="1842" w:type="dxa"/>
          </w:tcPr>
          <w:p w14:paraId="607CB53B"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 = femme, 1 = homme</w:t>
            </w:r>
          </w:p>
        </w:tc>
        <w:tc>
          <w:tcPr>
            <w:tcW w:w="3403" w:type="dxa"/>
          </w:tcPr>
          <w:p w14:paraId="2B4188F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Sexe biologique.</w:t>
            </w:r>
          </w:p>
        </w:tc>
      </w:tr>
      <w:tr w:rsidR="00CA7084" w14:paraId="491FD2D9" w14:textId="77777777">
        <w:tc>
          <w:tcPr>
            <w:tcW w:w="2268" w:type="dxa"/>
          </w:tcPr>
          <w:p w14:paraId="432648B5"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Fumeur actuel</w:t>
            </w:r>
          </w:p>
        </w:tc>
        <w:tc>
          <w:tcPr>
            <w:tcW w:w="1984" w:type="dxa"/>
          </w:tcPr>
          <w:p w14:paraId="2EC01468"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currentSmoker</w:t>
            </w:r>
          </w:p>
        </w:tc>
        <w:tc>
          <w:tcPr>
            <w:tcW w:w="1135" w:type="dxa"/>
          </w:tcPr>
          <w:p w14:paraId="19DBACA8"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Binaire</w:t>
            </w:r>
          </w:p>
        </w:tc>
        <w:tc>
          <w:tcPr>
            <w:tcW w:w="1842" w:type="dxa"/>
          </w:tcPr>
          <w:p w14:paraId="1B7B587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 = non, 1 = oui</w:t>
            </w:r>
          </w:p>
        </w:tc>
        <w:tc>
          <w:tcPr>
            <w:tcW w:w="3403" w:type="dxa"/>
          </w:tcPr>
          <w:p w14:paraId="65FD7FE1"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Statut de fumeur actuel au moment de l’inclusion.</w:t>
            </w:r>
          </w:p>
        </w:tc>
      </w:tr>
      <w:tr w:rsidR="00CA7084" w14:paraId="1047401B" w14:textId="77777777">
        <w:tc>
          <w:tcPr>
            <w:tcW w:w="2268" w:type="dxa"/>
          </w:tcPr>
          <w:p w14:paraId="64E8AF30"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Cigarettes_par_jour</w:t>
            </w:r>
          </w:p>
        </w:tc>
        <w:tc>
          <w:tcPr>
            <w:tcW w:w="1984" w:type="dxa"/>
          </w:tcPr>
          <w:p w14:paraId="4D95B4E8"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cigsPerDay</w:t>
            </w:r>
          </w:p>
        </w:tc>
        <w:tc>
          <w:tcPr>
            <w:tcW w:w="1135" w:type="dxa"/>
          </w:tcPr>
          <w:p w14:paraId="0349F46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Continue</w:t>
            </w:r>
          </w:p>
        </w:tc>
        <w:tc>
          <w:tcPr>
            <w:tcW w:w="1842" w:type="dxa"/>
          </w:tcPr>
          <w:p w14:paraId="4732289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Cigarettes / jour</w:t>
            </w:r>
          </w:p>
        </w:tc>
        <w:tc>
          <w:tcPr>
            <w:tcW w:w="3403" w:type="dxa"/>
          </w:tcPr>
          <w:p w14:paraId="6A4C6839"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Nombre moyen de cigarettes fumées par jour chez les fumeurs.</w:t>
            </w:r>
          </w:p>
        </w:tc>
      </w:tr>
      <w:tr w:rsidR="00CA7084" w14:paraId="47DC0A3B" w14:textId="77777777">
        <w:tc>
          <w:tcPr>
            <w:tcW w:w="2268" w:type="dxa"/>
          </w:tcPr>
          <w:p w14:paraId="187306C8"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Cholesterol_total</w:t>
            </w:r>
          </w:p>
        </w:tc>
        <w:tc>
          <w:tcPr>
            <w:tcW w:w="1984" w:type="dxa"/>
          </w:tcPr>
          <w:p w14:paraId="0FD7D843"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totChol</w:t>
            </w:r>
          </w:p>
        </w:tc>
        <w:tc>
          <w:tcPr>
            <w:tcW w:w="1135" w:type="dxa"/>
          </w:tcPr>
          <w:p w14:paraId="66903F41"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Continue</w:t>
            </w:r>
          </w:p>
        </w:tc>
        <w:tc>
          <w:tcPr>
            <w:tcW w:w="1842" w:type="dxa"/>
          </w:tcPr>
          <w:p w14:paraId="46D7944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mg/dL</w:t>
            </w:r>
          </w:p>
        </w:tc>
        <w:tc>
          <w:tcPr>
            <w:tcW w:w="3403" w:type="dxa"/>
          </w:tcPr>
          <w:p w14:paraId="57613932"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Concentration de cholestérol total.</w:t>
            </w:r>
          </w:p>
        </w:tc>
      </w:tr>
      <w:tr w:rsidR="00CA7084" w14:paraId="2CAFA164" w14:textId="77777777">
        <w:tc>
          <w:tcPr>
            <w:tcW w:w="2268" w:type="dxa"/>
          </w:tcPr>
          <w:p w14:paraId="5F8155D2"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Glucose</w:t>
            </w:r>
          </w:p>
        </w:tc>
        <w:tc>
          <w:tcPr>
            <w:tcW w:w="1984" w:type="dxa"/>
          </w:tcPr>
          <w:p w14:paraId="7FC631B3"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glucose</w:t>
            </w:r>
          </w:p>
        </w:tc>
        <w:tc>
          <w:tcPr>
            <w:tcW w:w="1135" w:type="dxa"/>
          </w:tcPr>
          <w:p w14:paraId="716DAD1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Continue</w:t>
            </w:r>
          </w:p>
        </w:tc>
        <w:tc>
          <w:tcPr>
            <w:tcW w:w="1842" w:type="dxa"/>
          </w:tcPr>
          <w:p w14:paraId="179732F0"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mg/dL</w:t>
            </w:r>
          </w:p>
        </w:tc>
        <w:tc>
          <w:tcPr>
            <w:tcW w:w="3403" w:type="dxa"/>
          </w:tcPr>
          <w:p w14:paraId="1E89EF5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Glycémie à jeun.</w:t>
            </w:r>
          </w:p>
        </w:tc>
      </w:tr>
      <w:tr w:rsidR="00CA7084" w14:paraId="42F1F7DE" w14:textId="77777777">
        <w:tc>
          <w:tcPr>
            <w:tcW w:w="2268" w:type="dxa"/>
          </w:tcPr>
          <w:p w14:paraId="68CF496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lastRenderedPageBreak/>
              <w:t>Diabète</w:t>
            </w:r>
          </w:p>
        </w:tc>
        <w:tc>
          <w:tcPr>
            <w:tcW w:w="1984" w:type="dxa"/>
          </w:tcPr>
          <w:p w14:paraId="7340BB1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diabetes</w:t>
            </w:r>
          </w:p>
        </w:tc>
        <w:tc>
          <w:tcPr>
            <w:tcW w:w="1135" w:type="dxa"/>
          </w:tcPr>
          <w:p w14:paraId="1556D2D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Binaire</w:t>
            </w:r>
          </w:p>
        </w:tc>
        <w:tc>
          <w:tcPr>
            <w:tcW w:w="1842" w:type="dxa"/>
          </w:tcPr>
          <w:p w14:paraId="3EE3B928"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 = non, 1 = oui</w:t>
            </w:r>
          </w:p>
        </w:tc>
        <w:tc>
          <w:tcPr>
            <w:tcW w:w="3403" w:type="dxa"/>
          </w:tcPr>
          <w:p w14:paraId="414303B4"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Diabète connu au moment de l’inclusion.</w:t>
            </w:r>
          </w:p>
        </w:tc>
      </w:tr>
      <w:tr w:rsidR="00CA7084" w14:paraId="792A741E" w14:textId="77777777">
        <w:tc>
          <w:tcPr>
            <w:tcW w:w="2268" w:type="dxa"/>
          </w:tcPr>
          <w:p w14:paraId="57BED391"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Tension systolique</w:t>
            </w:r>
          </w:p>
        </w:tc>
        <w:tc>
          <w:tcPr>
            <w:tcW w:w="1984" w:type="dxa"/>
          </w:tcPr>
          <w:p w14:paraId="4EC74C4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sysBP</w:t>
            </w:r>
          </w:p>
        </w:tc>
        <w:tc>
          <w:tcPr>
            <w:tcW w:w="1135" w:type="dxa"/>
          </w:tcPr>
          <w:p w14:paraId="4EC6EBA8"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Continue</w:t>
            </w:r>
          </w:p>
        </w:tc>
        <w:tc>
          <w:tcPr>
            <w:tcW w:w="1842" w:type="dxa"/>
          </w:tcPr>
          <w:p w14:paraId="404B6306"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mmHg</w:t>
            </w:r>
          </w:p>
        </w:tc>
        <w:tc>
          <w:tcPr>
            <w:tcW w:w="3403" w:type="dxa"/>
          </w:tcPr>
          <w:p w14:paraId="2722B29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Pression artérielle systolique.</w:t>
            </w:r>
          </w:p>
        </w:tc>
      </w:tr>
      <w:tr w:rsidR="00CA7084" w14:paraId="59B4E05E" w14:textId="77777777">
        <w:tc>
          <w:tcPr>
            <w:tcW w:w="2268" w:type="dxa"/>
          </w:tcPr>
          <w:p w14:paraId="6CB58940"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Tension diastolique</w:t>
            </w:r>
          </w:p>
        </w:tc>
        <w:tc>
          <w:tcPr>
            <w:tcW w:w="1984" w:type="dxa"/>
          </w:tcPr>
          <w:p w14:paraId="0B5F3AE3"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diaBP</w:t>
            </w:r>
          </w:p>
        </w:tc>
        <w:tc>
          <w:tcPr>
            <w:tcW w:w="1135" w:type="dxa"/>
          </w:tcPr>
          <w:p w14:paraId="5F62D9D3"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Continue</w:t>
            </w:r>
          </w:p>
        </w:tc>
        <w:tc>
          <w:tcPr>
            <w:tcW w:w="1842" w:type="dxa"/>
          </w:tcPr>
          <w:p w14:paraId="6E4B58CE"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mmHg</w:t>
            </w:r>
          </w:p>
        </w:tc>
        <w:tc>
          <w:tcPr>
            <w:tcW w:w="3403" w:type="dxa"/>
          </w:tcPr>
          <w:p w14:paraId="5B9AB8E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Pression artérielle diastolique.</w:t>
            </w:r>
          </w:p>
        </w:tc>
      </w:tr>
      <w:tr w:rsidR="00CA7084" w14:paraId="61771C4B" w14:textId="77777777">
        <w:tc>
          <w:tcPr>
            <w:tcW w:w="2268" w:type="dxa"/>
          </w:tcPr>
          <w:p w14:paraId="0B105D8E"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Traitement antihypertenseur</w:t>
            </w:r>
          </w:p>
        </w:tc>
        <w:tc>
          <w:tcPr>
            <w:tcW w:w="1984" w:type="dxa"/>
          </w:tcPr>
          <w:p w14:paraId="0DE1B72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BPMeds</w:t>
            </w:r>
          </w:p>
        </w:tc>
        <w:tc>
          <w:tcPr>
            <w:tcW w:w="1135" w:type="dxa"/>
          </w:tcPr>
          <w:p w14:paraId="273D01BB"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Binaire</w:t>
            </w:r>
          </w:p>
        </w:tc>
        <w:tc>
          <w:tcPr>
            <w:tcW w:w="1842" w:type="dxa"/>
          </w:tcPr>
          <w:p w14:paraId="6A78283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 = non, 1 = oui</w:t>
            </w:r>
          </w:p>
        </w:tc>
        <w:tc>
          <w:tcPr>
            <w:tcW w:w="3403" w:type="dxa"/>
          </w:tcPr>
          <w:p w14:paraId="1EACAD0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Traitement antihypertenseur en cours.</w:t>
            </w:r>
          </w:p>
        </w:tc>
      </w:tr>
      <w:tr w:rsidR="00CA7084" w14:paraId="5E581857" w14:textId="77777777">
        <w:tc>
          <w:tcPr>
            <w:tcW w:w="2268" w:type="dxa"/>
          </w:tcPr>
          <w:p w14:paraId="318543E9"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Hypertension connue</w:t>
            </w:r>
          </w:p>
        </w:tc>
        <w:tc>
          <w:tcPr>
            <w:tcW w:w="1984" w:type="dxa"/>
          </w:tcPr>
          <w:p w14:paraId="608B133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prevalentHyp</w:t>
            </w:r>
          </w:p>
        </w:tc>
        <w:tc>
          <w:tcPr>
            <w:tcW w:w="1135" w:type="dxa"/>
          </w:tcPr>
          <w:p w14:paraId="526E03F2"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Binaire</w:t>
            </w:r>
          </w:p>
        </w:tc>
        <w:tc>
          <w:tcPr>
            <w:tcW w:w="1842" w:type="dxa"/>
          </w:tcPr>
          <w:p w14:paraId="619A2D42"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 = non, 1 = oui</w:t>
            </w:r>
          </w:p>
        </w:tc>
        <w:tc>
          <w:tcPr>
            <w:tcW w:w="3403" w:type="dxa"/>
          </w:tcPr>
          <w:p w14:paraId="72C72EB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Hypertension artérielle connue (diagnostic antérieur).</w:t>
            </w:r>
          </w:p>
        </w:tc>
      </w:tr>
      <w:tr w:rsidR="00CA7084" w14:paraId="66C408AB" w14:textId="77777777">
        <w:tc>
          <w:tcPr>
            <w:tcW w:w="2268" w:type="dxa"/>
          </w:tcPr>
          <w:p w14:paraId="74AAB72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Antecedent_AVC</w:t>
            </w:r>
          </w:p>
        </w:tc>
        <w:tc>
          <w:tcPr>
            <w:tcW w:w="1984" w:type="dxa"/>
          </w:tcPr>
          <w:p w14:paraId="5441C63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prevalentStroke</w:t>
            </w:r>
          </w:p>
        </w:tc>
        <w:tc>
          <w:tcPr>
            <w:tcW w:w="1135" w:type="dxa"/>
          </w:tcPr>
          <w:p w14:paraId="7A5ECEE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Binaire</w:t>
            </w:r>
          </w:p>
        </w:tc>
        <w:tc>
          <w:tcPr>
            <w:tcW w:w="1842" w:type="dxa"/>
          </w:tcPr>
          <w:p w14:paraId="22353FD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 = non, 1 = oui</w:t>
            </w:r>
          </w:p>
        </w:tc>
        <w:tc>
          <w:tcPr>
            <w:tcW w:w="3403" w:type="dxa"/>
          </w:tcPr>
          <w:p w14:paraId="6FDF5B72"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Antécédent d’accident vasculaire cérébral.</w:t>
            </w:r>
          </w:p>
        </w:tc>
      </w:tr>
      <w:tr w:rsidR="00CA7084" w14:paraId="3C6187E1" w14:textId="77777777">
        <w:tc>
          <w:tcPr>
            <w:tcW w:w="2268" w:type="dxa"/>
          </w:tcPr>
          <w:p w14:paraId="098D6376"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IMC</w:t>
            </w:r>
          </w:p>
        </w:tc>
        <w:tc>
          <w:tcPr>
            <w:tcW w:w="1984" w:type="dxa"/>
          </w:tcPr>
          <w:p w14:paraId="102D6975"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BMI</w:t>
            </w:r>
          </w:p>
        </w:tc>
        <w:tc>
          <w:tcPr>
            <w:tcW w:w="1135" w:type="dxa"/>
          </w:tcPr>
          <w:p w14:paraId="39335AD6"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Continue</w:t>
            </w:r>
          </w:p>
        </w:tc>
        <w:tc>
          <w:tcPr>
            <w:tcW w:w="1842" w:type="dxa"/>
          </w:tcPr>
          <w:p w14:paraId="0230997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kg/m²</w:t>
            </w:r>
          </w:p>
        </w:tc>
        <w:tc>
          <w:tcPr>
            <w:tcW w:w="3403" w:type="dxa"/>
          </w:tcPr>
          <w:p w14:paraId="1D7C15EB"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Indice de masse corporelle.</w:t>
            </w:r>
          </w:p>
        </w:tc>
      </w:tr>
      <w:tr w:rsidR="00CA7084" w14:paraId="3E0D7488" w14:textId="77777777">
        <w:tc>
          <w:tcPr>
            <w:tcW w:w="2268" w:type="dxa"/>
          </w:tcPr>
          <w:p w14:paraId="04A6935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Frequence_cardiaque</w:t>
            </w:r>
          </w:p>
        </w:tc>
        <w:tc>
          <w:tcPr>
            <w:tcW w:w="1984" w:type="dxa"/>
          </w:tcPr>
          <w:p w14:paraId="05701B59"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heartRate</w:t>
            </w:r>
          </w:p>
        </w:tc>
        <w:tc>
          <w:tcPr>
            <w:tcW w:w="1135" w:type="dxa"/>
          </w:tcPr>
          <w:p w14:paraId="38D5E08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Continue</w:t>
            </w:r>
          </w:p>
        </w:tc>
        <w:tc>
          <w:tcPr>
            <w:tcW w:w="1842" w:type="dxa"/>
          </w:tcPr>
          <w:p w14:paraId="0013618E"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battements / minute (bpm)</w:t>
            </w:r>
          </w:p>
        </w:tc>
        <w:tc>
          <w:tcPr>
            <w:tcW w:w="3403" w:type="dxa"/>
          </w:tcPr>
          <w:p w14:paraId="02923525"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Fréquence cardiaque au repos.</w:t>
            </w:r>
          </w:p>
        </w:tc>
      </w:tr>
      <w:tr w:rsidR="00CA7084" w14:paraId="60FD4A92" w14:textId="77777777">
        <w:tc>
          <w:tcPr>
            <w:tcW w:w="2268" w:type="dxa"/>
          </w:tcPr>
          <w:p w14:paraId="253C4D5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Niveau éducation</w:t>
            </w:r>
          </w:p>
        </w:tc>
        <w:tc>
          <w:tcPr>
            <w:tcW w:w="1984" w:type="dxa"/>
          </w:tcPr>
          <w:p w14:paraId="15707C6B"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education</w:t>
            </w:r>
          </w:p>
        </w:tc>
        <w:tc>
          <w:tcPr>
            <w:tcW w:w="1135" w:type="dxa"/>
          </w:tcPr>
          <w:p w14:paraId="1761DEF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Ordinale</w:t>
            </w:r>
          </w:p>
        </w:tc>
        <w:tc>
          <w:tcPr>
            <w:tcW w:w="1842" w:type="dxa"/>
          </w:tcPr>
          <w:p w14:paraId="20B3E8F3"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1–4 (échelle catégorielle)</w:t>
            </w:r>
          </w:p>
        </w:tc>
        <w:tc>
          <w:tcPr>
            <w:tcW w:w="3403" w:type="dxa"/>
          </w:tcPr>
          <w:p w14:paraId="30FC7AB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Niveau d’éducation (si disponible dans la version du jeu de données utilisée).</w:t>
            </w:r>
          </w:p>
        </w:tc>
      </w:tr>
    </w:tbl>
    <w:p w14:paraId="7022BFCB" w14:textId="77777777" w:rsidR="00CA7084" w:rsidRDefault="005648BA">
      <w:pPr>
        <w:spacing w:beforeAutospacing="1" w:afterAutospacing="1" w:line="240" w:lineRule="auto"/>
        <w:outlineLvl w:val="2"/>
        <w:rPr>
          <w:rFonts w:ascii="Times New Roman" w:eastAsia="Times New Roman" w:hAnsi="Times New Roman" w:cs="Times New Roman"/>
          <w:b/>
          <w:bCs/>
          <w:kern w:val="0"/>
          <w:sz w:val="27"/>
          <w:szCs w:val="27"/>
          <w:lang w:eastAsia="fr-BE"/>
          <w14:ligatures w14:val="none"/>
        </w:rPr>
      </w:pPr>
      <w:r>
        <w:rPr>
          <w:rFonts w:ascii="Times New Roman" w:eastAsia="Times New Roman" w:hAnsi="Times New Roman" w:cs="Times New Roman"/>
          <w:b/>
          <w:bCs/>
          <w:kern w:val="0"/>
          <w:sz w:val="27"/>
          <w:szCs w:val="27"/>
          <w:lang w:eastAsia="fr-BE"/>
          <w14:ligatures w14:val="none"/>
        </w:rPr>
        <w:t xml:space="preserve"> </w:t>
      </w:r>
      <w:r>
        <w:rPr>
          <w:rFonts w:ascii="Times New Roman" w:eastAsia="Times New Roman" w:hAnsi="Times New Roman" w:cs="Times New Roman"/>
          <w:b/>
          <w:bCs/>
          <w:color w:val="45B0E1" w:themeColor="accent1" w:themeTint="99"/>
          <w:kern w:val="0"/>
          <w:sz w:val="27"/>
          <w:szCs w:val="27"/>
          <w:lang w:eastAsia="fr-BE"/>
          <w14:ligatures w14:val="none"/>
        </w:rPr>
        <w:t>Critères d’inclusion et d’exclusion</w:t>
      </w:r>
    </w:p>
    <w:p w14:paraId="0024B926" w14:textId="77777777" w:rsidR="00CA7084" w:rsidRDefault="005648BA">
      <w:pPr>
        <w:spacing w:beforeAutospacing="1" w:afterAutospacing="1" w:line="360" w:lineRule="auto"/>
        <w:jc w:val="both"/>
        <w:outlineLvl w:val="2"/>
        <w:rPr>
          <w:rFonts w:ascii="Times New Roman" w:eastAsia="Times New Roman" w:hAnsi="Times New Roman" w:cs="Times New Roman"/>
          <w:b/>
          <w:bCs/>
          <w:kern w:val="0"/>
          <w:sz w:val="27"/>
          <w:szCs w:val="27"/>
          <w:lang w:eastAsia="fr-BE"/>
          <w14:ligatures w14:val="none"/>
        </w:rPr>
      </w:pPr>
      <w:r>
        <w:rPr>
          <w:rFonts w:ascii="Times New Roman" w:eastAsia="Times New Roman" w:hAnsi="Times New Roman" w:cs="Times New Roman"/>
          <w:kern w:val="0"/>
          <w:lang w:eastAsia="fr-BE"/>
          <w14:ligatures w14:val="none"/>
        </w:rPr>
        <w:t xml:space="preserve">Les analyses ont été réalisées à partir d’un sous-ensemble de la Framingham Heart Study incluant uniquement des adultes âgés de 30 ans ou plus, indemnes de maladie coronarienne au moment de l’inclusion, et pour lesquels un suivi de dix ans permettait de documenter la survenue ou non d’un événement coronarien (variable risque_chd_10ans). Les participants devaient disposer au minimum des principales mesures cliniques et biologiques (indices anthropométriques, profil lipidique, pression artérielle, données de tabagisme). Les valeurs manifestement incohérentes identifiées lors de l’analyse descriptive ont été vérifiées au cas par cas, mais aucune exclusion supplémentaire n’a été réalisée au-delà des critères du jeu d’origine, les observations extrêmes mais plausibles étant conservées afin de préserver la variabilité des prédicteurs </w:t>
      </w:r>
      <w:r>
        <w:fldChar w:fldCharType="begin"/>
      </w:r>
      <w:r>
        <w:rPr>
          <w:rFonts w:ascii="Times New Roman" w:eastAsia="Times New Roman" w:hAnsi="Times New Roman" w:cs="Times New Roman"/>
          <w:kern w:val="0"/>
          <w:lang w:eastAsia="fr-BE"/>
        </w:rPr>
        <w:instrText>ADDIN ZOTERO_ITEM CSL_CITATION {"citationID":"mbueSqVS","properties":{"formattedCitation":"(14)","plainCitation":"(14)","noteIndex":0},"citationItems":[{"id":630,"uris":["http://zotero.org/users/11240916/items/HYMLRM6K"],"itemData":{"id":630,"type":"article-journal","abstract":"Heart disease is a major threat to human health, with a variety of contributing factors, and is not easily cured. This paper will present a dataset from a cardiovascular study of residents of Framingham, Massachusetts. First, the validity of the three models, logistic regression, random forest, and decision tree, is estimated by comparing information such as accuracy, precision, recall, and F1 values. The optimal model, i.e., the logistic regression model, was selected by plotting ROC curves and using AUC as a reference criterion for assessing the predictive effectiveness of the models. Then the raw data and data were preprocessed, including dealing with missing values. Finally, a logistic regression model was developed to analyze the influencing factors of heart disease. The purpose of this study was to use the results of the logistic model to help doctors and patients in heart disease treatment. The results show that the model has a good predictive effect.","container-title":"Theoretical and Natural Science","DOI":"10.54254/2753-8818/51/2024CH0103","journalAbbreviation":"Theoretical and Natural Science","page":"1-7","source":"ResearchGate","title":"Prediction of heart disease based on logistic regression","volume":"51","author":[{"family":"Zhang","given":"Zixin"}],"issued":{"date-parts":[["2024",8,31]]}}}],"schema":"https://github.com/citation-style-language/schema/raw/master/csl-citation.json"}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(14)</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 xml:space="preserve">. </w:t>
      </w:r>
    </w:p>
    <w:p w14:paraId="1BDF9796" w14:textId="77777777" w:rsidR="00CA7084" w:rsidRDefault="005648BA">
      <w:pPr>
        <w:spacing w:beforeAutospacing="1" w:afterAutospacing="1" w:line="240" w:lineRule="auto"/>
        <w:jc w:val="both"/>
        <w:rPr>
          <w:rFonts w:ascii="Times New Roman" w:eastAsia="Times New Roman" w:hAnsi="Times New Roman" w:cs="Times New Roman"/>
          <w:b/>
          <w:bCs/>
          <w:color w:val="45B0E1" w:themeColor="accent1" w:themeTint="99"/>
          <w:kern w:val="0"/>
          <w:sz w:val="28"/>
          <w:szCs w:val="28"/>
          <w:lang w:eastAsia="fr-BE"/>
          <w14:ligatures w14:val="none"/>
        </w:rPr>
      </w:pPr>
      <w:r>
        <w:rPr>
          <w:rFonts w:ascii="Times New Roman" w:eastAsia="Times New Roman" w:hAnsi="Times New Roman" w:cs="Times New Roman"/>
          <w:b/>
          <w:bCs/>
          <w:color w:val="45B0E1" w:themeColor="accent1" w:themeTint="99"/>
          <w:kern w:val="0"/>
          <w:sz w:val="28"/>
          <w:szCs w:val="28"/>
          <w:lang w:eastAsia="fr-BE"/>
          <w14:ligatures w14:val="none"/>
        </w:rPr>
        <w:t>Analyse exploratoire, prétraitement et modélisation</w:t>
      </w:r>
    </w:p>
    <w:p w14:paraId="6BC7127C" w14:textId="77777777" w:rsidR="00CA7084" w:rsidRDefault="005648BA">
      <w:pPr>
        <w:spacing w:beforeAutospacing="1" w:afterAutospacing="1" w:line="240" w:lineRule="auto"/>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Analyse exploratoire et qualité des données</w:t>
      </w:r>
    </w:p>
    <w:p w14:paraId="4F1D01BA"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Avant toute étape de prétraitement (imputation, standardisation, rééquilibrage), une analyse exploratoire systématique a été réalisée afin d’évaluer la qualité des données et de documenter leur structure statistique.</w:t>
      </w:r>
      <w:r>
        <w:t xml:space="preserve"> </w:t>
      </w:r>
    </w:p>
    <w:p w14:paraId="26D81EF4"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Distributions univariées</w:t>
      </w:r>
    </w:p>
    <w:p w14:paraId="4C283D13"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Pour chaque prédicteur continu (âge, IMC, cholestérol total, pression artérielle, glycémie, fréquence cardiaque), des histogrammes et densités ont été examinés, avec calcul de </w:t>
      </w:r>
      <w:r>
        <w:rPr>
          <w:rFonts w:ascii="Times New Roman" w:eastAsia="Times New Roman" w:hAnsi="Times New Roman" w:cs="Times New Roman"/>
          <w:kern w:val="0"/>
          <w:lang w:eastAsia="fr-BE"/>
          <w14:ligatures w14:val="none"/>
        </w:rPr>
        <w:lastRenderedPageBreak/>
        <w:t>statistiques descriptives (moyenne, médiane, quartiles, asymétrie, aplatissement). Les distributions étaient globalement unimodales, avec quelques asymétries modérées, ne justifiant pas de transformation systématique. Un tableau récapitulatif présente les principales statistiques pour l’ensemble des variables continues.</w:t>
      </w:r>
    </w:p>
    <w:p w14:paraId="3EBBD1DA"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 xml:space="preserve"> Corrélations et multi colinéarité</w:t>
      </w:r>
    </w:p>
    <w:p w14:paraId="466E6AC4"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Une matrice de corrélation de Pearson entre variables continues, complétée par une représentation hiérarchique, a permis d’identifier des corrélations modérées entre certains prédicteurs (notamment les pressions artérielles), sans corrélation absolue supérieure à 0,8. Le calcul des facteurs d’inflation de variance (VIF) dans un modèle logistique complet a montré des valeurs inférieures à 4 pour l’ensemble des variables, ce qui ne suggère pas de multi colinéarité problématique pour la modélisation.</w:t>
      </w:r>
    </w:p>
    <w:p w14:paraId="1502C17D" w14:textId="77777777" w:rsidR="00CA7084" w:rsidRDefault="005648BA">
      <w:pPr>
        <w:spacing w:beforeAutospacing="1" w:afterAutospacing="1"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Valeurs manquantes</w:t>
      </w:r>
    </w:p>
    <w:p w14:paraId="25C59B8C" w14:textId="77777777" w:rsidR="00CA7084" w:rsidRDefault="005648BA">
      <w:pPr>
        <w:spacing w:beforeAutospacing="1" w:afterAutospacing="1" w:line="240" w:lineRule="auto"/>
        <w:jc w:val="both"/>
        <w:rPr>
          <w:color w:val="C9211E"/>
          <w:shd w:val="clear" w:color="auto" w:fill="FFFF00"/>
          <w14:ligatures w14:val="none"/>
        </w:rPr>
      </w:pPr>
      <w:r>
        <w:rPr>
          <w:rFonts w:ascii="Times New Roman" w:eastAsia="Times New Roman" w:hAnsi="Times New Roman" w:cs="Times New Roman"/>
          <w:b/>
          <w:bCs/>
          <w:color w:val="C9211E"/>
          <w:kern w:val="0"/>
          <w:shd w:val="clear" w:color="auto" w:fill="FFFF00"/>
          <w:lang w:eastAsia="fr-BE"/>
          <w14:ligatures w14:val="none"/>
        </w:rPr>
        <w:t>tu peux résumer ca par un tableau avec le pourcentage des valeurs manquantes par variable</w:t>
      </w:r>
    </w:p>
    <w:p w14:paraId="28ED1A1C"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La structure de la manquante a été décrite à l’aide de diagrammes de barres et de matrices de “missingness”, mettant en évidence des proportions de données manquantes non négligeables pour certains prédicteurs (cholestérol, glycémie, variables de pression artérielle et de tabagisme), selon des patrons hétérogènes. L’examen visuel et le contexte clinique ne permettaient pas de supposer des données manquantes complètement au hasard, ce qui rendait inadaptée une analyse en cas complets et justifiait le recours à une imputation multivariée. Les pourcentages de valeurs manquantes par variable sont présentés dans un tableau dédié.</w:t>
      </w:r>
    </w:p>
    <w:p w14:paraId="2B0F6C41" w14:textId="77777777" w:rsidR="00CA7084" w:rsidRDefault="005648BA">
      <w:pPr>
        <w:spacing w:beforeAutospacing="1" w:afterAutospacing="1"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Valeurs extrêmes</w:t>
      </w:r>
    </w:p>
    <w:p w14:paraId="09B8C96A"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Les valeurs extrêmes des variables continues ont été étudiées par boxplots et critère d’intervalle interquartile. Des valeurs élevées de glycémie, de cholestérol ou d’IMC ont été observées mais jugées cliniquement plausibles et conservées, afin de préserver la variabilité réelle des profils de risque. Seules quelques valeurs manifestement incohérentes ont été vérifiées et, le cas échéant, exclues au cas par cas. Aucune troncature systématique n’a été appliquée ; la présence d’extrêmes plausibles est discutée ultérieurement comme élément de contexte pour l’interprétation des modèles </w:t>
      </w:r>
      <w:r>
        <w:fldChar w:fldCharType="begin"/>
      </w:r>
      <w:r>
        <w:rPr>
          <w:rFonts w:ascii="Times New Roman" w:eastAsia="Times New Roman" w:hAnsi="Times New Roman" w:cs="Times New Roman"/>
          <w:kern w:val="0"/>
          <w:lang w:eastAsia="fr-BE"/>
        </w:rPr>
        <w:instrText>ADDIN ZOTERO_ITEM CSL_CITATION {"citationID":"SWvAIF7t","properties":{"formattedCitation":"(8,15)","plainCitation":"(8,15)","noteIndex":0},"citationItems":[{"id":598,"uris":["http://zotero.org/users/11240916/items/VN8K5VVW"],"itemData":{"id":598,"type":"article-journal","abstract":"Missing data are a common occurrence in real datasets. For epidemiological and prognostic factors studies in medicine, multiple imputation is becoming the standard route to estimating models with missing covariate data under a missing-at-random assumption. We describe ice, an implementation in Stata of the MICE approach to multiple imputation. Real data from an observational study in ovarian cancer are used to illustrate the most important of the many options available with ice. We remark briefly on the new database architecture and procedures for multiple imputation introduced in releases 11 and 12 of Stata.","container-title":"Journal of Statistical Software","DOI":"10.18637/jss.v045.i04","ISSN":"1548-7660","language":"en","license":"Copyright (c) 2009 Patrick Royston, Ian R. White","page":"1-20","source":"www.jstatsoft.org","title":"Multiple Imputation by Chained Equations (MICE): Implementation in Stata","title-short":"Multiple Imputation by Chained Equations (MICE)","volume":"45","author":[{"family":"Royston","given":"Patrick"},{"family":"White","given":"Ian R."}],"issued":{"date-parts":[["2011",12,12]]}},"label":"page"},{"id":625,"uris":["http://zotero.org/users/11240916/items/B4BIH2ZV"],"itemData":{"id":625,"type":"chapter","abstract":"In this chapter, we consider statistical models for differentOutcome types types of outcomes: binary, unordered categorical, ordered categorical, continuous, and survival data. We discuss common statistical models in medical research such as the linear, logistic, and Cox regressionCox regression model. We consider simpler approaches and more flexible extensions, including regression trees and neural networksNeural networks. We also discuss competing risksCompeting risks and the concept of dynamic prediction modeling. We focus on the most relevant aspects of these models in a prediction context. All models are illustrated with case studies. In Chap. 6, we will discuss aspects of choosing between alternative statistical models for the same type of outcome.","container-title":"Clinical Prediction Models: A Practical Approach to Development, Validation, and Updating","DOI":"10.1007/978-3-030-16399-0_4","ISBN":"978-3-030-16399-0","language":"en","page":"59-93","publisher":"Springer International Publishing","publisher-place":"Cham","source":"Springer Link","title":"Statistical Models for Prediction","URL":"https://doi.org/10.1007/978-3-030-16399-0_4","author":[{"family":"Steyerberg","given":"Ewout W."}],"editor":[{"family":"Steyerberg","given":"Ewout W."}],"accessed":{"date-parts":[["2026",1,16]]},"issued":{"date-parts":[["2019"]]}},"label":"page"}],"schema":"https://github.com/citation-style-language/schema/raw/master/csl-citation.json"}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(8,15)</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 xml:space="preserve">.  </w:t>
      </w:r>
    </w:p>
    <w:p w14:paraId="1113AC25" w14:textId="77777777" w:rsidR="00CA7084" w:rsidRDefault="005648BA">
      <w:pPr>
        <w:spacing w:beforeAutospacing="1" w:afterAutospacing="1" w:line="240" w:lineRule="auto"/>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lastRenderedPageBreak/>
        <w:t>Gestion des valeurs manquantes et imputation</w:t>
      </w:r>
    </w:p>
    <w:p w14:paraId="3ABFC99B"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Plusieurs prédicteurs présentaient une proportion non négligeable de valeurs manquantes (en particulier le cholestérol total, la glycémie, certaines mesures de pression artérielle et des variables liées au tabagisme). Une analyse en cas complets aurait conduit à une réduction importante de l’échantillon et à un risque de biais, les données n’étant vraisemblablement pas manquantes complètement au hasard. Une stratégie d’imputation multivariée a donc été privilégiée </w:t>
      </w:r>
      <w:r>
        <w:fldChar w:fldCharType="begin"/>
      </w:r>
      <w:r>
        <w:rPr>
          <w:rFonts w:ascii="Times New Roman" w:eastAsia="Times New Roman" w:hAnsi="Times New Roman" w:cs="Times New Roman"/>
          <w:kern w:val="0"/>
          <w:lang w:eastAsia="fr-BE"/>
        </w:rPr>
        <w:instrText>ADDIN ZOTERO_ITEM CSL_CITATION {"citationID":"URSViKMv","properties":{"formattedCitation":"(16)","plainCitation":"(16)","noteIndex":0},"citationItems":[{"id":636,"uris":["http://zotero.org/users/11240916/items/KTYG5FSK"],"itemData":{"id":636,"type":"book","abstract":"Flexible Imputation of Missing Data, Second Edition","source":"stefvanbuuren.name","title":"https://stefvanbuuren.name/fimd/index.html","title-short":"https","URL":"https://stefvanbuuren.name/fimd/index.html","accessed":{"date-parts":[["2026",1,16]]}}}],"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(16)</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 xml:space="preserve">. </w:t>
      </w:r>
      <w:r>
        <w:rPr>
          <w:rFonts w:ascii="Times New Roman" w:eastAsia="Times New Roman" w:hAnsi="Times New Roman" w:cs="Times New Roman"/>
          <w:b/>
          <w:bCs/>
          <w:color w:val="C9211E"/>
          <w:kern w:val="0"/>
          <w:shd w:val="clear" w:color="auto" w:fill="FFFF00"/>
          <w:lang w:eastAsia="fr-BE"/>
          <w14:ligatures w14:val="none"/>
        </w:rPr>
        <w:t>répétition déjà dit, soit supprime le paragraphe d'avant qui parle des valeurs manquantes</w:t>
      </w:r>
    </w:p>
    <w:p w14:paraId="6AA601B1" w14:textId="77777777" w:rsidR="00CA7084" w:rsidRDefault="005648BA">
      <w:pPr>
        <w:spacing w:beforeAutospacing="1" w:afterAutospacing="1" w:line="240" w:lineRule="auto"/>
        <w:rPr>
          <w:rFonts w:ascii="Times New Roman" w:eastAsia="Times New Roman" w:hAnsi="Times New Roman" w:cs="Times New Roman"/>
          <w:color w:val="45B0E1" w:themeColor="accent1" w:themeTint="99"/>
          <w:kern w:val="0"/>
          <w:sz w:val="28"/>
          <w:szCs w:val="28"/>
          <w:lang w:eastAsia="fr-BE"/>
          <w14:ligatures w14:val="none"/>
        </w:rPr>
      </w:pPr>
      <w:r>
        <w:rPr>
          <w:rFonts w:ascii="Times New Roman" w:eastAsia="Times New Roman" w:hAnsi="Times New Roman" w:cs="Times New Roman"/>
          <w:b/>
          <w:bCs/>
          <w:color w:val="45B0E1" w:themeColor="accent1" w:themeTint="99"/>
          <w:kern w:val="0"/>
          <w:sz w:val="28"/>
          <w:szCs w:val="28"/>
          <w:lang w:eastAsia="fr-BE"/>
          <w14:ligatures w14:val="none"/>
        </w:rPr>
        <w:t>Méthodes d’imputation explorées</w:t>
      </w:r>
    </w:p>
    <w:p w14:paraId="7D9BE0F4"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Trois approches ont été comparées sur le jeu d’apprentissage :</w:t>
      </w:r>
    </w:p>
    <w:p w14:paraId="6011E1EE" w14:textId="77777777" w:rsidR="00CA7084" w:rsidRDefault="005648BA">
      <w:pPr>
        <w:pStyle w:val="Paragraphedeliste"/>
        <w:numPr>
          <w:ilvl w:val="0"/>
          <w:numId w:val="8"/>
        </w:num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Imputation simple médiane / mode :</w:t>
      </w:r>
      <w:r>
        <w:rPr>
          <w:rFonts w:ascii="Times New Roman" w:eastAsia="Times New Roman" w:hAnsi="Times New Roman" w:cs="Times New Roman"/>
          <w:kern w:val="0"/>
          <w:lang w:eastAsia="fr-BE"/>
          <w14:ligatures w14:val="none"/>
        </w:rPr>
        <w:t xml:space="preserve"> pour chaque variable continue, les valeurs manquantes étaient remplacées par la médiane, et pour chaque variable binaire ou catégorielle par la modalité la plus fréquente. Cette méthode, encore courante en pratique en raison de sa simplicité, ne tient pas compte des corrélations entre prédicteurs et tend à sous-estimer la variance.</w:t>
      </w:r>
    </w:p>
    <w:p w14:paraId="291559E1" w14:textId="77777777" w:rsidR="00CA7084" w:rsidRDefault="005648BA">
      <w:pPr>
        <w:spacing w:beforeAutospacing="1" w:afterAutospacing="1" w:line="360" w:lineRule="auto"/>
        <w:ind w:left="360"/>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Imputation par K plus proches voisins (KNN)</w:t>
      </w:r>
      <w:r>
        <w:rPr>
          <w:rFonts w:ascii="Times New Roman" w:hAnsi="Times New Roman" w:cs="Times New Roman"/>
          <w:b/>
          <w:bCs/>
        </w:rPr>
        <w:t> </w:t>
      </w:r>
      <w:r>
        <w:rPr>
          <w:rFonts w:ascii="Times New Roman" w:eastAsia="Times New Roman" w:hAnsi="Times New Roman" w:cs="Times New Roman"/>
          <w:b/>
          <w:bCs/>
          <w:kern w:val="0"/>
          <w:lang w:eastAsia="fr-BE"/>
          <w14:ligatures w14:val="none"/>
        </w:rPr>
        <w:t>:</w:t>
      </w:r>
      <w:r>
        <w:rPr>
          <w:rFonts w:ascii="Times New Roman" w:eastAsia="Times New Roman" w:hAnsi="Times New Roman" w:cs="Times New Roman"/>
          <w:kern w:val="0"/>
          <w:lang w:eastAsia="fr-BE"/>
          <w14:ligatures w14:val="none"/>
        </w:rPr>
        <w:t xml:space="preserve"> les valeurs manquantes étaient imputées à partir des observations les plus proches dans l’espace des prédicteurs, selon une distance euclidienne et un nombre de voisins fixé a priori. Cette approche vise à respecter localement la structure des données, mais peut lisser excessivement la variabilité lorsque les prédicteurs sont corrélés ou modérément nombreux, et reste sensible au choix de K </w:t>
      </w:r>
      <w:r>
        <w:fldChar w:fldCharType="begin"/>
      </w:r>
      <w:r>
        <w:rPr>
          <w:rFonts w:ascii="Times New Roman" w:eastAsia="Times New Roman" w:hAnsi="Times New Roman" w:cs="Times New Roman"/>
          <w:kern w:val="0"/>
          <w:lang w:eastAsia="fr-BE"/>
        </w:rPr>
        <w:instrText>ADDIN ZOTERO_ITEM CSL_CITATION {"citationID":"UsoM4mP3","properties":{"formattedCitation":"(11)","plainCitation":"(11)","noteIndex":0},"citationItems":[{"id":607,"uris":["http://zotero.org/users/11240916/items/HVELA5LN"],"itemData":{"id":607,"type":"webpage","title":"Clinical Prediction Models: A Practical Approach to Development, Validation, and Updating (Statistics for Biology and Health): 9783030163983: Medicine &amp; Health Science Books @ Amazon.com","URL":"https://www.amazon.com/Clinical-Prediction-Models-Development-Validation/dp/3030163989?utm_source=chatgpt.com","accessed":{"date-parts":[["2026",1,16]]}}}],"schema":"https://github.com/citation-style-language/schema/raw/master/csl-citation.json"}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(11)</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p>
    <w:p w14:paraId="3325CE3A" w14:textId="77777777" w:rsidR="00CA7084" w:rsidRDefault="005648BA">
      <w:pPr>
        <w:spacing w:beforeAutospacing="1" w:afterAutospacing="1" w:line="360" w:lineRule="auto"/>
        <w:ind w:left="360"/>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Imputation itérative multivariée de type MICE :</w:t>
      </w:r>
      <w:r>
        <w:rPr>
          <w:rFonts w:ascii="Times New Roman" w:eastAsia="Times New Roman" w:hAnsi="Times New Roman" w:cs="Times New Roman"/>
          <w:kern w:val="0"/>
          <w:lang w:eastAsia="fr-BE"/>
          <w14:ligatures w14:val="none"/>
        </w:rPr>
        <w:t xml:space="preserve"> une imputation multivariée par équations en chaîne (MICE) a été mise en œuvre via l’IterativeImputer de scikit-learn </w:t>
      </w:r>
      <w:r>
        <w:fldChar w:fldCharType="begin"/>
      </w:r>
      <w:r>
        <w:rPr>
          <w:rFonts w:ascii="Times New Roman" w:eastAsia="Times New Roman" w:hAnsi="Times New Roman" w:cs="Times New Roman"/>
          <w:kern w:val="0"/>
          <w:lang w:eastAsia="fr-BE"/>
        </w:rPr>
        <w:instrText>ADDIN ZOTERO_ITEM CSL_CITATION {"citationID":"nVKpEKgr","properties":{"formattedCitation":"(17)","plainCitation":"(17)","noteIndex":0},"citationItems":[{"id":641,"uris":["http://zotero.org/users/11240916/items/4WWKEE2B"],"itemData":{"id":641,"type":"article-journal","abstract":"The R package mice imputes incomplete multivariate data by chained equations. The software mice 1.0 appeared in the year 2000 as an S-PLUS library, and in 2001 as an R package. mice 1.0 introduced predictor selection, passive imputation and automatic pooling. This article documents mice, which extends the functionality of mice 1.0 in several ways. In mice, the analysis of imputed data is made completely general, whereas the range of models under which pooling works is substantially extended. mice adds new functionality for imputing multilevel data, automatic predictor selection, data handling, post-processing imputed values, specialized pooling routines, model selection tools, and diagnostic graphs. Imputation of categorical data is improved in order to bypass problems caused by perfect prediction. Special attention is paid to transformations, sum scores, indices and interactions using passive imputation, and to the proper setup of the predictor matrix. mice can be downloaded from the Comprehensive R Archive Network. This article provides a hands-on, stepwise approach to solve applied incomplete data problems.","container-title":"Journal of Statistical Software","DOI":"10.18637/jss.v045.i03","ISSN":"1548-7660","language":"en","license":"Copyright (c) 2009 Stef van Buuren, Karin Groothuis-Oudshoorn","page":"1-67","source":"www.jstatsoft.org","title":"mice: Multivariate Imputation by Chained Equations in R","title-short":"mice","volume":"45","author":[{"family":"Buuren","given":"Stef","dropping-particle":"van"},{"family":"Groothuis-Oudshoorn","given":"Karin"}],"issued":{"date-parts":[["2011",12,12]]}}}],"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(17)</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r>
        <w:rPr>
          <w:rFonts w:ascii="Times New Roman" w:hAnsi="Times New Roman" w:cs="Times New Roman"/>
        </w:rPr>
        <w:t xml:space="preserve"> </w:t>
      </w:r>
      <w:r>
        <w:rPr>
          <w:rFonts w:ascii="Times New Roman" w:eastAsia="Times New Roman" w:hAnsi="Times New Roman" w:cs="Times New Roman"/>
          <w:kern w:val="0"/>
          <w:lang w:eastAsia="fr-BE"/>
          <w14:ligatures w14:val="none"/>
        </w:rPr>
        <w:t xml:space="preserve">Chaque variable incomplète est imputée à partir d’un modèle conditionnel utilisant les autres prédicteurs (régression linéaire ou logistique selon le type de variable), dans un schéma itératif jusqu’à convergence. Cette méthode est aujourd’hui considérée comme une approche de référence pour les données manquantes en épidémiologie clinique, car elle préserve mieux les distributions et les relations entre variables </w:t>
      </w:r>
      <w:r>
        <w:fldChar w:fldCharType="begin"/>
      </w:r>
      <w:r>
        <w:rPr>
          <w:rFonts w:ascii="Times New Roman" w:eastAsia="Times New Roman" w:hAnsi="Times New Roman" w:cs="Times New Roman"/>
          <w:kern w:val="0"/>
          <w:lang w:eastAsia="fr-BE"/>
        </w:rPr>
        <w:instrText>ADDIN ZOTERO_ITEM CSL_CITATION {"citationID":"Ji4jbVBA","properties":{"formattedCitation":"(18)","plainCitation":"(18)","noteIndex":0},"citationItems":[{"id":642,"uris":["http://zotero.org/users/11240916/items/QEKEH9DG"],"itemData":{"id":642,"type":"article-journal","abstract":"Multiple imputation by chained equations is a flexible and practical approach to handling missing data. We describe the principles of the method and show how to impute categorical and quantitative variables, including skewed variables. We give guidance on how to specify the imputation model and how many imputations are needed. We describe the practical analysis of multiply imputed data, including model building and model checking. We stress the limitations of the method and discuss the possible pitfalls. We illustrate the ideas using a data set in mental health, giving Stata code fragments. Copyright © 2010 John Wiley &amp; Sons, Ltd.","container-title":"Statistics in Medicine","DOI":"10.1002/SIM.4067","ISSN":"0277-6715","issue":"4","language":"fr","page":"377-399","publisher":"Wiley-Blackwell","source":"scispace.com","title":"Multiple imputation using chained equations: Issues and guidance for practice","title-short":"Multiple imputation using chained equations","volume":"30","issued":{"date-parts":[["2011",2,20]]}},"label":"page"}],"schema":"https://github.com/citation-style-language/schema/raw/master/csl-citation.json"}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(18)</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r>
        <w:rPr>
          <w:rFonts w:ascii="Times New Roman" w:hAnsi="Times New Roman" w:cs="Times New Roman"/>
        </w:rPr>
        <w:t xml:space="preserve"> </w:t>
      </w:r>
    </w:p>
    <w:p w14:paraId="4C655778" w14:textId="77777777" w:rsidR="00CA7084" w:rsidRDefault="005648BA">
      <w:pPr>
        <w:spacing w:beforeAutospacing="1" w:afterAutospacing="1" w:line="360" w:lineRule="auto"/>
        <w:ind w:left="360"/>
        <w:jc w:val="both"/>
        <w:rPr>
          <w:b/>
          <w:bCs/>
          <w:color w:val="C9211E"/>
          <w:shd w:val="clear" w:color="auto" w:fill="FFFF00"/>
        </w:rPr>
      </w:pPr>
      <w:r>
        <w:rPr>
          <w:rFonts w:ascii="Times New Roman" w:hAnsi="Times New Roman" w:cs="Times New Roman"/>
          <w:b/>
          <w:bCs/>
          <w:color w:val="C9211E"/>
          <w:shd w:val="clear" w:color="auto" w:fill="FFFF00"/>
        </w:rPr>
        <w:t>précise ici la différence entre imputation par MICE et imputation par KNN</w:t>
      </w:r>
    </w:p>
    <w:p w14:paraId="66D96C9C" w14:textId="77777777" w:rsidR="00CA7084" w:rsidRDefault="005648BA">
      <w:pPr>
        <w:spacing w:beforeAutospacing="1" w:afterAutospacing="1" w:line="360" w:lineRule="auto"/>
        <w:ind w:left="360"/>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lastRenderedPageBreak/>
        <w:t>Critères de comparaison</w:t>
      </w:r>
    </w:p>
    <w:p w14:paraId="3E288A98"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Les méthodes ont été évaluées selon quatre axes complémentaires :</w:t>
      </w:r>
    </w:p>
    <w:p w14:paraId="3459AE9A"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Préservation des distributions</w:t>
      </w:r>
      <w:r>
        <w:rPr>
          <w:rFonts w:ascii="Times New Roman" w:eastAsia="Times New Roman" w:hAnsi="Times New Roman" w:cs="Times New Roman"/>
          <w:kern w:val="0"/>
          <w:lang w:eastAsia="fr-BE"/>
          <w14:ligatures w14:val="none"/>
        </w:rPr>
        <w:t xml:space="preserve"> : comparaison visuelle des distributions des valeurs observées et imputées (par densités estimées) afin de détecter un éventuel “aplatissement” ou une concentration artificielle autour de la moyenne.</w:t>
      </w:r>
      <w:r>
        <w:t xml:space="preserve"> </w:t>
      </w:r>
    </w:p>
    <w:p w14:paraId="6F8C2B6D"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Conservation de la variance</w:t>
      </w:r>
      <w:r>
        <w:rPr>
          <w:rFonts w:ascii="Times New Roman" w:eastAsia="Times New Roman" w:hAnsi="Times New Roman" w:cs="Times New Roman"/>
          <w:kern w:val="0"/>
          <w:lang w:eastAsia="fr-BE"/>
          <w14:ligatures w14:val="none"/>
        </w:rPr>
        <w:t xml:space="preserve"> : comparaison des variances après imputation, complétée par des indicateurs simples (tests de type Levene et distance de Kolmogorov–Smirnov) entre parties observées et imputées, pour vérifier que la dispersion n’était pas systématiquement réduite.</w:t>
      </w:r>
    </w:p>
    <w:p w14:paraId="6F6ADA7F"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Stabilité par rééchantillonnage</w:t>
      </w:r>
      <w:r>
        <w:rPr>
          <w:rFonts w:ascii="Times New Roman" w:eastAsia="Times New Roman" w:hAnsi="Times New Roman" w:cs="Times New Roman"/>
          <w:kern w:val="0"/>
          <w:lang w:eastAsia="fr-BE"/>
          <w14:ligatures w14:val="none"/>
        </w:rPr>
        <w:t xml:space="preserve"> : répétition de l’imputation sur des sous-échantillons bootstrap pour apprécier la variabilité des estimations de variance et s’assurer qu’aucune méthode ne produisait des imputations instables ou trop lissées </w:t>
      </w:r>
      <w:r>
        <w:fldChar w:fldCharType="begin"/>
      </w:r>
      <w:r>
        <w:rPr>
          <w:rFonts w:ascii="Times New Roman" w:eastAsia="Times New Roman" w:hAnsi="Times New Roman" w:cs="Times New Roman"/>
          <w:kern w:val="0"/>
          <w:lang w:eastAsia="fr-BE"/>
        </w:rPr>
        <w:instrText>ADDIN ZOTERO_ITEM CSL_CITATION {"citationID":"BfgWLigF","properties":{"formattedCitation":"(19)","plainCitation":"(19)","noteIndex":0},"citationItems":[{"id":652,"uris":["http://zotero.org/users/11240916/items/NQFNIX5Y"],"itemData":{"id":652,"type":"book","abstract":"An up-to-date, comprehensive treatment of a classic text on missing data in statisticsThe topic of missing data has gained considerable attention in recent decades. This new edition by two acknowledged experts on the subject offers an up-to-date account of practical methodology for handling missing data problems. Blending theory and application, authors Roderick Little and Donald Rubin review historical approaches to the subject and describe simple methods for multivariate analysis with missing values. They then provide a coherent theory for analysis of problems based on likelihoods derived from statistical models for the data and the missing data mechanism, and then they apply the theory to a wide range of important missing data problems.Statistical Analysis with Missing Data, Third Edition starts by introducing readers to the subject and approaches toward solving it. It looks at the patterns and mechanisms that create the missing data, as well as a taxonomy of missing data. It then goes on to examine missing data in experiments, before discussing complete-case and available-case analysis, including weighting methods. The new edition expands its coverage to include recent work on topics such as nonresponse in sample surveys, causal inference, diagnostic methods, and sensitivity analysis, among a host of other topics.  An updated “classic” written by renowned authorities on the subject Features over 150 exercises (including many new ones) Covers recent work on important methods like multiple imputation, robust alternatives to weighting, and Bayesian methods Revises previous topics based on past student feedback and class experience Contains an updated and expanded bibliography  The authors were awarded The Karl Pearson Prize in 2017 by the International Statistical Institute, for a research contribution that has had profound influence on statistical theory, methodology or applications. Their work \"has been no less than defining and transforming.\" (ISI)Statistical Analysis with Missing Data, Third Edition is an ideal textbook for upper undergraduate and/or beginning graduate level students of the subject. It is also an excellent source of information for applied statisticians and practitioners in government and industry.","ISBN":"978-0-470-52679-8","language":"en","note":"Google-Books-ID: BemMDwAAQBAJ","number-of-pages":"462","publisher":"John Wiley &amp; Sons","source":"Google Books","title":"Statistical Analysis with Missing Data","author":[{"family":"Little","given":"Roderick J. A."},{"family":"Rubin","given":"Donald B."}],"issued":{"date-parts":[["2019",4,23]]}}}],"schema":"https://github.com/citation-style-language/schema/raw/master/csl-citation.json"}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(19)</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r>
        <w:t xml:space="preserve"> </w:t>
      </w:r>
    </w:p>
    <w:p w14:paraId="714D3B89"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Impact sur une modélisation simple</w:t>
      </w:r>
      <w:r>
        <w:rPr>
          <w:rFonts w:ascii="Times New Roman" w:eastAsia="Times New Roman" w:hAnsi="Times New Roman" w:cs="Times New Roman"/>
          <w:kern w:val="0"/>
          <w:lang w:eastAsia="fr-BE"/>
          <w14:ligatures w14:val="none"/>
        </w:rPr>
        <w:t xml:space="preserve"> : ajustement d’un modèle de régression logistique de base sur chaque jeu imputé, avec comparaison de métriques globales (AUC-ROC, F1) afin de vérifier qu’aucune stratégie d’imputation ne dégradait fortement la capacité prédictive </w:t>
      </w:r>
      <w:r>
        <w:fldChar w:fldCharType="begin"/>
      </w:r>
      <w:r>
        <w:rPr>
          <w:rFonts w:ascii="Times New Roman" w:eastAsia="Times New Roman" w:hAnsi="Times New Roman" w:cs="Times New Roman"/>
          <w:kern w:val="0"/>
          <w:lang w:eastAsia="fr-BE"/>
        </w:rPr>
        <w:instrText>ADDIN ZOTERO_ITEM CSL_CITATION {"citationID":"6JgYWL7P","properties":{"formattedCitation":"(20)","plainCitation":"(20)","noteIndex":0},"citationItems":[{"id":649,"uris":["http://zotero.org/users/11240916/items/C7PDEZ8X"],"itemData":{"id":649,"type":"article-journal","abstract":"&lt;p&gt;Predicting future outcomes of patients is essential to clinical practice, with many prediction models published each year. Empirical evidence suggests that published studies often have severe methodological limitations, which undermine their usefulness. This article presents a step-by-step guide to help researchers develop and evaluate a clinical prediction model. The guide covers best practices in defining the aim and users, selecting data sources, addressing missing data, exploring alternative modelling options, and assessing model performance. The steps are illustrated using an example from relapsing-remitting multiple sclerosis. Comprehensive R code is also provided.&lt;/p&gt;","container-title":"BMJ","DOI":"10.1136/bmj-2023-078276","ISSN":"1756-1833","journalAbbreviation":"BMJ","language":"en","license":"©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http://creativecommons.org/licenses/by/4.0/.","page":"e078276","PMID":"39227063","publisher":"British Medical Journal Publishing Group","section":"Research Methods &amp;amp; Reporting","source":"www.bmj.com","title":"Developing clinical prediction models: a step-by-step guide","title-short":"Developing clinical prediction models","volume":"386","author":[{"family":"Efthimiou","given":"Orestis"},{"family":"Seo","given":"Michael"},{"family":"Chalkou","given":"Konstantina"},{"family":"Debray","given":"Thomas"},{"family":"Egger","given":"Matthias"},{"family":"Salanti","given":"Georgia"}],"issued":{"date-parts":[["2024",9,3]]}}}],"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(20)</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r>
        <w:t xml:space="preserve"> </w:t>
      </w:r>
    </w:p>
    <w:p w14:paraId="3AF1EB49"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Résultats synthétiques et choix de MICE</w:t>
      </w:r>
    </w:p>
    <w:p w14:paraId="6DDC1460"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Les analyses ont montré que :</w:t>
      </w:r>
    </w:p>
    <w:p w14:paraId="2F06A44E" w14:textId="77777777" w:rsidR="00CA7084" w:rsidRDefault="005648BA">
      <w:pPr>
        <w:numPr>
          <w:ilvl w:val="0"/>
          <w:numId w:val="4"/>
        </w:num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l’</w:t>
      </w:r>
      <w:r>
        <w:rPr>
          <w:rFonts w:ascii="Times New Roman" w:eastAsia="Times New Roman" w:hAnsi="Times New Roman" w:cs="Times New Roman"/>
          <w:b/>
          <w:bCs/>
          <w:kern w:val="0"/>
          <w:lang w:eastAsia="fr-BE"/>
          <w14:ligatures w14:val="none"/>
        </w:rPr>
        <w:t>imputation simple médiane/mode</w:t>
      </w:r>
      <w:r>
        <w:rPr>
          <w:rFonts w:ascii="Times New Roman" w:eastAsia="Times New Roman" w:hAnsi="Times New Roman" w:cs="Times New Roman"/>
          <w:kern w:val="0"/>
          <w:lang w:eastAsia="fr-BE"/>
          <w14:ligatures w14:val="none"/>
        </w:rPr>
        <w:t xml:space="preserve"> produisait des distributions globalement acceptables mais avec certaines distorsions pour les variables les plus incomplètes, et ne tirait pas parti de l’information multivariée ;</w:t>
      </w:r>
    </w:p>
    <w:p w14:paraId="2CDA20E0" w14:textId="77777777" w:rsidR="00CA7084" w:rsidRDefault="005648BA">
      <w:pPr>
        <w:numPr>
          <w:ilvl w:val="0"/>
          <w:numId w:val="4"/>
        </w:numPr>
        <w:spacing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l’</w:t>
      </w:r>
      <w:r>
        <w:rPr>
          <w:rFonts w:ascii="Times New Roman" w:eastAsia="Times New Roman" w:hAnsi="Times New Roman" w:cs="Times New Roman"/>
          <w:b/>
          <w:bCs/>
          <w:kern w:val="0"/>
          <w:lang w:eastAsia="fr-BE"/>
          <w14:ligatures w14:val="none"/>
        </w:rPr>
        <w:t>imputation KNN</w:t>
      </w:r>
      <w:r>
        <w:rPr>
          <w:rFonts w:ascii="Times New Roman" w:eastAsia="Times New Roman" w:hAnsi="Times New Roman" w:cs="Times New Roman"/>
          <w:kern w:val="0"/>
          <w:lang w:eastAsia="fr-BE"/>
          <w14:ligatures w14:val="none"/>
        </w:rPr>
        <w:t xml:space="preserve"> avait tendance à réduire la variance de plusieurs prédicteurs continus (cholestérol, glycémie, IMC), avec des distributions trop concentrées autour de la moyenne, suggérant un lissage excessif ;</w:t>
      </w:r>
    </w:p>
    <w:p w14:paraId="472BF15D" w14:textId="77777777" w:rsidR="00CA7084" w:rsidRDefault="005648BA">
      <w:pPr>
        <w:numPr>
          <w:ilvl w:val="0"/>
          <w:numId w:val="4"/>
        </w:numPr>
        <w:spacing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l’</w:t>
      </w:r>
      <w:r>
        <w:rPr>
          <w:rFonts w:ascii="Times New Roman" w:eastAsia="Times New Roman" w:hAnsi="Times New Roman" w:cs="Times New Roman"/>
          <w:b/>
          <w:bCs/>
          <w:kern w:val="0"/>
          <w:lang w:eastAsia="fr-BE"/>
          <w14:ligatures w14:val="none"/>
        </w:rPr>
        <w:t>imputation MICE</w:t>
      </w:r>
      <w:r>
        <w:rPr>
          <w:rFonts w:ascii="Times New Roman" w:eastAsia="Times New Roman" w:hAnsi="Times New Roman" w:cs="Times New Roman"/>
          <w:kern w:val="0"/>
          <w:lang w:eastAsia="fr-BE"/>
          <w14:ligatures w14:val="none"/>
        </w:rPr>
        <w:t xml:space="preserve"> préservait le mieux la forme et la dispersion des distributions, avec des différences limitées entre valeurs observées et imputées, et n’entraînait pas de dégradation des performances de la régression logistique de base, voire des résultats légèrement supérieurs.</w:t>
      </w:r>
    </w:p>
    <w:p w14:paraId="7BD75B44"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lastRenderedPageBreak/>
        <w:t>Compte tenu de ces éléments et des recommandations méthodologiques en modélisation prédictive, l’imputation MICE a été retenue comme stratégie principale pour la suite du travail. Les matrices finales imputées (X_train_MICE, X_test_MICE, y_train, y_test) ont servi de base à la construction des quatre jeux de données utilisés pour la modélisation (A1, A2, B1 et B2).</w:t>
      </w:r>
    </w:p>
    <w:p w14:paraId="0FD541C8"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Tableau . Variance moyenne (Bootstrap) des variables continues selon la méthode d’imputation (A1 : médiane/mode ; KNN ; MICE)</w:t>
      </w:r>
    </w:p>
    <w:p w14:paraId="034955B9" w14:textId="77777777" w:rsidR="00CA7084" w:rsidRDefault="005648BA">
      <w:pPr>
        <w:spacing w:beforeAutospacing="1" w:afterAutospacing="1" w:line="360" w:lineRule="auto"/>
        <w:jc w:val="both"/>
        <w:rPr>
          <w:rFonts w:ascii="Times New Roman" w:eastAsia="Times New Roman" w:hAnsi="Times New Roman" w:cs="Times New Roman"/>
          <w:b/>
          <w:bCs/>
          <w:color w:val="C9211E"/>
          <w:kern w:val="0"/>
          <w:shd w:val="clear" w:color="auto" w:fill="81D41A"/>
          <w:lang w:eastAsia="fr-BE"/>
          <w14:ligatures w14:val="none"/>
        </w:rPr>
      </w:pPr>
      <w:r>
        <w:rPr>
          <w:rFonts w:ascii="Times New Roman" w:eastAsia="Times New Roman" w:hAnsi="Times New Roman" w:cs="Times New Roman"/>
          <w:b/>
          <w:bCs/>
          <w:color w:val="C9211E"/>
          <w:kern w:val="0"/>
          <w:shd w:val="clear" w:color="auto" w:fill="81D41A"/>
          <w:lang w:eastAsia="fr-BE"/>
          <w14:ligatures w14:val="none"/>
        </w:rPr>
        <w:t>pas clair A1,A2,...</w:t>
      </w:r>
    </w:p>
    <w:p w14:paraId="2F6A594C" w14:textId="77777777" w:rsidR="00CA7084" w:rsidRDefault="005648BA">
      <w:pPr>
        <w:spacing w:beforeAutospacing="1" w:afterAutospacing="1" w:line="360" w:lineRule="auto"/>
        <w:jc w:val="both"/>
        <w:rPr>
          <w:b/>
          <w:bCs/>
          <w:color w:val="C9211E"/>
          <w:shd w:val="clear" w:color="auto" w:fill="81D41A"/>
          <w14:ligatures w14:val="none"/>
        </w:rPr>
      </w:pPr>
      <w:r>
        <w:rPr>
          <w:rFonts w:ascii="Times New Roman" w:eastAsia="Times New Roman" w:hAnsi="Times New Roman" w:cs="Times New Roman"/>
          <w:b/>
          <w:bCs/>
          <w:color w:val="C9211E"/>
          <w:kern w:val="0"/>
          <w:shd w:val="clear" w:color="auto" w:fill="81D41A"/>
          <w:lang w:eastAsia="fr-BE"/>
          <w14:ligatures w14:val="none"/>
        </w:rPr>
        <w:t>-Pas clair boostrap</w:t>
      </w:r>
    </w:p>
    <w:tbl>
      <w:tblPr>
        <w:tblStyle w:val="Grilledutableau"/>
        <w:tblW w:w="8224" w:type="dxa"/>
        <w:tblLayout w:type="fixed"/>
        <w:tblLook w:val="04A0" w:firstRow="1" w:lastRow="0" w:firstColumn="1" w:lastColumn="0" w:noHBand="0" w:noVBand="1"/>
      </w:tblPr>
      <w:tblGrid>
        <w:gridCol w:w="2209"/>
        <w:gridCol w:w="2423"/>
        <w:gridCol w:w="1736"/>
        <w:gridCol w:w="1856"/>
      </w:tblGrid>
      <w:tr w:rsidR="00CA7084" w14:paraId="5A3314C3" w14:textId="77777777">
        <w:tc>
          <w:tcPr>
            <w:tcW w:w="2208" w:type="dxa"/>
          </w:tcPr>
          <w:p w14:paraId="1DF09035" w14:textId="77777777" w:rsidR="00CA7084" w:rsidRDefault="005648BA">
            <w:pPr>
              <w:spacing w:beforeAutospacing="1" w:after="0" w:line="360" w:lineRule="auto"/>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Variable</w:t>
            </w:r>
          </w:p>
        </w:tc>
        <w:tc>
          <w:tcPr>
            <w:tcW w:w="2423" w:type="dxa"/>
          </w:tcPr>
          <w:p w14:paraId="30D8F255" w14:textId="77777777" w:rsidR="00CA7084" w:rsidRDefault="005648BA">
            <w:pPr>
              <w:spacing w:beforeAutospacing="1" w:after="0" w:line="360" w:lineRule="auto"/>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Var Moy A1 (Simple)</w:t>
            </w:r>
          </w:p>
        </w:tc>
        <w:tc>
          <w:tcPr>
            <w:tcW w:w="1736" w:type="dxa"/>
          </w:tcPr>
          <w:p w14:paraId="0DD57FBF" w14:textId="77777777" w:rsidR="00CA7084" w:rsidRDefault="005648BA">
            <w:pPr>
              <w:spacing w:beforeAutospacing="1" w:after="0" w:line="360" w:lineRule="auto"/>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Var Moy KNN</w:t>
            </w:r>
          </w:p>
        </w:tc>
        <w:tc>
          <w:tcPr>
            <w:tcW w:w="1856" w:type="dxa"/>
          </w:tcPr>
          <w:p w14:paraId="52928632" w14:textId="77777777" w:rsidR="00CA7084" w:rsidRDefault="005648BA">
            <w:pPr>
              <w:spacing w:beforeAutospacing="1" w:after="0" w:line="360" w:lineRule="auto"/>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Var Moy MICE</w:t>
            </w:r>
          </w:p>
        </w:tc>
      </w:tr>
      <w:tr w:rsidR="00CA7084" w14:paraId="3FED906E" w14:textId="77777777">
        <w:tc>
          <w:tcPr>
            <w:tcW w:w="2208" w:type="dxa"/>
          </w:tcPr>
          <w:p w14:paraId="74B06C8E"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Âge</w:t>
            </w:r>
          </w:p>
        </w:tc>
        <w:tc>
          <w:tcPr>
            <w:tcW w:w="2423" w:type="dxa"/>
          </w:tcPr>
          <w:p w14:paraId="2F417D1F"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73,33</w:t>
            </w:r>
          </w:p>
        </w:tc>
        <w:tc>
          <w:tcPr>
            <w:tcW w:w="1736" w:type="dxa"/>
          </w:tcPr>
          <w:p w14:paraId="7E69D9B6"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0,02</w:t>
            </w:r>
          </w:p>
        </w:tc>
        <w:tc>
          <w:tcPr>
            <w:tcW w:w="1856" w:type="dxa"/>
          </w:tcPr>
          <w:p w14:paraId="3DD217F3"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73,33</w:t>
            </w:r>
          </w:p>
        </w:tc>
      </w:tr>
      <w:tr w:rsidR="00CA7084" w14:paraId="634B121D" w14:textId="77777777">
        <w:tc>
          <w:tcPr>
            <w:tcW w:w="2208" w:type="dxa"/>
          </w:tcPr>
          <w:p w14:paraId="17CAACEC"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Cigarettes/jour</w:t>
            </w:r>
          </w:p>
        </w:tc>
        <w:tc>
          <w:tcPr>
            <w:tcW w:w="2423" w:type="dxa"/>
          </w:tcPr>
          <w:p w14:paraId="55588EDC"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143,06</w:t>
            </w:r>
          </w:p>
        </w:tc>
        <w:tc>
          <w:tcPr>
            <w:tcW w:w="1736" w:type="dxa"/>
          </w:tcPr>
          <w:p w14:paraId="416D5F72"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0,03</w:t>
            </w:r>
          </w:p>
        </w:tc>
        <w:tc>
          <w:tcPr>
            <w:tcW w:w="1856" w:type="dxa"/>
          </w:tcPr>
          <w:p w14:paraId="1BF363DF"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143,23</w:t>
            </w:r>
          </w:p>
        </w:tc>
      </w:tr>
      <w:tr w:rsidR="00CA7084" w14:paraId="0BA2E317" w14:textId="77777777">
        <w:tc>
          <w:tcPr>
            <w:tcW w:w="2208" w:type="dxa"/>
          </w:tcPr>
          <w:p w14:paraId="5202D3E7"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Cholestérol total</w:t>
            </w:r>
          </w:p>
        </w:tc>
        <w:tc>
          <w:tcPr>
            <w:tcW w:w="2423" w:type="dxa"/>
          </w:tcPr>
          <w:p w14:paraId="518817F0"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1 936,46</w:t>
            </w:r>
          </w:p>
        </w:tc>
        <w:tc>
          <w:tcPr>
            <w:tcW w:w="1736" w:type="dxa"/>
          </w:tcPr>
          <w:p w14:paraId="6D0B35EA"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0,04</w:t>
            </w:r>
          </w:p>
        </w:tc>
        <w:tc>
          <w:tcPr>
            <w:tcW w:w="1856" w:type="dxa"/>
          </w:tcPr>
          <w:p w14:paraId="62204924"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1 925,87</w:t>
            </w:r>
          </w:p>
        </w:tc>
      </w:tr>
      <w:tr w:rsidR="00CA7084" w14:paraId="29451AF1" w14:textId="77777777">
        <w:tc>
          <w:tcPr>
            <w:tcW w:w="2208" w:type="dxa"/>
          </w:tcPr>
          <w:p w14:paraId="02EEAA3F"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Tension systolique</w:t>
            </w:r>
          </w:p>
        </w:tc>
        <w:tc>
          <w:tcPr>
            <w:tcW w:w="2423" w:type="dxa"/>
          </w:tcPr>
          <w:p w14:paraId="1905F1E7"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480,59</w:t>
            </w:r>
          </w:p>
        </w:tc>
        <w:tc>
          <w:tcPr>
            <w:tcW w:w="1736" w:type="dxa"/>
          </w:tcPr>
          <w:p w14:paraId="141DFB8C"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0,04</w:t>
            </w:r>
          </w:p>
        </w:tc>
        <w:tc>
          <w:tcPr>
            <w:tcW w:w="1856" w:type="dxa"/>
          </w:tcPr>
          <w:p w14:paraId="5D47DF0F"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485,78</w:t>
            </w:r>
          </w:p>
        </w:tc>
      </w:tr>
      <w:tr w:rsidR="00CA7084" w14:paraId="4038C932" w14:textId="77777777">
        <w:tc>
          <w:tcPr>
            <w:tcW w:w="2208" w:type="dxa"/>
          </w:tcPr>
          <w:p w14:paraId="5B2756E2"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Tension diastolique</w:t>
            </w:r>
          </w:p>
        </w:tc>
        <w:tc>
          <w:tcPr>
            <w:tcW w:w="2423" w:type="dxa"/>
          </w:tcPr>
          <w:p w14:paraId="0F3CF2F2"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141,30</w:t>
            </w:r>
          </w:p>
        </w:tc>
        <w:tc>
          <w:tcPr>
            <w:tcW w:w="1736" w:type="dxa"/>
          </w:tcPr>
          <w:p w14:paraId="3040F566"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0,03</w:t>
            </w:r>
          </w:p>
        </w:tc>
        <w:tc>
          <w:tcPr>
            <w:tcW w:w="1856" w:type="dxa"/>
          </w:tcPr>
          <w:p w14:paraId="47130878"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140,75</w:t>
            </w:r>
          </w:p>
        </w:tc>
      </w:tr>
      <w:tr w:rsidR="00CA7084" w14:paraId="5429E114" w14:textId="77777777">
        <w:tc>
          <w:tcPr>
            <w:tcW w:w="2208" w:type="dxa"/>
          </w:tcPr>
          <w:p w14:paraId="5D8B68B1"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IMC</w:t>
            </w:r>
          </w:p>
        </w:tc>
        <w:tc>
          <w:tcPr>
            <w:tcW w:w="2423" w:type="dxa"/>
          </w:tcPr>
          <w:p w14:paraId="483C2CDC"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16,97</w:t>
            </w:r>
          </w:p>
        </w:tc>
        <w:tc>
          <w:tcPr>
            <w:tcW w:w="1736" w:type="dxa"/>
          </w:tcPr>
          <w:p w14:paraId="4791D69A"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0,03</w:t>
            </w:r>
          </w:p>
        </w:tc>
        <w:tc>
          <w:tcPr>
            <w:tcW w:w="1856" w:type="dxa"/>
          </w:tcPr>
          <w:p w14:paraId="40E2B440"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16,93</w:t>
            </w:r>
          </w:p>
        </w:tc>
      </w:tr>
      <w:tr w:rsidR="00CA7084" w14:paraId="6D1EF067" w14:textId="77777777">
        <w:tc>
          <w:tcPr>
            <w:tcW w:w="2208" w:type="dxa"/>
          </w:tcPr>
          <w:p w14:paraId="65AC9055"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Fréquence cardiaque</w:t>
            </w:r>
          </w:p>
        </w:tc>
        <w:tc>
          <w:tcPr>
            <w:tcW w:w="2423" w:type="dxa"/>
          </w:tcPr>
          <w:p w14:paraId="282A0571"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144,48</w:t>
            </w:r>
          </w:p>
        </w:tc>
        <w:tc>
          <w:tcPr>
            <w:tcW w:w="1736" w:type="dxa"/>
          </w:tcPr>
          <w:p w14:paraId="6F1F7D7D"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0,03</w:t>
            </w:r>
          </w:p>
        </w:tc>
        <w:tc>
          <w:tcPr>
            <w:tcW w:w="1856" w:type="dxa"/>
          </w:tcPr>
          <w:p w14:paraId="261E2284"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144,17</w:t>
            </w:r>
          </w:p>
        </w:tc>
      </w:tr>
      <w:tr w:rsidR="00CA7084" w14:paraId="5CCF0A90" w14:textId="77777777">
        <w:tc>
          <w:tcPr>
            <w:tcW w:w="2208" w:type="dxa"/>
          </w:tcPr>
          <w:p w14:paraId="56F98013"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Glucose</w:t>
            </w:r>
          </w:p>
        </w:tc>
        <w:tc>
          <w:tcPr>
            <w:tcW w:w="2423" w:type="dxa"/>
          </w:tcPr>
          <w:p w14:paraId="3CB33F08"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527,05</w:t>
            </w:r>
          </w:p>
        </w:tc>
        <w:tc>
          <w:tcPr>
            <w:tcW w:w="1736" w:type="dxa"/>
          </w:tcPr>
          <w:p w14:paraId="4385DF7C"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0,13</w:t>
            </w:r>
          </w:p>
        </w:tc>
        <w:tc>
          <w:tcPr>
            <w:tcW w:w="1856" w:type="dxa"/>
          </w:tcPr>
          <w:p w14:paraId="01DB8020" w14:textId="77777777" w:rsidR="00CA7084" w:rsidRDefault="005648BA">
            <w:p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539,64</w:t>
            </w:r>
          </w:p>
        </w:tc>
      </w:tr>
    </w:tbl>
    <w:p w14:paraId="0DD52656" w14:textId="77777777" w:rsidR="00CA7084" w:rsidRDefault="005648BA">
      <w:pPr>
        <w:spacing w:beforeAutospacing="1" w:afterAutospacing="1" w:line="240" w:lineRule="auto"/>
        <w:jc w:val="both"/>
        <w:rPr>
          <w:rFonts w:ascii="Times New Roman" w:eastAsia="Times New Roman" w:hAnsi="Times New Roman" w:cs="Times New Roman"/>
          <w:b/>
          <w:bCs/>
          <w:color w:val="45B0E1" w:themeColor="accent1" w:themeTint="99"/>
          <w:kern w:val="0"/>
          <w:sz w:val="28"/>
          <w:szCs w:val="28"/>
          <w:lang w:eastAsia="fr-BE"/>
          <w14:ligatures w14:val="none"/>
        </w:rPr>
      </w:pPr>
      <w:r>
        <w:rPr>
          <w:rFonts w:ascii="Times New Roman" w:eastAsia="Times New Roman" w:hAnsi="Times New Roman" w:cs="Times New Roman"/>
          <w:b/>
          <w:bCs/>
          <w:color w:val="45B0E1" w:themeColor="accent1" w:themeTint="99"/>
          <w:kern w:val="0"/>
          <w:sz w:val="28"/>
          <w:szCs w:val="28"/>
          <w:lang w:eastAsia="fr-BE"/>
          <w14:ligatures w14:val="none"/>
        </w:rPr>
        <w:t>Prétraitement et construction des jeux A1, A2, B1 et B2</w:t>
      </w:r>
    </w:p>
    <w:p w14:paraId="452C6A90"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Après l’imputation des données par la méthode MICE, un pipeline de prétraitement structuré a été mis en place afin de </w:t>
      </w:r>
      <w:r>
        <w:rPr>
          <w:rFonts w:ascii="Times New Roman" w:eastAsia="Times New Roman" w:hAnsi="Times New Roman" w:cs="Times New Roman"/>
          <w:b/>
          <w:bCs/>
          <w:kern w:val="0"/>
          <w:lang w:eastAsia="fr-BE"/>
          <w14:ligatures w14:val="none"/>
        </w:rPr>
        <w:t>distinguer explicitement l’effet de la standardisation des variables de celui de la gestion du déséquilibre de classes</w:t>
      </w:r>
      <w:r>
        <w:rPr>
          <w:rFonts w:ascii="Times New Roman" w:eastAsia="Times New Roman" w:hAnsi="Times New Roman" w:cs="Times New Roman"/>
          <w:kern w:val="0"/>
          <w:lang w:eastAsia="fr-BE"/>
          <w14:ligatures w14:val="none"/>
        </w:rPr>
        <w:t>. Cette démarche vise à garantir une comparaison méthodologiquement rigoureuse des performances des différents algorithmes, tout en respectant les contraintes de validité interne et de réalisme clinique.</w:t>
      </w:r>
    </w:p>
    <w:p w14:paraId="5400EE6D"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Le pipeline repose sur deux principes fondamentaux :</w:t>
      </w:r>
      <w:r>
        <w:rPr>
          <w:rFonts w:ascii="Times New Roman" w:eastAsia="Times New Roman" w:hAnsi="Times New Roman" w:cs="Times New Roman"/>
          <w:kern w:val="0"/>
          <w:lang w:eastAsia="fr-BE"/>
          <w14:ligatures w14:val="none"/>
        </w:rPr>
        <w:br/>
        <w:t>(i) une séparation stricte entre les jeux d’apprentissage et de test, réalisée en amont de toute transformation ; (ii) la construction de quatre jeux de données distincts, notés A1, A2, B1 et B2, permettant d’explorer séparément ou conjointement l’impact de la standardisation et du rééquilibrage des classes.</w:t>
      </w:r>
    </w:p>
    <w:p w14:paraId="42C7BCD1"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sz w:val="27"/>
          <w:szCs w:val="27"/>
          <w:lang w:eastAsia="fr-BE"/>
          <w14:ligatures w14:val="none"/>
        </w:rPr>
        <w:lastRenderedPageBreak/>
        <w:t>Séparation apprentissage / test</w:t>
      </w:r>
    </w:p>
    <w:p w14:paraId="03A36304"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La base complète (N = 4 239) a été divisée en deux sous-ensembles :</w:t>
      </w:r>
    </w:p>
    <w:p w14:paraId="2E1A2FB3" w14:textId="77777777" w:rsidR="00CA7084" w:rsidRDefault="005648BA">
      <w:pPr>
        <w:numPr>
          <w:ilvl w:val="0"/>
          <w:numId w:val="9"/>
        </w:num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un jeu d’apprentissage représentant 80 % des observations,</w:t>
      </w:r>
    </w:p>
    <w:p w14:paraId="3DA4B60D" w14:textId="77777777" w:rsidR="00CA7084" w:rsidRDefault="005648BA">
      <w:pPr>
        <w:numPr>
          <w:ilvl w:val="0"/>
          <w:numId w:val="9"/>
        </w:numPr>
        <w:spacing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un jeu de test représentant les 20 % restants,</w:t>
      </w:r>
    </w:p>
    <w:p w14:paraId="72E8EA42"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par tirage aléatoire stratifié sur la variable cible </w:t>
      </w:r>
      <w:r>
        <w:rPr>
          <w:rFonts w:ascii="Times New Roman" w:eastAsia="Times New Roman" w:hAnsi="Times New Roman" w:cs="Times New Roman"/>
          <w:i/>
          <w:iCs/>
          <w:kern w:val="0"/>
          <w:lang w:eastAsia="fr-BE"/>
          <w14:ligatures w14:val="none"/>
        </w:rPr>
        <w:t>risque_chd_10ans</w:t>
      </w:r>
      <w:r>
        <w:rPr>
          <w:rFonts w:ascii="Times New Roman" w:eastAsia="Times New Roman" w:hAnsi="Times New Roman" w:cs="Times New Roman"/>
          <w:kern w:val="0"/>
          <w:lang w:eastAsia="fr-BE"/>
          <w14:ligatures w14:val="none"/>
        </w:rPr>
        <w:t xml:space="preserve">, de manière à conserver une proportion d’événements d’environ 15 % dans chacun des deux sous-échantillons. </w:t>
      </w:r>
      <w:r>
        <w:rPr>
          <w:rFonts w:ascii="Times New Roman" w:eastAsia="Times New Roman" w:hAnsi="Times New Roman" w:cs="Times New Roman"/>
          <w:b/>
          <w:bCs/>
          <w:color w:val="C9211E"/>
          <w:kern w:val="0"/>
          <w:shd w:val="clear" w:color="auto" w:fill="81D41A"/>
          <w:lang w:eastAsia="fr-BE"/>
          <w14:ligatures w14:val="none"/>
        </w:rPr>
        <w:t xml:space="preserve">Cette séparation a été réalisée avant toute opération de prétraitement (imputation, standardisation ou rééquilibrage), afin de limiter le risque de </w:t>
      </w:r>
      <w:r>
        <w:rPr>
          <w:rFonts w:ascii="Times New Roman" w:eastAsia="Times New Roman" w:hAnsi="Times New Roman" w:cs="Times New Roman"/>
          <w:b/>
          <w:bCs/>
          <w:i/>
          <w:iCs/>
          <w:color w:val="C9211E"/>
          <w:kern w:val="0"/>
          <w:shd w:val="clear" w:color="auto" w:fill="81D41A"/>
          <w:lang w:eastAsia="fr-BE"/>
          <w14:ligatures w14:val="none"/>
        </w:rPr>
        <w:t>data leakage</w:t>
      </w:r>
      <w:r>
        <w:rPr>
          <w:rFonts w:ascii="Times New Roman" w:eastAsia="Times New Roman" w:hAnsi="Times New Roman" w:cs="Times New Roman"/>
          <w:b/>
          <w:bCs/>
          <w:color w:val="C9211E"/>
          <w:kern w:val="0"/>
          <w:shd w:val="clear" w:color="auto" w:fill="81D41A"/>
          <w:lang w:eastAsia="fr-BE"/>
          <w14:ligatures w14:val="none"/>
        </w:rPr>
        <w:t>, c’est-à-dire l’introduction directe ou indirecte d’informations issues du jeu de test dans la phase d’apprentissage des modèles. L’ensemble des étapes ultérieures (imputation par MICE, ajustement du scaler, application de SMOTE) a été calibré exclusivement sur le jeu d’apprentissage, puis appliqué au jeu de test lorsque nécessaire.</w:t>
      </w:r>
    </w:p>
    <w:p w14:paraId="6C6FE880"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color w:val="C9211E"/>
          <w:kern w:val="0"/>
          <w:shd w:val="clear" w:color="auto" w:fill="81D41A"/>
          <w:lang w:eastAsia="fr-BE"/>
          <w14:ligatures w14:val="none"/>
        </w:rPr>
        <w:t>pas clair</w:t>
      </w:r>
    </w:p>
    <w:p w14:paraId="1C376087" w14:textId="77777777" w:rsidR="00CA7084" w:rsidRDefault="005648BA">
      <w:pPr>
        <w:spacing w:beforeAutospacing="1" w:afterAutospacing="1"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À l’issue de l’imputation par MICE, on dispose ainsi de deux matrices principales :</w:t>
      </w:r>
    </w:p>
    <w:p w14:paraId="137ECF6C" w14:textId="77777777" w:rsidR="00CA7084" w:rsidRDefault="005648BA">
      <w:pPr>
        <w:numPr>
          <w:ilvl w:val="0"/>
          <w:numId w:val="10"/>
        </w:numPr>
        <w:spacing w:beforeAutospacing="1" w:after="0" w:line="36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X_train_MICE et y_train, correspondant aux prédicteurs et à la variable cible du jeu d’apprentissage imputé ;</w:t>
      </w:r>
    </w:p>
    <w:p w14:paraId="02E81471" w14:textId="77777777" w:rsidR="00CA7084" w:rsidRDefault="005648BA">
      <w:pPr>
        <w:numPr>
          <w:ilvl w:val="0"/>
          <w:numId w:val="10"/>
        </w:numPr>
        <w:spacing w:afterAutospacing="1" w:line="36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X_test_MICE et y_test, correspondant aux données du jeu de test imputées selon un schéma cohérent avec celui du train.</w:t>
      </w:r>
    </w:p>
    <w:p w14:paraId="1C64DAFD" w14:textId="77777777" w:rsidR="00CA7084" w:rsidRDefault="005648BA">
      <w:pPr>
        <w:spacing w:beforeAutospacing="1" w:afterAutospacing="1" w:line="36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sz w:val="27"/>
          <w:szCs w:val="27"/>
          <w:lang w:eastAsia="fr-BE"/>
          <w14:ligatures w14:val="none"/>
        </w:rPr>
        <w:t>Jeux sans rééquilibrage : A1 et A2</w:t>
      </w:r>
    </w:p>
    <w:p w14:paraId="6431EEA2"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À partir des données imputées, deux jeux ont été construits sans modification de la distribution naturelle des classes, afin d’évaluer les performances des modèles dans une configuration proche de la pratique clinique.</w:t>
      </w:r>
    </w:p>
    <w:p w14:paraId="6A9C9BB5"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Jeu A1  données imputées non transformées (MICE) </w:t>
      </w:r>
      <w:r>
        <w:rPr>
          <w:rFonts w:ascii="Times New Roman" w:eastAsia="Times New Roman" w:hAnsi="Times New Roman" w:cs="Times New Roman"/>
          <w:kern w:val="0"/>
          <w:lang w:eastAsia="fr-BE"/>
          <w14:ligatures w14:val="none"/>
        </w:rPr>
        <w:t>: le jeu A1 correspond aux données imputées sans transformation supplémentaire. Il conserve l’échelle d’origine des variables et la prévalence initiale de la classe événement. Ce jeu constitue une référence pour l’entraînement des modèles peu sensibles à l’échelle des prédicteurs, notamment les méthodes basées sur des arbres de décision et des ensembles.</w:t>
      </w:r>
    </w:p>
    <w:p w14:paraId="150E6D50"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lastRenderedPageBreak/>
        <w:t>Jeu A2  standardisation sans rééquilibrage </w:t>
      </w:r>
      <w:r>
        <w:rPr>
          <w:rFonts w:ascii="Times New Roman" w:eastAsia="Times New Roman" w:hAnsi="Times New Roman" w:cs="Times New Roman"/>
          <w:kern w:val="0"/>
          <w:lang w:eastAsia="fr-BE"/>
          <w14:ligatures w14:val="none"/>
        </w:rPr>
        <w:t>: à partir de A1, une standardisation par centrage-réduction a été appliquée. Le scaler a été ajusté uniquement sur le jeu d’apprentissage (moyennes et écarts-types calculés sur le train), puis appliqué de manière identique au jeu de test. La distribution des classes reste inchangée (≈ 15 % d’événements).</w:t>
      </w:r>
      <w:r>
        <w:rPr>
          <w:rFonts w:ascii="Times New Roman" w:eastAsia="Times New Roman" w:hAnsi="Times New Roman" w:cs="Times New Roman"/>
          <w:kern w:val="0"/>
          <w:lang w:eastAsia="fr-BE"/>
          <w14:ligatures w14:val="none"/>
        </w:rPr>
        <w:br/>
        <w:t>Ce jeu est destiné aux modèles sensibles à l’échelle des variables, tels que la régression logistique et le SVM à noyau RBF. La comparaison entre A1 et A2 permet ainsi d’isoler l’effet propre de la standardisation sur les performances prédictives, indépendamment de toute stratégie de rééquilibrage.</w:t>
      </w:r>
    </w:p>
    <w:p w14:paraId="65844185"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sz w:val="27"/>
          <w:szCs w:val="27"/>
          <w:lang w:eastAsia="fr-BE"/>
          <w14:ligatures w14:val="none"/>
        </w:rPr>
        <w:t>Jeux avec rééquilibrage par SMOTE : B1 et B2</w:t>
      </w:r>
    </w:p>
    <w:p w14:paraId="1DD272A5"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Afin d’intégrer explicitement la problématique du déséquilibre de classes, un rééquilibrage de la classe minoritaire a été réalisé </w:t>
      </w:r>
      <w:r>
        <w:rPr>
          <w:rFonts w:ascii="Times New Roman" w:eastAsia="Times New Roman" w:hAnsi="Times New Roman" w:cs="Times New Roman"/>
          <w:b/>
          <w:bCs/>
          <w:kern w:val="0"/>
          <w:lang w:eastAsia="fr-BE"/>
          <w14:ligatures w14:val="none"/>
        </w:rPr>
        <w:t>uniquement sur le jeu d’apprentissage</w:t>
      </w:r>
      <w:r>
        <w:rPr>
          <w:rFonts w:ascii="Times New Roman" w:eastAsia="Times New Roman" w:hAnsi="Times New Roman" w:cs="Times New Roman"/>
          <w:kern w:val="0"/>
          <w:lang w:eastAsia="fr-BE"/>
          <w14:ligatures w14:val="none"/>
        </w:rPr>
        <w:t>, à l’aide de la méthode SMOTE (</w:t>
      </w:r>
      <w:r>
        <w:rPr>
          <w:rFonts w:ascii="Times New Roman" w:eastAsia="Times New Roman" w:hAnsi="Times New Roman" w:cs="Times New Roman"/>
          <w:i/>
          <w:iCs/>
          <w:kern w:val="0"/>
          <w:lang w:eastAsia="fr-BE"/>
          <w14:ligatures w14:val="none"/>
        </w:rPr>
        <w:t>Synthetic Minority Over-sampling Technique</w:t>
      </w:r>
      <w:r>
        <w:rPr>
          <w:rFonts w:ascii="Times New Roman" w:eastAsia="Times New Roman" w:hAnsi="Times New Roman" w:cs="Times New Roman"/>
          <w:kern w:val="0"/>
          <w:lang w:eastAsia="fr-BE"/>
          <w14:ligatures w14:val="none"/>
        </w:rPr>
        <w:t xml:space="preserve">). Cette approche génère de nouvelles observations synthétiques de la classe minoritaire par interpolation entre observations proches dans l’espace des prédicteurs, ce qui permet d’augmenter la représentation des événements sans simple duplication des données existantes </w:t>
      </w:r>
      <w:r>
        <w:fldChar w:fldCharType="begin"/>
      </w:r>
      <w:r>
        <w:rPr>
          <w:rFonts w:ascii="Times New Roman" w:eastAsia="Times New Roman" w:hAnsi="Times New Roman" w:cs="Times New Roman"/>
          <w:kern w:val="0"/>
          <w:lang w:eastAsia="fr-BE"/>
        </w:rPr>
        <w:instrText>ADDIN ZOTERO_ITEM CSL_CITATION {"citationID":"qKJkSjAB","properties":{"formattedCitation":"(21,22)","plainCitation":"(21,22)","noteIndex":0},"citationItems":[{"id":656,"uris":["http://zotero.org/users/11240916/items/EDYFNQMA"],"itemData":{"id":656,"type":"article-journal","abstract":"With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data.","container-title":"Knowledge and Data Engineering, IEEE Transactions on","DOI":"10.1109/TKDE.2008.239","journalAbbreviation":"Knowledge and Data Engineering, IEEE Transactions on","page":"1263-1284","source":"ResearchGate","title":"Learning from Imbalanced Data","volume":"21","author":[{"family":"He","given":"Haibo"},{"family":"Garcia","given":"E.A."}],"issued":{"date-parts":[["2009",10,1]]}},"label":"page"},{"id":654,"uris":["http://zotero.org/users/11240916/items/HDK3E28X"],"itemData":{"id":654,"type":"article-journal","abstract":"An approach to the construction of classifiers from    imbalanced datasets is described. A dataset is imbalanced if the    classification categories are not approximately equally    represented. Often real-world data sets are predominately composed of    ``normal'' examples with only a small percentage of ``abnormal'' or    ``interesting''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strategy.","container-title":"Journal of Artificial Intelligence Research","DOI":"10.1613/jair.953","ISSN":"1076-9757","language":"en","license":"Copyright (c)","page":"321-357","source":"www.jair.org","title":"SMOTE: Synthetic Minority Over-sampling Technique","title-short":"SMOTE","volume":"16","author":[{"family":"Chawla","given":"N. V."},{"family":"Bowyer","given":"K. W."},{"family":"Hall","given":"L. O."},{"family":"Kegelmeyer","given":"W. P."}],"issued":{"date-parts":[["2002",6,1]]}},"label":"page"}],"schema":"https://github.com/citation-style-language/schema/raw/master/csl-citation.json"}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(21,22)</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p>
    <w:p w14:paraId="2D84E9ED"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Dans ce travail, SMOTE a été appliqué aux données du jeu d’apprentissage imputé non standardisé, jusqu’à obtenir une distribution approximativement équilibrée entre événements et non-événements. Le jeu de test n’a pas été modifié et conserve sa prévalence initiale d’environ 15 %, afin d’évaluer les performances des modèles dans une configuration réaliste et cliniquement pertinente.</w:t>
      </w:r>
    </w:p>
    <w:p w14:paraId="5F0EF599"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Jeu B1 MICE + SMOTE, sans standardisation </w:t>
      </w:r>
      <w:r>
        <w:rPr>
          <w:rFonts w:ascii="Times New Roman" w:eastAsia="Times New Roman" w:hAnsi="Times New Roman" w:cs="Times New Roman"/>
          <w:kern w:val="0"/>
          <w:lang w:eastAsia="fr-BE"/>
          <w14:ligatures w14:val="none"/>
        </w:rPr>
        <w:t>:le jeu B1 correspond aux données du jeu d’apprentissage après rééquilibrage par SMOTE, sans standardisation. Il est principalement utilisé pour l’entraînement des modèles de type arbres et ensembles, permettant d’évaluer l’impact d’un rééquilibrage explicite de la classe événement sur les performances prédictives.</w:t>
      </w:r>
    </w:p>
    <w:p w14:paraId="5BF0D9E1"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Jeu B2 MICE + SMOTE + standardisation </w:t>
      </w:r>
      <w:r>
        <w:rPr>
          <w:rFonts w:ascii="Times New Roman" w:eastAsia="Times New Roman" w:hAnsi="Times New Roman" w:cs="Times New Roman"/>
          <w:kern w:val="0"/>
          <w:lang w:eastAsia="fr-BE"/>
          <w14:ligatures w14:val="none"/>
        </w:rPr>
        <w:t>: le jeu B2 combine rééquilibrage par SMOTE et standardisation des variables. La standardisation est réalisée à l’aide du même scaler que pour le jeu A2, ajusté sur les données d’apprentissage avant application de SMOTE, puis appliqué aux données rééquilibrées. Le jeu de test associé est identique à celui utilisé pour A2, conservant la distribution naturelle des classes.</w:t>
      </w:r>
      <w:r>
        <w:rPr>
          <w:rFonts w:ascii="Times New Roman" w:eastAsia="Times New Roman" w:hAnsi="Times New Roman" w:cs="Times New Roman"/>
          <w:kern w:val="0"/>
          <w:lang w:eastAsia="fr-BE"/>
          <w14:ligatures w14:val="none"/>
        </w:rPr>
        <w:br/>
      </w:r>
      <w:r>
        <w:rPr>
          <w:rFonts w:ascii="Times New Roman" w:eastAsia="Times New Roman" w:hAnsi="Times New Roman" w:cs="Times New Roman"/>
          <w:kern w:val="0"/>
          <w:lang w:eastAsia="fr-BE"/>
          <w14:ligatures w14:val="none"/>
        </w:rPr>
        <w:lastRenderedPageBreak/>
        <w:t>Ce jeu permet d’entraîner des modèles sensibles à l’échelle sur des données rééquilibrées, tout en évaluant leur capacité de généralisation sur un test représentatif de la population cible.</w:t>
      </w:r>
    </w:p>
    <w:p w14:paraId="41E36AC6" w14:textId="77777777" w:rsidR="00CA7084" w:rsidRDefault="005648BA">
      <w:pPr>
        <w:spacing w:beforeAutospacing="1" w:afterAutospacing="1" w:line="240" w:lineRule="auto"/>
        <w:outlineLvl w:val="2"/>
        <w:rPr>
          <w:rFonts w:ascii="Times New Roman" w:eastAsia="Times New Roman" w:hAnsi="Times New Roman" w:cs="Times New Roman"/>
          <w:b/>
          <w:bCs/>
          <w:kern w:val="0"/>
          <w:sz w:val="27"/>
          <w:szCs w:val="27"/>
          <w:lang w:eastAsia="fr-BE"/>
          <w14:ligatures w14:val="none"/>
        </w:rPr>
      </w:pPr>
      <w:r>
        <w:rPr>
          <w:rFonts w:ascii="Times New Roman" w:eastAsia="Times New Roman" w:hAnsi="Times New Roman" w:cs="Times New Roman"/>
          <w:b/>
          <w:bCs/>
          <w:kern w:val="0"/>
          <w:sz w:val="27"/>
          <w:szCs w:val="27"/>
          <w:lang w:eastAsia="fr-BE"/>
          <w14:ligatures w14:val="none"/>
        </w:rPr>
        <w:t>Synthèse des jeux de données</w:t>
      </w:r>
    </w:p>
    <w:p w14:paraId="4C840632" w14:textId="77777777" w:rsidR="00CA7084" w:rsidRDefault="005648BA">
      <w:pPr>
        <w:numPr>
          <w:ilvl w:val="0"/>
          <w:numId w:val="11"/>
        </w:num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A1</w:t>
      </w:r>
      <w:r>
        <w:rPr>
          <w:rFonts w:ascii="Times New Roman" w:eastAsia="Times New Roman" w:hAnsi="Times New Roman" w:cs="Times New Roman"/>
          <w:kern w:val="0"/>
          <w:lang w:eastAsia="fr-BE"/>
          <w14:ligatures w14:val="none"/>
        </w:rPr>
        <w:t xml:space="preserve"> : données imputées (MICE), sans standardisation, sans rééquilibrage</w:t>
      </w:r>
    </w:p>
    <w:p w14:paraId="7FEE84F3" w14:textId="77777777" w:rsidR="00CA7084" w:rsidRDefault="005648BA">
      <w:pPr>
        <w:numPr>
          <w:ilvl w:val="0"/>
          <w:numId w:val="11"/>
        </w:numPr>
        <w:spacing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A2</w:t>
      </w:r>
      <w:r>
        <w:rPr>
          <w:rFonts w:ascii="Times New Roman" w:eastAsia="Times New Roman" w:hAnsi="Times New Roman" w:cs="Times New Roman"/>
          <w:kern w:val="0"/>
          <w:lang w:eastAsia="fr-BE"/>
          <w14:ligatures w14:val="none"/>
        </w:rPr>
        <w:t xml:space="preserve"> : données imputées (MICE) avec standardisation, sans rééquilibrage</w:t>
      </w:r>
    </w:p>
    <w:p w14:paraId="7C6F67D8" w14:textId="77777777" w:rsidR="00CA7084" w:rsidRDefault="005648BA">
      <w:pPr>
        <w:numPr>
          <w:ilvl w:val="0"/>
          <w:numId w:val="11"/>
        </w:numPr>
        <w:spacing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B1</w:t>
      </w:r>
      <w:r>
        <w:rPr>
          <w:rFonts w:ascii="Times New Roman" w:eastAsia="Times New Roman" w:hAnsi="Times New Roman" w:cs="Times New Roman"/>
          <w:kern w:val="0"/>
          <w:lang w:eastAsia="fr-BE"/>
          <w14:ligatures w14:val="none"/>
        </w:rPr>
        <w:t xml:space="preserve"> : données imputées (MICE) avec rééquilibrage par SMOTE (train uniquement), sans standardisation</w:t>
      </w:r>
    </w:p>
    <w:p w14:paraId="58EFB630" w14:textId="77777777" w:rsidR="00CA7084" w:rsidRDefault="005648BA">
      <w:pPr>
        <w:numPr>
          <w:ilvl w:val="0"/>
          <w:numId w:val="11"/>
        </w:numPr>
        <w:spacing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B2</w:t>
      </w:r>
      <w:r>
        <w:rPr>
          <w:rFonts w:ascii="Times New Roman" w:eastAsia="Times New Roman" w:hAnsi="Times New Roman" w:cs="Times New Roman"/>
          <w:kern w:val="0"/>
          <w:lang w:eastAsia="fr-BE"/>
          <w14:ligatures w14:val="none"/>
        </w:rPr>
        <w:t xml:space="preserve"> : données imputées (MICE) avec rééquilibrage par SMOTE (train uniquement) et standardisation</w:t>
      </w:r>
    </w:p>
    <w:p w14:paraId="7F2D3EDA" w14:textId="77777777" w:rsidR="00CA7084" w:rsidRDefault="005648BA">
      <w:pPr>
        <w:spacing w:beforeAutospacing="1" w:afterAutospacing="1" w:line="360" w:lineRule="auto"/>
        <w:jc w:val="both"/>
        <w:rPr>
          <w:rFonts w:ascii="Times New Roman" w:eastAsia="Times New Roman" w:hAnsi="Times New Roman" w:cs="Times New Roman"/>
          <w:color w:val="45B0E1" w:themeColor="accent1" w:themeTint="99"/>
          <w:kern w:val="0"/>
          <w:lang w:eastAsia="fr-BE"/>
          <w14:ligatures w14:val="none"/>
        </w:rPr>
      </w:pPr>
      <w:r>
        <w:rPr>
          <w:rFonts w:ascii="Times New Roman" w:eastAsia="Times New Roman" w:hAnsi="Times New Roman" w:cs="Times New Roman"/>
          <w:b/>
          <w:bCs/>
          <w:color w:val="45B0E1" w:themeColor="accent1" w:themeTint="99"/>
          <w:kern w:val="0"/>
          <w:lang w:eastAsia="fr-BE"/>
          <w14:ligatures w14:val="none"/>
        </w:rPr>
        <w:t>Modèles prédictifs et métriques de performance</w:t>
      </w:r>
    </w:p>
    <w:p w14:paraId="05D13539" w14:textId="77777777" w:rsidR="00CA7084" w:rsidRDefault="005648BA">
      <w:pPr>
        <w:spacing w:beforeAutospacing="1" w:afterAutospacing="1" w:line="240" w:lineRule="auto"/>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 xml:space="preserve"> Algorithmes étudiés</w:t>
      </w:r>
    </w:p>
    <w:p w14:paraId="45F38148"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Cinq familles d’algorithmes supervisés ont été évaluées afin de couvrir un spectre allant de modèles interprétables (utiles pour l’explicabilité et la calibration du risque) à des méthodes non linéaires et d’ensemble capables de capturer des interactions et relations complexes. Ce choix permet de comparer des compromis réalistes entre performance, calibration et utilisabilité clinique </w:t>
      </w:r>
      <w:r>
        <w:fldChar w:fldCharType="begin"/>
      </w:r>
      <w:r>
        <w:rPr>
          <w:rFonts w:ascii="Times New Roman" w:eastAsia="Times New Roman" w:hAnsi="Times New Roman" w:cs="Times New Roman"/>
          <w:kern w:val="0"/>
          <w:lang w:eastAsia="fr-BE"/>
        </w:rPr>
        <w:instrText>ADDIN ZOTERO_ITEM CSL_CITATION {"citationID":"VuiywCu5","properties":{"formattedCitation":"(23)","plainCitation":"(23)","noteIndex":0},"citationItems":[{"id":609,"uris":["http://zotero.org/users/11240916/items/JQEVX2KM"],"itemData":{"id":609,"type":"book","DOI":"10.1007/978-0-387-77244-8","ISBN":"978-0-387-77243-1","source":"ResearchGate","title":"Clinical Prediction Models: A Practical Approach to Development, Validation, and Updating","title-short":"Clinical Prediction Models","volume":"19","author":[{"family":"Steyerberg","given":"Ewout"}],"issued":{"date-parts":[["2009",1,1]]}}}],"schema":"https://github.com/citation-style-language/schema/raw/master/csl-citation.json"}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(23)</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 xml:space="preserve">. </w:t>
      </w:r>
    </w:p>
    <w:p w14:paraId="29B37C20"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 xml:space="preserve">Régression logistique (LogReg) : </w:t>
      </w:r>
      <w:r>
        <w:rPr>
          <w:rFonts w:ascii="Times New Roman" w:eastAsia="Times New Roman" w:hAnsi="Times New Roman" w:cs="Times New Roman"/>
          <w:kern w:val="0"/>
          <w:lang w:eastAsia="fr-BE"/>
          <w14:ligatures w14:val="none"/>
        </w:rPr>
        <w:t xml:space="preserve">modèle de référence en épidémiologie clinique pour l’estimation du risque, apprécié pour son interprétabilité (odds ratios) et sa robustesse. Elle a été entraînée sur les jeux standardisés A2 et B2 (modèles LogReg_A2 et LogReg_B2). Elle a été appliquée aux jeux </w:t>
      </w:r>
      <w:r>
        <w:rPr>
          <w:rFonts w:ascii="Times New Roman" w:eastAsia="Times New Roman" w:hAnsi="Times New Roman" w:cs="Times New Roman"/>
          <w:b/>
          <w:bCs/>
          <w:kern w:val="0"/>
          <w:lang w:eastAsia="fr-BE"/>
          <w14:ligatures w14:val="none"/>
        </w:rPr>
        <w:t>A2</w:t>
      </w:r>
      <w:r>
        <w:rPr>
          <w:rFonts w:ascii="Times New Roman" w:eastAsia="Times New Roman" w:hAnsi="Times New Roman" w:cs="Times New Roman"/>
          <w:kern w:val="0"/>
          <w:lang w:eastAsia="fr-BE"/>
          <w14:ligatures w14:val="none"/>
        </w:rPr>
        <w:t xml:space="preserve"> (données imputées et standardisées, sans SMOTE) et </w:t>
      </w:r>
      <w:r>
        <w:rPr>
          <w:rFonts w:ascii="Times New Roman" w:eastAsia="Times New Roman" w:hAnsi="Times New Roman" w:cs="Times New Roman"/>
          <w:b/>
          <w:bCs/>
          <w:kern w:val="0"/>
          <w:lang w:eastAsia="fr-BE"/>
          <w14:ligatures w14:val="none"/>
        </w:rPr>
        <w:t>B2</w:t>
      </w:r>
      <w:r>
        <w:rPr>
          <w:rFonts w:ascii="Times New Roman" w:eastAsia="Times New Roman" w:hAnsi="Times New Roman" w:cs="Times New Roman"/>
          <w:kern w:val="0"/>
          <w:lang w:eastAsia="fr-BE"/>
          <w14:ligatures w14:val="none"/>
        </w:rPr>
        <w:t xml:space="preserve"> (données imputées, rééquilibrées par SMOTE puis standardisées), donnant respectivement les modèles </w:t>
      </w:r>
      <w:r>
        <w:rPr>
          <w:rFonts w:ascii="Times New Roman" w:eastAsia="Times New Roman" w:hAnsi="Times New Roman" w:cs="Times New Roman"/>
          <w:b/>
          <w:bCs/>
          <w:kern w:val="0"/>
          <w:lang w:eastAsia="fr-BE"/>
          <w14:ligatures w14:val="none"/>
        </w:rPr>
        <w:t>LogReg_A2</w:t>
      </w:r>
      <w:r>
        <w:rPr>
          <w:rFonts w:ascii="Times New Roman" w:eastAsia="Times New Roman" w:hAnsi="Times New Roman" w:cs="Times New Roman"/>
          <w:kern w:val="0"/>
          <w:lang w:eastAsia="fr-BE"/>
          <w14:ligatures w14:val="none"/>
        </w:rPr>
        <w:t xml:space="preserve"> et </w:t>
      </w:r>
      <w:r>
        <w:rPr>
          <w:rFonts w:ascii="Times New Roman" w:eastAsia="Times New Roman" w:hAnsi="Times New Roman" w:cs="Times New Roman"/>
          <w:b/>
          <w:bCs/>
          <w:kern w:val="0"/>
          <w:lang w:eastAsia="fr-BE"/>
          <w14:ligatures w14:val="none"/>
        </w:rPr>
        <w:t>LogReg_B2</w:t>
      </w:r>
      <w:r>
        <w:rPr>
          <w:rFonts w:ascii="Times New Roman" w:eastAsia="Times New Roman" w:hAnsi="Times New Roman" w:cs="Times New Roman"/>
          <w:kern w:val="0"/>
          <w:lang w:eastAsia="fr-BE"/>
          <w14:ligatures w14:val="none"/>
        </w:rPr>
        <w:t>.</w:t>
      </w:r>
    </w:p>
    <w:p w14:paraId="65ADB0B6"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Forêt aléatoire (RF) :</w:t>
      </w:r>
      <w:r>
        <w:rPr>
          <w:rFonts w:ascii="Times New Roman" w:eastAsia="Times New Roman" w:hAnsi="Times New Roman" w:cs="Times New Roman"/>
          <w:kern w:val="0"/>
          <w:lang w:eastAsia="fr-BE"/>
          <w14:ligatures w14:val="none"/>
        </w:rPr>
        <w:t xml:space="preserve"> méthode d’ensemble d’arbres, adaptée aux relations non linéaires et aux interactions, généralement peu sensible à l’échelle des variables. Elle a été entraînée sur A1 et B1 (RF_A1, RF_B1) </w:t>
      </w:r>
      <w:r>
        <w:fldChar w:fldCharType="begin"/>
      </w:r>
      <w:r>
        <w:rPr>
          <w:rFonts w:ascii="Times New Roman" w:eastAsia="Times New Roman" w:hAnsi="Times New Roman" w:cs="Times New Roman"/>
          <w:kern w:val="0"/>
          <w:lang w:eastAsia="fr-BE"/>
        </w:rPr>
        <w:instrText>ADDIN ZOTERO_ITEM CSL_CITATION {"citationID":"ug2vD53g","properties":{"formattedCitation":"(24)","plainCitation":"(24)","noteIndex":0},"citationItems":[{"id":659,"uris":["http://zotero.org/users/11240916/items/SR8WDAJZ"],"itemData":{"id":659,"type":"article-journal","abstract":"Random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(24)</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p>
    <w:p w14:paraId="53613532"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Gradient Boosting (GB) :</w:t>
      </w:r>
      <w:r>
        <w:rPr>
          <w:rFonts w:ascii="Times New Roman" w:eastAsia="Times New Roman" w:hAnsi="Times New Roman" w:cs="Times New Roman"/>
          <w:kern w:val="0"/>
          <w:lang w:eastAsia="fr-BE"/>
          <w14:ligatures w14:val="none"/>
        </w:rPr>
        <w:t xml:space="preserve"> Agrégation séquentielle d’arbres, potentiellement très performante sur données tabulaires mais plus sensible au sur-apprentissage si la complexité n’est pas contrôlée. Les modèles GB_A1 et GB_B1 ont été ajustés sur A1 et B1.</w:t>
      </w:r>
    </w:p>
    <w:p w14:paraId="53429B66"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lastRenderedPageBreak/>
        <w:t>XGBoost (XGB) </w:t>
      </w:r>
      <w:r>
        <w:rPr>
          <w:rFonts w:ascii="Times New Roman" w:eastAsia="Times New Roman" w:hAnsi="Times New Roman" w:cs="Times New Roman"/>
          <w:kern w:val="0"/>
          <w:lang w:eastAsia="fr-BE"/>
          <w14:ligatures w14:val="none"/>
        </w:rPr>
        <w:t>: implémentation optimisée du gradient boosting, intégrant des pénalités de complexité et des mécanismes de régularisation avancés, largement utilisée dans la littérature de data science sur des problèmes tabulaires.</w:t>
      </w:r>
      <w:r>
        <w:t xml:space="preserve"> </w:t>
      </w:r>
      <w:r>
        <w:rPr>
          <w:rFonts w:ascii="Times New Roman" w:eastAsia="Times New Roman" w:hAnsi="Times New Roman" w:cs="Times New Roman"/>
          <w:kern w:val="0"/>
          <w:lang w:eastAsia="fr-BE"/>
          <w14:ligatures w14:val="none"/>
        </w:rPr>
        <w:t xml:space="preserve"> Les modèles XGB_A1 et XGB_B1 ont été entraînés sur les jeux non standardisés A1 et B1 </w:t>
      </w:r>
      <w:r>
        <w:fldChar w:fldCharType="begin"/>
      </w:r>
      <w:r>
        <w:rPr>
          <w:rFonts w:ascii="Times New Roman" w:eastAsia="Times New Roman" w:hAnsi="Times New Roman" w:cs="Times New Roman"/>
          <w:kern w:val="0"/>
          <w:lang w:eastAsia="fr-BE"/>
        </w:rPr>
        <w:instrText>ADDIN ZOTERO_ITEM CSL_CITATION {"citationID":"CursJtrX","properties":{"formattedCitation":"(25)","plainCitation":"(25)","noteIndex":0},"citationItems":[{"id":661,"uris":["http://zotero.org/users/11240916/items/QZ4HMQER"],"itemData":{"id":661,"type":"paper-conference","abstract":"Tree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systems.","collection-title":"KDD '16","container-title":"Proceedings of the 22nd ACM SIGKDD International Conference on Knowledge Discovery and Data Mining","DOI":"10.1145/2939672.2939785","ISBN":"978-1-4503-4232-2","page":"785–794","publisher":"Association for Computing Machinery","publisher-place":"New York, NY, USA","source":"ACM Digital Library","title":"XGBoost: A Scalable Tree Boosting System","title-short":"XGBoost","URL":"https://dl.acm.org/doi/10.1145/2939672.2939785","author":[{"family":"Chen","given":"Tianqi"},{"family":"Guestrin","given":"Carlos"}],"accessed":{"date-parts":[["2026",1,16]]},"issued":{"date-parts":[["2016",8,13]]}}}],"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(25)</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p>
    <w:p w14:paraId="3D5088E6"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SVM :</w:t>
      </w:r>
      <w:r>
        <w:rPr>
          <w:rFonts w:ascii="Times New Roman" w:eastAsia="Times New Roman" w:hAnsi="Times New Roman" w:cs="Times New Roman"/>
          <w:kern w:val="0"/>
          <w:lang w:eastAsia="fr-BE"/>
          <w14:ligatures w14:val="none"/>
        </w:rPr>
        <w:t xml:space="preserve"> modèle non linéaire basé sur une séparation à marge maximale dans un espace transformé ; il nécessite une standardisation, et les probabilités ont été obtenues via la calibration de Platt (implémentation scikit-learn). Les modèles SVM_A2 et SVM_B2 ont été ajustés sur A2 et B2. </w:t>
      </w:r>
    </w:p>
    <w:p w14:paraId="55A0A829"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Tous les modèles ont été entraînés sur leur jeu d’apprentissage associé (A1, A2, B1 ou B2), puis évalués sur un jeu de test commun (X_test_raw ou X_test_scaled, y_test) conservant la prévalence naturelle d’environ 15 % d’événements coronariens</w:t>
      </w:r>
    </w:p>
    <w:p w14:paraId="0F60071D" w14:textId="77777777" w:rsidR="00CA7084" w:rsidRDefault="005648BA">
      <w:pPr>
        <w:spacing w:beforeAutospacing="1" w:afterAutospacing="1" w:line="360" w:lineRule="auto"/>
        <w:jc w:val="both"/>
        <w:rPr>
          <w:b/>
          <w:bCs/>
          <w:color w:val="C9211E"/>
          <w:shd w:val="clear" w:color="auto" w:fill="FFFF00"/>
        </w:rPr>
      </w:pPr>
      <w:r>
        <w:rPr>
          <w:rFonts w:ascii="Times New Roman" w:eastAsia="Times New Roman" w:hAnsi="Times New Roman" w:cs="Times New Roman"/>
          <w:b/>
          <w:bCs/>
          <w:color w:val="C9211E"/>
          <w:kern w:val="0"/>
          <w:shd w:val="clear" w:color="auto" w:fill="FFFF00"/>
          <w:lang w:eastAsia="fr-BE"/>
          <w14:ligatures w14:val="none"/>
        </w:rPr>
        <w:t>tu peux les presenter sous forme de tableau</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523"/>
        <w:gridCol w:w="1523"/>
        <w:gridCol w:w="1523"/>
        <w:gridCol w:w="1522"/>
        <w:gridCol w:w="1522"/>
        <w:gridCol w:w="1523"/>
      </w:tblGrid>
      <w:tr w:rsidR="00CA7084" w14:paraId="3D74CE2F" w14:textId="77777777">
        <w:tc>
          <w:tcPr>
            <w:tcW w:w="1504" w:type="dxa"/>
            <w:tcBorders>
              <w:top w:val="single" w:sz="4" w:space="0" w:color="000000"/>
              <w:left w:val="single" w:sz="4" w:space="0" w:color="000000"/>
              <w:bottom w:val="single" w:sz="4" w:space="0" w:color="000000"/>
            </w:tcBorders>
          </w:tcPr>
          <w:p w14:paraId="71FD8B52" w14:textId="77777777" w:rsidR="00CA7084" w:rsidRDefault="005648BA">
            <w:pPr>
              <w:pStyle w:val="Contenudetableau"/>
              <w:rPr>
                <w:b/>
                <w:bCs/>
                <w:color w:val="C9211E"/>
                <w:shd w:val="clear" w:color="auto" w:fill="FFFF00"/>
              </w:rPr>
            </w:pPr>
            <w:r>
              <w:rPr>
                <w:b/>
                <w:bCs/>
                <w:color w:val="C9211E"/>
                <w:shd w:val="clear" w:color="auto" w:fill="FFFF00"/>
              </w:rPr>
              <w:t>algo\données utilisé</w:t>
            </w:r>
          </w:p>
        </w:tc>
        <w:tc>
          <w:tcPr>
            <w:tcW w:w="1504" w:type="dxa"/>
            <w:tcBorders>
              <w:top w:val="single" w:sz="4" w:space="0" w:color="000000"/>
              <w:left w:val="single" w:sz="4" w:space="0" w:color="000000"/>
              <w:bottom w:val="single" w:sz="4" w:space="0" w:color="000000"/>
            </w:tcBorders>
          </w:tcPr>
          <w:p w14:paraId="26D6B3F0" w14:textId="77777777" w:rsidR="00CA7084" w:rsidRDefault="005648BA">
            <w:pPr>
              <w:pStyle w:val="Contenudetableau"/>
              <w:rPr>
                <w:b/>
                <w:bCs/>
                <w:color w:val="C9211E"/>
                <w:shd w:val="clear" w:color="auto" w:fill="FFFF00"/>
              </w:rPr>
            </w:pPr>
            <w:r>
              <w:rPr>
                <w:b/>
                <w:bCs/>
                <w:color w:val="C9211E"/>
                <w:shd w:val="clear" w:color="auto" w:fill="FFFF00"/>
              </w:rPr>
              <w:t>svm</w:t>
            </w:r>
          </w:p>
        </w:tc>
        <w:tc>
          <w:tcPr>
            <w:tcW w:w="1505" w:type="dxa"/>
            <w:tcBorders>
              <w:top w:val="single" w:sz="4" w:space="0" w:color="000000"/>
              <w:left w:val="single" w:sz="4" w:space="0" w:color="000000"/>
              <w:bottom w:val="single" w:sz="4" w:space="0" w:color="000000"/>
            </w:tcBorders>
          </w:tcPr>
          <w:p w14:paraId="15C1CE70" w14:textId="77777777" w:rsidR="00CA7084" w:rsidRDefault="00CA7084">
            <w:pPr>
              <w:pStyle w:val="Contenudetableau"/>
              <w:rPr>
                <w:b/>
                <w:bCs/>
                <w:color w:val="C9211E"/>
                <w:shd w:val="clear" w:color="auto" w:fill="FFFF00"/>
              </w:rPr>
            </w:pPr>
          </w:p>
        </w:tc>
        <w:tc>
          <w:tcPr>
            <w:tcW w:w="1504" w:type="dxa"/>
            <w:tcBorders>
              <w:top w:val="single" w:sz="4" w:space="0" w:color="000000"/>
              <w:left w:val="single" w:sz="4" w:space="0" w:color="000000"/>
              <w:bottom w:val="single" w:sz="4" w:space="0" w:color="000000"/>
            </w:tcBorders>
          </w:tcPr>
          <w:p w14:paraId="471966C5" w14:textId="77777777" w:rsidR="00CA7084" w:rsidRDefault="00CA7084">
            <w:pPr>
              <w:pStyle w:val="Contenudetableau"/>
              <w:rPr>
                <w:b/>
                <w:bCs/>
                <w:color w:val="C9211E"/>
                <w:shd w:val="clear" w:color="auto" w:fill="FFFF00"/>
              </w:rPr>
            </w:pPr>
          </w:p>
        </w:tc>
        <w:tc>
          <w:tcPr>
            <w:tcW w:w="1504" w:type="dxa"/>
            <w:tcBorders>
              <w:top w:val="single" w:sz="4" w:space="0" w:color="000000"/>
              <w:left w:val="single" w:sz="4" w:space="0" w:color="000000"/>
              <w:bottom w:val="single" w:sz="4" w:space="0" w:color="000000"/>
            </w:tcBorders>
          </w:tcPr>
          <w:p w14:paraId="3488635E" w14:textId="77777777" w:rsidR="00CA7084" w:rsidRDefault="00CA7084">
            <w:pPr>
              <w:pStyle w:val="Contenudetableau"/>
              <w:rPr>
                <w:b/>
                <w:bCs/>
                <w:color w:val="C9211E"/>
                <w:shd w:val="clear" w:color="auto" w:fill="FFFF00"/>
              </w:rPr>
            </w:pPr>
          </w:p>
        </w:tc>
        <w:tc>
          <w:tcPr>
            <w:tcW w:w="1505" w:type="dxa"/>
            <w:tcBorders>
              <w:top w:val="single" w:sz="4" w:space="0" w:color="000000"/>
              <w:left w:val="single" w:sz="4" w:space="0" w:color="000000"/>
              <w:bottom w:val="single" w:sz="4" w:space="0" w:color="000000"/>
              <w:right w:val="single" w:sz="4" w:space="0" w:color="000000"/>
            </w:tcBorders>
          </w:tcPr>
          <w:p w14:paraId="6F58D1C8" w14:textId="77777777" w:rsidR="00CA7084" w:rsidRDefault="00CA7084">
            <w:pPr>
              <w:pStyle w:val="Contenudetableau"/>
              <w:rPr>
                <w:b/>
                <w:bCs/>
                <w:color w:val="C9211E"/>
                <w:shd w:val="clear" w:color="auto" w:fill="FFFF00"/>
              </w:rPr>
            </w:pPr>
          </w:p>
        </w:tc>
      </w:tr>
      <w:tr w:rsidR="00CA7084" w14:paraId="753418C6" w14:textId="77777777">
        <w:tc>
          <w:tcPr>
            <w:tcW w:w="1504" w:type="dxa"/>
            <w:tcBorders>
              <w:left w:val="single" w:sz="4" w:space="0" w:color="000000"/>
              <w:bottom w:val="single" w:sz="4" w:space="0" w:color="000000"/>
            </w:tcBorders>
          </w:tcPr>
          <w:p w14:paraId="4516A389" w14:textId="77777777" w:rsidR="00CA7084" w:rsidRDefault="00CA7084">
            <w:pPr>
              <w:pStyle w:val="Contenudetableau"/>
              <w:rPr>
                <w:b/>
                <w:bCs/>
                <w:color w:val="C9211E"/>
                <w:shd w:val="clear" w:color="auto" w:fill="FFFF00"/>
              </w:rPr>
            </w:pPr>
          </w:p>
        </w:tc>
        <w:tc>
          <w:tcPr>
            <w:tcW w:w="1504" w:type="dxa"/>
            <w:tcBorders>
              <w:left w:val="single" w:sz="4" w:space="0" w:color="000000"/>
              <w:bottom w:val="single" w:sz="4" w:space="0" w:color="000000"/>
            </w:tcBorders>
          </w:tcPr>
          <w:p w14:paraId="108C9D08" w14:textId="77777777" w:rsidR="00CA7084" w:rsidRDefault="005648BA">
            <w:pPr>
              <w:pStyle w:val="Contenudetableau"/>
              <w:rPr>
                <w:b/>
                <w:bCs/>
                <w:color w:val="C9211E"/>
                <w:shd w:val="clear" w:color="auto" w:fill="FFFF00"/>
              </w:rPr>
            </w:pPr>
            <w:r>
              <w:rPr>
                <w:b/>
                <w:bCs/>
                <w:color w:val="C9211E"/>
                <w:shd w:val="clear" w:color="auto" w:fill="FFFF00"/>
              </w:rPr>
              <w:t>A1</w:t>
            </w:r>
          </w:p>
        </w:tc>
        <w:tc>
          <w:tcPr>
            <w:tcW w:w="1505" w:type="dxa"/>
            <w:tcBorders>
              <w:left w:val="single" w:sz="4" w:space="0" w:color="000000"/>
              <w:bottom w:val="single" w:sz="4" w:space="0" w:color="000000"/>
            </w:tcBorders>
          </w:tcPr>
          <w:p w14:paraId="7D7102B6" w14:textId="77777777" w:rsidR="00CA7084" w:rsidRDefault="005648BA">
            <w:pPr>
              <w:pStyle w:val="Contenudetableau"/>
              <w:rPr>
                <w:b/>
                <w:bCs/>
                <w:color w:val="C9211E"/>
                <w:shd w:val="clear" w:color="auto" w:fill="FFFF00"/>
              </w:rPr>
            </w:pPr>
            <w:r>
              <w:rPr>
                <w:b/>
                <w:bCs/>
                <w:color w:val="C9211E"/>
                <w:shd w:val="clear" w:color="auto" w:fill="FFFF00"/>
              </w:rPr>
              <w:t>...</w:t>
            </w:r>
          </w:p>
        </w:tc>
        <w:tc>
          <w:tcPr>
            <w:tcW w:w="1504" w:type="dxa"/>
            <w:tcBorders>
              <w:left w:val="single" w:sz="4" w:space="0" w:color="000000"/>
              <w:bottom w:val="single" w:sz="4" w:space="0" w:color="000000"/>
            </w:tcBorders>
          </w:tcPr>
          <w:p w14:paraId="7381F2E8" w14:textId="77777777" w:rsidR="00CA7084" w:rsidRDefault="00CA7084">
            <w:pPr>
              <w:pStyle w:val="Contenudetableau"/>
              <w:rPr>
                <w:b/>
                <w:bCs/>
                <w:color w:val="C9211E"/>
                <w:shd w:val="clear" w:color="auto" w:fill="FFFF00"/>
              </w:rPr>
            </w:pPr>
          </w:p>
        </w:tc>
        <w:tc>
          <w:tcPr>
            <w:tcW w:w="1504" w:type="dxa"/>
            <w:tcBorders>
              <w:left w:val="single" w:sz="4" w:space="0" w:color="000000"/>
              <w:bottom w:val="single" w:sz="4" w:space="0" w:color="000000"/>
            </w:tcBorders>
          </w:tcPr>
          <w:p w14:paraId="5B50929C" w14:textId="77777777" w:rsidR="00CA7084" w:rsidRDefault="00CA7084">
            <w:pPr>
              <w:pStyle w:val="Contenudetableau"/>
              <w:rPr>
                <w:b/>
                <w:bCs/>
                <w:color w:val="C9211E"/>
                <w:shd w:val="clear" w:color="auto" w:fill="FFFF00"/>
              </w:rPr>
            </w:pPr>
          </w:p>
        </w:tc>
        <w:tc>
          <w:tcPr>
            <w:tcW w:w="1505" w:type="dxa"/>
            <w:tcBorders>
              <w:left w:val="single" w:sz="4" w:space="0" w:color="000000"/>
              <w:bottom w:val="single" w:sz="4" w:space="0" w:color="000000"/>
              <w:right w:val="single" w:sz="4" w:space="0" w:color="000000"/>
            </w:tcBorders>
          </w:tcPr>
          <w:p w14:paraId="3D154CE7" w14:textId="77777777" w:rsidR="00CA7084" w:rsidRDefault="00CA7084">
            <w:pPr>
              <w:pStyle w:val="Contenudetableau"/>
              <w:rPr>
                <w:b/>
                <w:bCs/>
                <w:color w:val="C9211E"/>
                <w:shd w:val="clear" w:color="auto" w:fill="FFFF00"/>
              </w:rPr>
            </w:pPr>
          </w:p>
        </w:tc>
      </w:tr>
      <w:tr w:rsidR="00CA7084" w14:paraId="69D4EED0" w14:textId="77777777">
        <w:tc>
          <w:tcPr>
            <w:tcW w:w="1504" w:type="dxa"/>
            <w:tcBorders>
              <w:left w:val="single" w:sz="4" w:space="0" w:color="000000"/>
              <w:bottom w:val="single" w:sz="4" w:space="0" w:color="000000"/>
            </w:tcBorders>
          </w:tcPr>
          <w:p w14:paraId="6AA7627B" w14:textId="77777777" w:rsidR="00CA7084" w:rsidRDefault="00CA7084">
            <w:pPr>
              <w:pStyle w:val="Contenudetableau"/>
              <w:rPr>
                <w:b/>
                <w:bCs/>
                <w:color w:val="C9211E"/>
                <w:shd w:val="clear" w:color="auto" w:fill="FFFF00"/>
              </w:rPr>
            </w:pPr>
          </w:p>
        </w:tc>
        <w:tc>
          <w:tcPr>
            <w:tcW w:w="1504" w:type="dxa"/>
            <w:tcBorders>
              <w:left w:val="single" w:sz="4" w:space="0" w:color="000000"/>
              <w:bottom w:val="single" w:sz="4" w:space="0" w:color="000000"/>
            </w:tcBorders>
          </w:tcPr>
          <w:p w14:paraId="327A00F2" w14:textId="77777777" w:rsidR="00CA7084" w:rsidRDefault="00CA7084">
            <w:pPr>
              <w:pStyle w:val="Contenudetableau"/>
              <w:rPr>
                <w:b/>
                <w:bCs/>
                <w:color w:val="C9211E"/>
                <w:shd w:val="clear" w:color="auto" w:fill="FFFF00"/>
              </w:rPr>
            </w:pPr>
          </w:p>
        </w:tc>
        <w:tc>
          <w:tcPr>
            <w:tcW w:w="1505" w:type="dxa"/>
            <w:tcBorders>
              <w:left w:val="single" w:sz="4" w:space="0" w:color="000000"/>
              <w:bottom w:val="single" w:sz="4" w:space="0" w:color="000000"/>
            </w:tcBorders>
          </w:tcPr>
          <w:p w14:paraId="0D830BD9" w14:textId="77777777" w:rsidR="00CA7084" w:rsidRDefault="00CA7084">
            <w:pPr>
              <w:pStyle w:val="Contenudetableau"/>
              <w:rPr>
                <w:b/>
                <w:bCs/>
                <w:color w:val="C9211E"/>
                <w:shd w:val="clear" w:color="auto" w:fill="FFFF00"/>
              </w:rPr>
            </w:pPr>
          </w:p>
        </w:tc>
        <w:tc>
          <w:tcPr>
            <w:tcW w:w="1504" w:type="dxa"/>
            <w:tcBorders>
              <w:left w:val="single" w:sz="4" w:space="0" w:color="000000"/>
              <w:bottom w:val="single" w:sz="4" w:space="0" w:color="000000"/>
            </w:tcBorders>
          </w:tcPr>
          <w:p w14:paraId="776A45B1" w14:textId="77777777" w:rsidR="00CA7084" w:rsidRDefault="00CA7084">
            <w:pPr>
              <w:pStyle w:val="Contenudetableau"/>
              <w:rPr>
                <w:b/>
                <w:bCs/>
                <w:color w:val="C9211E"/>
                <w:shd w:val="clear" w:color="auto" w:fill="FFFF00"/>
              </w:rPr>
            </w:pPr>
          </w:p>
        </w:tc>
        <w:tc>
          <w:tcPr>
            <w:tcW w:w="1504" w:type="dxa"/>
            <w:tcBorders>
              <w:left w:val="single" w:sz="4" w:space="0" w:color="000000"/>
              <w:bottom w:val="single" w:sz="4" w:space="0" w:color="000000"/>
            </w:tcBorders>
          </w:tcPr>
          <w:p w14:paraId="43008A8A" w14:textId="77777777" w:rsidR="00CA7084" w:rsidRDefault="00CA7084">
            <w:pPr>
              <w:pStyle w:val="Contenudetableau"/>
              <w:rPr>
                <w:b/>
                <w:bCs/>
                <w:color w:val="C9211E"/>
                <w:shd w:val="clear" w:color="auto" w:fill="FFFF00"/>
              </w:rPr>
            </w:pPr>
          </w:p>
        </w:tc>
        <w:tc>
          <w:tcPr>
            <w:tcW w:w="1505" w:type="dxa"/>
            <w:tcBorders>
              <w:left w:val="single" w:sz="4" w:space="0" w:color="000000"/>
              <w:bottom w:val="single" w:sz="4" w:space="0" w:color="000000"/>
              <w:right w:val="single" w:sz="4" w:space="0" w:color="000000"/>
            </w:tcBorders>
          </w:tcPr>
          <w:p w14:paraId="06CFB810" w14:textId="77777777" w:rsidR="00CA7084" w:rsidRDefault="00CA7084">
            <w:pPr>
              <w:pStyle w:val="Contenudetableau"/>
              <w:rPr>
                <w:b/>
                <w:bCs/>
                <w:color w:val="C9211E"/>
                <w:shd w:val="clear" w:color="auto" w:fill="FFFF00"/>
              </w:rPr>
            </w:pPr>
          </w:p>
        </w:tc>
      </w:tr>
      <w:tr w:rsidR="00CA7084" w14:paraId="10D88404" w14:textId="77777777">
        <w:tc>
          <w:tcPr>
            <w:tcW w:w="1504" w:type="dxa"/>
            <w:tcBorders>
              <w:left w:val="single" w:sz="4" w:space="0" w:color="000000"/>
              <w:bottom w:val="single" w:sz="4" w:space="0" w:color="000000"/>
            </w:tcBorders>
          </w:tcPr>
          <w:p w14:paraId="28DA99D3" w14:textId="77777777" w:rsidR="00CA7084" w:rsidRDefault="00CA7084">
            <w:pPr>
              <w:pStyle w:val="Contenudetableau"/>
              <w:rPr>
                <w:b/>
                <w:bCs/>
                <w:color w:val="C9211E"/>
                <w:shd w:val="clear" w:color="auto" w:fill="FFFF00"/>
              </w:rPr>
            </w:pPr>
          </w:p>
        </w:tc>
        <w:tc>
          <w:tcPr>
            <w:tcW w:w="1504" w:type="dxa"/>
            <w:tcBorders>
              <w:left w:val="single" w:sz="4" w:space="0" w:color="000000"/>
              <w:bottom w:val="single" w:sz="4" w:space="0" w:color="000000"/>
            </w:tcBorders>
          </w:tcPr>
          <w:p w14:paraId="654BFB95" w14:textId="77777777" w:rsidR="00CA7084" w:rsidRDefault="00CA7084">
            <w:pPr>
              <w:pStyle w:val="Contenudetableau"/>
              <w:rPr>
                <w:b/>
                <w:bCs/>
                <w:color w:val="C9211E"/>
                <w:shd w:val="clear" w:color="auto" w:fill="FFFF00"/>
              </w:rPr>
            </w:pPr>
          </w:p>
        </w:tc>
        <w:tc>
          <w:tcPr>
            <w:tcW w:w="1505" w:type="dxa"/>
            <w:tcBorders>
              <w:left w:val="single" w:sz="4" w:space="0" w:color="000000"/>
              <w:bottom w:val="single" w:sz="4" w:space="0" w:color="000000"/>
            </w:tcBorders>
          </w:tcPr>
          <w:p w14:paraId="2EFF6B5B" w14:textId="77777777" w:rsidR="00CA7084" w:rsidRDefault="00CA7084">
            <w:pPr>
              <w:pStyle w:val="Contenudetableau"/>
              <w:rPr>
                <w:b/>
                <w:bCs/>
                <w:color w:val="C9211E"/>
                <w:shd w:val="clear" w:color="auto" w:fill="FFFF00"/>
              </w:rPr>
            </w:pPr>
          </w:p>
        </w:tc>
        <w:tc>
          <w:tcPr>
            <w:tcW w:w="1504" w:type="dxa"/>
            <w:tcBorders>
              <w:left w:val="single" w:sz="4" w:space="0" w:color="000000"/>
              <w:bottom w:val="single" w:sz="4" w:space="0" w:color="000000"/>
            </w:tcBorders>
          </w:tcPr>
          <w:p w14:paraId="17C64EF0" w14:textId="77777777" w:rsidR="00CA7084" w:rsidRDefault="00CA7084">
            <w:pPr>
              <w:pStyle w:val="Contenudetableau"/>
              <w:rPr>
                <w:b/>
                <w:bCs/>
                <w:color w:val="C9211E"/>
                <w:shd w:val="clear" w:color="auto" w:fill="FFFF00"/>
              </w:rPr>
            </w:pPr>
          </w:p>
        </w:tc>
        <w:tc>
          <w:tcPr>
            <w:tcW w:w="1504" w:type="dxa"/>
            <w:tcBorders>
              <w:left w:val="single" w:sz="4" w:space="0" w:color="000000"/>
              <w:bottom w:val="single" w:sz="4" w:space="0" w:color="000000"/>
            </w:tcBorders>
          </w:tcPr>
          <w:p w14:paraId="2DCF0E9A" w14:textId="77777777" w:rsidR="00CA7084" w:rsidRDefault="00CA7084">
            <w:pPr>
              <w:pStyle w:val="Contenudetableau"/>
              <w:rPr>
                <w:b/>
                <w:bCs/>
                <w:color w:val="C9211E"/>
                <w:shd w:val="clear" w:color="auto" w:fill="FFFF00"/>
              </w:rPr>
            </w:pPr>
          </w:p>
        </w:tc>
        <w:tc>
          <w:tcPr>
            <w:tcW w:w="1505" w:type="dxa"/>
            <w:tcBorders>
              <w:left w:val="single" w:sz="4" w:space="0" w:color="000000"/>
              <w:bottom w:val="single" w:sz="4" w:space="0" w:color="000000"/>
              <w:right w:val="single" w:sz="4" w:space="0" w:color="000000"/>
            </w:tcBorders>
          </w:tcPr>
          <w:p w14:paraId="7B6FF35F" w14:textId="77777777" w:rsidR="00CA7084" w:rsidRDefault="00CA7084">
            <w:pPr>
              <w:pStyle w:val="Contenudetableau"/>
              <w:rPr>
                <w:b/>
                <w:bCs/>
                <w:color w:val="C9211E"/>
                <w:shd w:val="clear" w:color="auto" w:fill="FFFF00"/>
              </w:rPr>
            </w:pPr>
          </w:p>
        </w:tc>
      </w:tr>
    </w:tbl>
    <w:p w14:paraId="5D4D54B5" w14:textId="77777777" w:rsidR="00CA7084" w:rsidRDefault="00CA7084">
      <w:pPr>
        <w:spacing w:beforeAutospacing="1" w:afterAutospacing="1" w:line="360" w:lineRule="auto"/>
        <w:jc w:val="both"/>
        <w:rPr>
          <w:b/>
          <w:bCs/>
          <w:color w:val="C9211E"/>
          <w:shd w:val="clear" w:color="auto" w:fill="FFFF00"/>
        </w:rPr>
      </w:pPr>
    </w:p>
    <w:p w14:paraId="7AB799FD"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Métriques de performance</w:t>
      </w:r>
    </w:p>
    <w:p w14:paraId="709B70E0"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Compte tenu du déséquilibre marqué entre classes (≈ 15 % d’événements), l’accuracy seule ne permet pas de juger de la qualité des modèles : un classifieur qui prédirait systématiquement “absence d’événement” obtiendrait une accuracy élevée mais une sensibilité nulle pour la classe cliniquement la plus importante </w:t>
      </w:r>
      <w:r>
        <w:fldChar w:fldCharType="begin"/>
      </w:r>
      <w:r>
        <w:rPr>
          <w:rFonts w:ascii="Times New Roman" w:eastAsia="Times New Roman" w:hAnsi="Times New Roman" w:cs="Times New Roman"/>
          <w:kern w:val="0"/>
          <w:lang w:eastAsia="fr-BE"/>
        </w:rPr>
        <w:instrText>ADDIN ZOTERO_ITEM CSL_CITATION {"citationID":"KLWTVUHX","properties":{"formattedCitation":"(21)","plainCitation":"(21)","noteIndex":0},"citationItems":[{"id":656,"uris":["http://zotero.org/users/11240916/items/EDYFNQMA"],"itemData":{"id":656,"type":"article-journal","abstract":"With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data.","container-title":"Knowledge and Data Engineering, IEEE Transactions on","DOI":"10.1109/TKDE.2008.239","journalAbbreviation":"Knowledge and Data Engineering, IEEE Transactions on","page":"1263-1284","source":"ResearchGate","title":"Learning from Imbalanced Data","volume":"21","author":[{"family":"He","given":"Haibo"},{"family":"Garcia","given":"E.A."}],"issued":{"date-parts":[["2009",10,1]]}}}],"schema":"https://github.com/citation-style-language/schema/raw/master/csl-citation.json"}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(21)</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  L’évaluation a donc reposé sur un ensemble de métriques complémentaires, centrées sur la capacité à détecter correctement les patients à risque et sur la qualité des probabilités prédictives.</w:t>
      </w:r>
    </w:p>
    <w:p w14:paraId="164625DB"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Les métriques suivantes ont été calculées sur le jeu de test pour chaque modèle :</w:t>
      </w:r>
    </w:p>
    <w:p w14:paraId="1C270C5E"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lastRenderedPageBreak/>
        <w:t>Rappel (Recall, sensibilité) pour la classe 1 </w:t>
      </w:r>
      <w:r>
        <w:rPr>
          <w:rFonts w:ascii="Times New Roman" w:eastAsia="Times New Roman" w:hAnsi="Times New Roman" w:cs="Times New Roman"/>
          <w:kern w:val="0"/>
          <w:lang w:eastAsia="fr-BE"/>
          <w14:ligatures w14:val="none"/>
        </w:rPr>
        <w:t>: le rappel mesure la proportion de patients qui présenteront un événement coronarien et qui sont correctement identifiés comme “à risque” (TP / (TP + FN)). En contexte clinique, où manquer un patient à haut risque (faux négatif) peut avoir des conséquences importantes, cette métrique est centrale.</w:t>
      </w:r>
      <w:r>
        <w:t xml:space="preserve"> </w:t>
      </w:r>
    </w:p>
    <w:p w14:paraId="21122268"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Précision (Precision) pour la classe 1 </w:t>
      </w:r>
      <w:r>
        <w:rPr>
          <w:rFonts w:ascii="Times New Roman" w:eastAsia="Times New Roman" w:hAnsi="Times New Roman" w:cs="Times New Roman"/>
          <w:kern w:val="0"/>
          <w:lang w:eastAsia="fr-BE"/>
          <w14:ligatures w14:val="none"/>
        </w:rPr>
        <w:t>: elle correspond à la proportion de patients prédits “à risque” qui sont effectivement des cas (TP / (TP + FP)). Elle renseigne sur le “coût” en faux positifs associé à une stratégie d’identification des sujets à risque, par exemple en termes de sur-prescription de traitements ou d’examens complémentaires.</w:t>
      </w:r>
    </w:p>
    <w:p w14:paraId="4FBEA25B"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F1-score pour la classe 1 </w:t>
      </w:r>
      <w:r>
        <w:rPr>
          <w:rFonts w:ascii="Times New Roman" w:eastAsia="Times New Roman" w:hAnsi="Times New Roman" w:cs="Times New Roman"/>
          <w:kern w:val="0"/>
          <w:lang w:eastAsia="fr-BE"/>
          <w14:ligatures w14:val="none"/>
        </w:rPr>
        <w:t xml:space="preserve">: il représente  la moyenne harmonique de la précision et du rappel. Il pénalise particulièrement les situations où l’une des deux composantes est très faible. Dans ce travail, le </w:t>
      </w:r>
      <w:r>
        <w:rPr>
          <w:rFonts w:ascii="Times New Roman" w:eastAsia="Times New Roman" w:hAnsi="Times New Roman" w:cs="Times New Roman"/>
          <w:b/>
          <w:bCs/>
          <w:kern w:val="0"/>
          <w:lang w:eastAsia="fr-BE"/>
          <w14:ligatures w14:val="none"/>
        </w:rPr>
        <w:t>F1 des événements</w:t>
      </w:r>
      <w:r>
        <w:rPr>
          <w:rFonts w:ascii="Times New Roman" w:eastAsia="Times New Roman" w:hAnsi="Times New Roman" w:cs="Times New Roman"/>
          <w:kern w:val="0"/>
          <w:lang w:eastAsia="fr-BE"/>
          <w14:ligatures w14:val="none"/>
        </w:rPr>
        <w:t xml:space="preserve"> est utilisé comme indicateur synthétique de performance pour la détection des patients à risque dans un contexte déséquilibré. </w:t>
      </w:r>
    </w:p>
    <w:p w14:paraId="5F676E33"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AUC-ROC (Area Under the Receiver Operating Characteristic Curve) </w:t>
      </w:r>
      <w:r>
        <w:rPr>
          <w:rFonts w:ascii="Times New Roman" w:eastAsia="Times New Roman" w:hAnsi="Times New Roman" w:cs="Times New Roman"/>
          <w:kern w:val="0"/>
          <w:lang w:eastAsia="fr-BE"/>
          <w14:ligatures w14:val="none"/>
        </w:rPr>
        <w:t>: il mesure la capacité de discrimination globale du modèle en représentant, pour l’ensemble des seuils possibles, le compromis entre taux de vrais positifs et taux de faux positifs. Une valeur élevée traduit une bonne séparation moyenne entre cas et non-cas, mais l’AUC-ROC peut rester relativement élevée même lorsque la performance sur la classe rare est limitée.</w:t>
      </w:r>
      <w:r>
        <w:t xml:space="preserve"> </w:t>
      </w:r>
    </w:p>
    <w:p w14:paraId="1DFB7F02"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AUC-PR (Area Under the Precision–Recall Curve) </w:t>
      </w:r>
      <w:r>
        <w:rPr>
          <w:rFonts w:ascii="Times New Roman" w:eastAsia="Times New Roman" w:hAnsi="Times New Roman" w:cs="Times New Roman"/>
          <w:kern w:val="0"/>
          <w:lang w:eastAsia="fr-BE"/>
          <w14:ligatures w14:val="none"/>
        </w:rPr>
        <w:t xml:space="preserve">; l’aire sous la courbe précision–rappel est particulièrement informative en présence de classes rares, car elle se focalise sur la performance du modèle pour la classe minoritaire. Plusieurs travaux montrent que les courbes PR et l’AUC-PR sont plus pertinentes que les courbes ROC pour l’évaluation de classifieurs sur des jeux déséquilibrés </w:t>
      </w:r>
      <w:r>
        <w:fldChar w:fldCharType="begin"/>
      </w:r>
      <w:r>
        <w:rPr>
          <w:rFonts w:ascii="Times New Roman" w:eastAsia="Times New Roman" w:hAnsi="Times New Roman" w:cs="Times New Roman"/>
          <w:kern w:val="0"/>
          <w:lang w:eastAsia="fr-BE"/>
        </w:rPr>
        <w:instrText>ADDIN ZOTERO_ITEM CSL_CITATION {"citationID":"ShIawQQW","properties":{"formattedCitation":"(26)","plainCitation":"(26)","noteIndex":0},"citationItems":[{"id":665,"uris":["http://zotero.org/users/11240916/items/3UB4S3TX"],"itemData":{"id":665,"type":"article-journal","abstract":"Binary classifiers are routinely evaluated with performance measures such as sensitivity and specificity, and performance is frequently illustrated with Receiver Operating Characteristics (ROC) plots. Alternative measures such as positive predictive value (PPV) and the associated Precision/Recall (PRC) plots are used less frequently. Many bioinformatics studies develop and evaluate classifiers that are to be applied to strongly imbalanced datasets in which the number of negatives outweighs the number of positives significantly. While ROC plots are visually appealing and provide an overview of a classifier's performance across a wide range of specificities, one can ask whether ROC plots could be misleading when applied in imbalanced classification scenarios. We show here that the visual interpretability of ROC plots in the context of imbalanced datasets can be deceptive with respect to conclusions about the reliability of classification performance, owing to an intuitive but wrong interpretation of specificity. PRC plots, on the other hand, can provide the viewer with an accurate prediction of future classification performance due to the fact that they evaluate the fraction of true positives among positive predictions. Our findings have potential implications for the interpretation of a large number of studies that use ROC plots on imbalanced datasets.","container-title":"PLOS ONE","DOI":"10.1371/journal.pone.0118432","ISSN":"1932-6203","issue":"3","journalAbbreviation":"PLOS ONE","language":"fr","page":"e0118432","publisher":"Public Library of Science","source":"PLoS Journals","title":"The Precision-Recall Plot Is More Informative than the ROC Plot When Evaluating Binary Classifiers on Imbalanced Datasets","volume":"10","author":[{"family":"Saito","given":"Takaya"},{"family":"Rehmsmeier","given":"Marc"}],"issued":{"date-parts":[["2015",3,4]]}}}],"schema":"https://github.com/citation-style-language/schema/raw/master/csl-citation.json"}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(26)</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  Dans ce projet, l’AUC-PR est une métrique clé pour comparer les modèles “avec” et “sans” rééquilibrage par SMOTE.</w:t>
      </w:r>
    </w:p>
    <w:p w14:paraId="54443975"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Brier score </w:t>
      </w:r>
      <w:r>
        <w:rPr>
          <w:rFonts w:ascii="Times New Roman" w:eastAsia="Times New Roman" w:hAnsi="Times New Roman" w:cs="Times New Roman"/>
          <w:kern w:val="0"/>
          <w:lang w:eastAsia="fr-BE"/>
          <w14:ligatures w14:val="none"/>
        </w:rPr>
        <w:t xml:space="preserve">: il représente  la moyenne du carré de l’écart entre la probabilité prédite et l’issue observée (0/1) </w:t>
      </w:r>
      <w:r>
        <w:fldChar w:fldCharType="begin"/>
      </w:r>
      <w:r>
        <w:rPr>
          <w:rFonts w:ascii="Times New Roman" w:eastAsia="Times New Roman" w:hAnsi="Times New Roman" w:cs="Times New Roman"/>
          <w:kern w:val="0"/>
          <w:lang w:eastAsia="fr-BE"/>
        </w:rPr>
        <w:instrText>ADDIN ZOTERO_ITEM CSL_CITATION {"citationID":"CJdeyB9O","properties":{"formattedCitation":"(27)","plainCitation":"(27)","noteIndex":0},"citationItems":[{"id":667,"uris":["http://zotero.org/users/11240916/items/IG7TMV6P"],"itemData":{"id":667,"type":"article-journal","abstract":"No Abstract Available.","container-title":"Monthly Weather Review","DOI":"10.1175/1520-0493(1950)078&lt;0001:VOFEIT&gt;2.0.CO;2","ISSN":"1520-0493, 0027-0644","issue":"1","language":"EN","page":"1-3","publisher":"American Meteorological Society","section":"Monthly Weather Review","source":"journals.ametsoc.org","title":"VERIFICATION OF FORECASTS EXPRESSED IN TERMS OF PROBABILITY","volume":"78","author":[{"family":"Brier","given":"Glenn W."}],"issued":{"date-parts":[["1950",1,1]]}}}],"schema":"https://github.com/citation-style-language/schema/raw/master/csl-citation.json"}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(27)</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 C’est un score de probabilité strictement propre qui combine information de discrimination et de calibration globale : plus le Brier score est faible, meilleure est la qualité des prédictions probabilistes. Dans ce travail, il est utilisé en particulier pour apprécier la qualité des probabilités de risque produites par la régression logistique.</w:t>
      </w:r>
    </w:p>
    <w:p w14:paraId="585D0D27"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lastRenderedPageBreak/>
        <w:t>L’</w:t>
      </w:r>
      <w:r>
        <w:rPr>
          <w:rFonts w:ascii="Times New Roman" w:eastAsia="Times New Roman" w:hAnsi="Times New Roman" w:cs="Times New Roman"/>
          <w:b/>
          <w:bCs/>
          <w:kern w:val="0"/>
          <w:lang w:eastAsia="fr-BE"/>
          <w14:ligatures w14:val="none"/>
        </w:rPr>
        <w:t>accuracy</w:t>
      </w:r>
      <w:r>
        <w:rPr>
          <w:rFonts w:ascii="Times New Roman" w:eastAsia="Times New Roman" w:hAnsi="Times New Roman" w:cs="Times New Roman"/>
          <w:kern w:val="0"/>
          <w:lang w:eastAsia="fr-BE"/>
          <w14:ligatures w14:val="none"/>
        </w:rPr>
        <w:t xml:space="preserve"> (proportion globale de classifications correctes) est également rapportée pour compléter la lecture, mais son interprétation est systématiquement replacée dans le contexte du déséquilibre de classes et confrontée aux métriques orientées sur la classe événement.</w:t>
      </w:r>
    </w:p>
    <w:p w14:paraId="04CE6E3C" w14:textId="77777777" w:rsidR="00CA7084" w:rsidRDefault="005648BA">
      <w:pPr>
        <w:spacing w:beforeAutospacing="1" w:afterAutospacing="1" w:line="360" w:lineRule="auto"/>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Choix et optimisation du seuil de décision</w:t>
      </w:r>
    </w:p>
    <w:p w14:paraId="7E6797D5"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Les modèles probabilistes (en particulier la régression logistique) fournissent, pour chaque individu, une probabilité estimée de survenue d’un événement coronarien à dix ans. La décision binaire “à risque” / “non à risque” dépend alors du </w:t>
      </w:r>
      <w:r>
        <w:rPr>
          <w:rFonts w:ascii="Times New Roman" w:eastAsia="Times New Roman" w:hAnsi="Times New Roman" w:cs="Times New Roman"/>
          <w:b/>
          <w:bCs/>
          <w:kern w:val="0"/>
          <w:lang w:eastAsia="fr-BE"/>
          <w14:ligatures w14:val="none"/>
        </w:rPr>
        <w:t>seuil de probabilité</w:t>
      </w:r>
      <w:r>
        <w:rPr>
          <w:rFonts w:ascii="Times New Roman" w:eastAsia="Times New Roman" w:hAnsi="Times New Roman" w:cs="Times New Roman"/>
          <w:kern w:val="0"/>
          <w:lang w:eastAsia="fr-BE"/>
          <w14:ligatures w14:val="none"/>
        </w:rPr>
        <w:t xml:space="preserve"> retenu. Par défaut, un seuil de 0,50 est souvent utilisé, mais il n’est pas optimal en présence de classes déséquilibrées et d’un coût clinique asymétrique entre faux positifs et faux négatifs </w:t>
      </w:r>
      <w:r>
        <w:fldChar w:fldCharType="begin"/>
      </w:r>
      <w:r>
        <w:rPr>
          <w:rFonts w:ascii="Times New Roman" w:eastAsia="Times New Roman" w:hAnsi="Times New Roman" w:cs="Times New Roman"/>
          <w:kern w:val="0"/>
          <w:lang w:eastAsia="fr-BE"/>
        </w:rPr>
        <w:instrText>ADDIN ZOTERO_ITEM CSL_CITATION {"citationID":"oGBUS1wC","properties":{"formattedCitation":"(21)","plainCitation":"(21)","noteIndex":0},"citationItems":[{"id":656,"uris":["http://zotero.org/users/11240916/items/EDYFNQMA"],"itemData":{"id":656,"type":"article-journal","abstract":"With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data.","container-title":"Knowledge and Data Engineering, IEEE Transactions on","DOI":"10.1109/TKDE.2008.239","journalAbbreviation":"Knowledge and Data Engineering, IEEE Transactions on","page":"1263-1284","source":"ResearchGate","title":"Learning from Imbalanced Data","volume":"21","author":[{"family":"He","given":"Haibo"},{"family":"Garcia","given":"E.A."}],"issued":{"date-parts":[["2009",10,1]]}}}],"schema":"https://github.com/citation-style-language/schema/raw/master/csl-citation.json"}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(21)</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r>
        <w:t xml:space="preserve"> </w:t>
      </w:r>
      <w:r>
        <w:rPr>
          <w:rFonts w:ascii="Times New Roman" w:eastAsia="Times New Roman" w:hAnsi="Times New Roman" w:cs="Times New Roman"/>
          <w:kern w:val="0"/>
          <w:lang w:eastAsia="fr-BE"/>
          <w14:ligatures w14:val="none"/>
        </w:rPr>
        <w:t xml:space="preserve"> Dans ce travail, pour le modèle </w:t>
      </w:r>
      <w:r>
        <w:rPr>
          <w:rFonts w:ascii="Times New Roman" w:eastAsia="Times New Roman" w:hAnsi="Times New Roman" w:cs="Times New Roman"/>
          <w:b/>
          <w:bCs/>
          <w:kern w:val="0"/>
          <w:lang w:eastAsia="fr-BE"/>
          <w14:ligatures w14:val="none"/>
        </w:rPr>
        <w:t>LogReg_A2</w:t>
      </w:r>
      <w:r>
        <w:rPr>
          <w:rFonts w:ascii="Times New Roman" w:eastAsia="Times New Roman" w:hAnsi="Times New Roman" w:cs="Times New Roman"/>
          <w:kern w:val="0"/>
          <w:lang w:eastAsia="fr-BE"/>
          <w14:ligatures w14:val="none"/>
        </w:rPr>
        <w:t xml:space="preserve"> (données standardisées, sans SMOTE), un </w:t>
      </w:r>
      <w:r>
        <w:rPr>
          <w:rFonts w:ascii="Times New Roman" w:eastAsia="Times New Roman" w:hAnsi="Times New Roman" w:cs="Times New Roman"/>
          <w:b/>
          <w:bCs/>
          <w:kern w:val="0"/>
          <w:lang w:eastAsia="fr-BE"/>
          <w14:ligatures w14:val="none"/>
        </w:rPr>
        <w:t>seuil de décision optimisé sur le F1-score</w:t>
      </w:r>
      <w:r>
        <w:rPr>
          <w:rFonts w:ascii="Times New Roman" w:eastAsia="Times New Roman" w:hAnsi="Times New Roman" w:cs="Times New Roman"/>
          <w:kern w:val="0"/>
          <w:lang w:eastAsia="fr-BE"/>
          <w14:ligatures w14:val="none"/>
        </w:rPr>
        <w:t xml:space="preserve"> de la classe 1 a été déterminé empiriquement sur le jeu de test. Le seuil F1-optimal, situé autour de 0,15, permet d’augmenter sensiblement le rappel et le F1-score pour la classe événement, au prix d’une baisse de l’accuracy et d’une augmentation du nombre de faux positifs. Cette approche est en ligne avec les travaux récents qui recommandent d’ajuster le seuil de décision en fonction des objectifs cliniques et du déséquilibre de classes plutôt que d’utiliser systématiquement 0,50. </w:t>
      </w:r>
    </w:p>
    <w:p w14:paraId="6738D4BE" w14:textId="77777777" w:rsidR="00CA7084" w:rsidRDefault="005648BA">
      <w:pPr>
        <w:spacing w:beforeAutospacing="1" w:afterAutospacing="1" w:line="360" w:lineRule="auto"/>
        <w:jc w:val="both"/>
        <w:rPr>
          <w:b/>
          <w:bCs/>
          <w:color w:val="C9211E"/>
          <w:shd w:val="clear" w:color="auto" w:fill="00A933"/>
          <w14:ligatures w14:val="none"/>
        </w:rPr>
      </w:pPr>
      <w:r>
        <w:rPr>
          <w:rFonts w:ascii="Times New Roman" w:eastAsia="Times New Roman" w:hAnsi="Times New Roman" w:cs="Times New Roman"/>
          <w:b/>
          <w:bCs/>
          <w:color w:val="C9211E"/>
          <w:kern w:val="0"/>
          <w:shd w:val="clear" w:color="auto" w:fill="00A933"/>
          <w:lang w:eastAsia="fr-BE"/>
          <w14:ligatures w14:val="none"/>
        </w:rPr>
        <w:t>a clarifier avec svm tu peux avoir directement deux proba et prendre le max?</w:t>
      </w:r>
    </w:p>
    <w:p w14:paraId="0A465B5D"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Cette démarche permet de comparer deux stratégies :</w:t>
      </w:r>
    </w:p>
    <w:p w14:paraId="482BA633" w14:textId="77777777" w:rsidR="00CA7084" w:rsidRDefault="005648BA">
      <w:pPr>
        <w:numPr>
          <w:ilvl w:val="0"/>
          <w:numId w:val="5"/>
        </w:num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sans rééquilibrage, mais avec ajustement du seuil</w:t>
      </w:r>
      <w:r>
        <w:rPr>
          <w:rFonts w:ascii="Times New Roman" w:eastAsia="Times New Roman" w:hAnsi="Times New Roman" w:cs="Times New Roman"/>
          <w:kern w:val="0"/>
          <w:lang w:eastAsia="fr-BE"/>
          <w14:ligatures w14:val="none"/>
        </w:rPr>
        <w:t xml:space="preserve"> (LogReg_A2 avec seuil F1-optimal ≈ 0,15),</w:t>
      </w:r>
    </w:p>
    <w:p w14:paraId="4D93BAD5" w14:textId="77777777" w:rsidR="00CA7084" w:rsidRDefault="005648BA">
      <w:pPr>
        <w:numPr>
          <w:ilvl w:val="0"/>
          <w:numId w:val="5"/>
        </w:numPr>
        <w:spacing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avec rééquilibrage par SMOTE et seuil “standard” 0,50</w:t>
      </w:r>
      <w:r>
        <w:rPr>
          <w:rFonts w:ascii="Times New Roman" w:eastAsia="Times New Roman" w:hAnsi="Times New Roman" w:cs="Times New Roman"/>
          <w:kern w:val="0"/>
          <w:lang w:eastAsia="fr-BE"/>
          <w14:ligatures w14:val="none"/>
        </w:rPr>
        <w:t xml:space="preserve"> (LogReg_B2, SVM_B2, ),</w:t>
      </w:r>
    </w:p>
    <w:p w14:paraId="37736215"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et de discuter, dans un cadre d’aide à la décision clinique, le compromis entre détection des patients à haut risque, charge en faux positifs et qualité des probabilités produites par le modèle. Les résultats détaillés pour l’ensemble des modèles (accuracy, rappel, précision, F1, AUC-ROC, AUC-PR, Brier score) sont présentés dans le tableau de résultats principal, et servent de base au choix du modèle final et aux analyses d’incertitude décrites dans la suite du manuscrit.</w:t>
      </w:r>
    </w:p>
    <w:p w14:paraId="60869E43" w14:textId="77777777" w:rsidR="00CA7084" w:rsidRDefault="005648BA">
      <w:pPr>
        <w:spacing w:beforeAutospacing="1" w:afterAutospacing="1" w:line="240" w:lineRule="auto"/>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Validation interne et quantification de l’incertitude</w:t>
      </w:r>
    </w:p>
    <w:p w14:paraId="277259FE"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lastRenderedPageBreak/>
        <w:t>Dans ce travail, la validation interne et la quantification de l’incertitude reposent sur quatre composantes complémentaires : (i) validation croisée sur le jeu d’apprentissage, (ii) bootstrap sur le jeu de test, (iii) analyse de la calibration et du seuil de décision, et (iv) prédiction conforme pour l’incertitude au niveau individuel.</w:t>
      </w:r>
    </w:p>
    <w:p w14:paraId="68F31D18" w14:textId="77777777" w:rsidR="00CA7084" w:rsidRDefault="005648BA">
      <w:pPr>
        <w:spacing w:beforeAutospacing="1" w:afterAutospacing="1" w:line="360" w:lineRule="auto"/>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Validation croisée sur le jeu d’apprentissage</w:t>
      </w:r>
    </w:p>
    <w:p w14:paraId="51B007EC"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hAnsi="Times New Roman" w:cs="Times New Roman"/>
        </w:rPr>
        <w:t xml:space="preserve">La </w:t>
      </w:r>
      <w:r>
        <w:rPr>
          <w:rStyle w:val="lev"/>
          <w:rFonts w:ascii="Times New Roman" w:hAnsi="Times New Roman" w:cs="Times New Roman"/>
        </w:rPr>
        <w:t>stabilité</w:t>
      </w:r>
      <w:r>
        <w:rPr>
          <w:rFonts w:ascii="Times New Roman" w:hAnsi="Times New Roman" w:cs="Times New Roman"/>
        </w:rPr>
        <w:t xml:space="preserve"> des modèles a été évaluée par une </w:t>
      </w:r>
      <w:r>
        <w:rPr>
          <w:rStyle w:val="lev"/>
          <w:rFonts w:ascii="Times New Roman" w:hAnsi="Times New Roman" w:cs="Times New Roman"/>
        </w:rPr>
        <w:t>validation croisée stratifiée à 5 plis</w:t>
      </w:r>
      <w:r>
        <w:rPr>
          <w:rFonts w:ascii="Times New Roman" w:hAnsi="Times New Roman" w:cs="Times New Roman"/>
        </w:rPr>
        <w:t xml:space="preserve"> sur le jeu d’apprentissage, réalisée séparément pour chaque combinaison </w:t>
      </w:r>
      <w:r>
        <w:rPr>
          <w:rStyle w:val="Accentuation"/>
          <w:rFonts w:ascii="Times New Roman" w:hAnsi="Times New Roman" w:cs="Times New Roman"/>
        </w:rPr>
        <w:t>(algorithme × jeu de données)</w:t>
      </w:r>
      <w:r>
        <w:rPr>
          <w:rFonts w:ascii="Times New Roman" w:hAnsi="Times New Roman" w:cs="Times New Roman"/>
        </w:rPr>
        <w:t xml:space="preserve">. À chaque itération, </w:t>
      </w:r>
      <w:r>
        <w:rPr>
          <w:rStyle w:val="lev"/>
          <w:rFonts w:ascii="Times New Roman" w:hAnsi="Times New Roman" w:cs="Times New Roman"/>
        </w:rPr>
        <w:t>4 plis</w:t>
      </w:r>
      <w:r>
        <w:rPr>
          <w:rFonts w:ascii="Times New Roman" w:hAnsi="Times New Roman" w:cs="Times New Roman"/>
        </w:rPr>
        <w:t xml:space="preserve"> servaient à l’entraînement et </w:t>
      </w:r>
      <w:r>
        <w:rPr>
          <w:rStyle w:val="lev"/>
          <w:rFonts w:ascii="Times New Roman" w:hAnsi="Times New Roman" w:cs="Times New Roman"/>
        </w:rPr>
        <w:t>1 pli</w:t>
      </w:r>
      <w:r>
        <w:rPr>
          <w:rFonts w:ascii="Times New Roman" w:hAnsi="Times New Roman" w:cs="Times New Roman"/>
        </w:rPr>
        <w:t xml:space="preserve"> à la validation, en conservant une prévalence d’événements proche de </w:t>
      </w:r>
      <w:r>
        <w:rPr>
          <w:rStyle w:val="lev"/>
          <w:rFonts w:ascii="Times New Roman" w:hAnsi="Times New Roman" w:cs="Times New Roman"/>
        </w:rPr>
        <w:t>15 %</w:t>
      </w:r>
      <w:r>
        <w:rPr>
          <w:rFonts w:ascii="Times New Roman" w:hAnsi="Times New Roman" w:cs="Times New Roman"/>
        </w:rPr>
        <w:t xml:space="preserve"> dans chaque pli. Les performances (accuracy, rappel/précision/F1 de la classe 1, AUC-ROC, AUC-PR) ont été calculées sur le pli de validation puis </w:t>
      </w:r>
      <w:r>
        <w:rPr>
          <w:rStyle w:val="lev"/>
          <w:rFonts w:ascii="Times New Roman" w:hAnsi="Times New Roman" w:cs="Times New Roman"/>
        </w:rPr>
        <w:t>résumées par la moyenne ± écart-type</w:t>
      </w:r>
      <w:r>
        <w:rPr>
          <w:rFonts w:ascii="Times New Roman" w:hAnsi="Times New Roman" w:cs="Times New Roman"/>
        </w:rPr>
        <w:t xml:space="preserve"> sur les 5 plis. Cette approche fournit une estimation plus robuste de la performance interne et permet d’identifier les configurations potentiellement instables ou sujettes au sur-apprentissage. Les résultats ont été synthétisés dans un tableau dédié et ont contribué à sélectionner les modèles les plus performants et réguliers, notamment </w:t>
      </w:r>
      <w:r>
        <w:rPr>
          <w:rStyle w:val="lev"/>
          <w:rFonts w:ascii="Times New Roman" w:hAnsi="Times New Roman" w:cs="Times New Roman"/>
        </w:rPr>
        <w:t>LogReg_A2</w:t>
      </w:r>
      <w:r>
        <w:rPr>
          <w:rFonts w:ascii="Times New Roman" w:hAnsi="Times New Roman" w:cs="Times New Roman"/>
        </w:rPr>
        <w:t xml:space="preserve"> comme candidat principal au modèle final  </w:t>
      </w:r>
      <w:r>
        <w:fldChar w:fldCharType="begin"/>
      </w:r>
      <w:r>
        <w:rPr>
          <w:rFonts w:ascii="Times New Roman" w:hAnsi="Times New Roman" w:cs="Times New Roman"/>
        </w:rPr>
        <w:instrText>ADDIN ZOTERO_ITEM CSL_CITATION {"citationID":"cNhbYS9c","properties":{"formattedCitation":"(13)","plainCitation":"(13)","noteIndex":0},"citationItems":[{"id":618,"uris":["http://zotero.org/users/11240916/items/RUQJ9VS2"],"itemData":{"id":618,"type":"chapter","abstract":"A prediction model should provide valid outcome predictions for new patients. Essentially, the data set to develop a model is not of interest other than to learn for the future. Validation, hence, is an important aspect of the process of predictive modeling. An important distinction is between apparent, internal and external validationExternal validation. In this chapter, we focus on internal and external validationExternal validation techniques, with illustrations in case studies.","container-title":"Clinical Prediction Models: A Practical Approach to Development, Validation, and Updating","DOI":"10.1007/978-3-030-16399-0_17","ISBN":"978-3-030-16399-0","language":"en","page":"329-344","publisher":"Springer International Publishing","publisher-place":"Cham","source":"Springer Link","title":"Validation of Prediction Models","URL":"https://doi.org/10.1007/978-3-030-16399-0_17","author":[{"family":"Steyerberg","given":"Ewout W."}],"editor":[{"family":"Steyerberg","given":"Ewout W."}],"accessed":{"date-parts":[["2026",1,16]]},"issued":{"date-parts":[["2019"]]}}}],"schema":"https://github.com/citation-style-language/schema/raw/master/csl-citation.json"}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t>.</w:t>
      </w:r>
    </w:p>
    <w:p w14:paraId="692CB948" w14:textId="77777777" w:rsidR="00CA7084" w:rsidRDefault="005648BA">
      <w:pPr>
        <w:spacing w:beforeAutospacing="1" w:afterAutospacing="1" w:line="360" w:lineRule="auto"/>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Bootstrap sur le jeu de test</w:t>
      </w:r>
    </w:p>
    <w:p w14:paraId="73CCE31C" w14:textId="77777777" w:rsidR="00CA7084" w:rsidRDefault="005648BA">
      <w:pPr>
        <w:spacing w:beforeAutospacing="1" w:afterAutospacing="1" w:line="360" w:lineRule="auto"/>
        <w:jc w:val="both"/>
        <w:rPr>
          <w:color w:val="C9211E"/>
          <w:shd w:val="clear" w:color="auto" w:fill="FFFF00"/>
          <w14:ligatures w14:val="none"/>
        </w:rPr>
      </w:pPr>
      <w:r>
        <w:rPr>
          <w:rFonts w:ascii="Times New Roman" w:eastAsia="Times New Roman" w:hAnsi="Times New Roman" w:cs="Times New Roman"/>
          <w:b/>
          <w:bCs/>
          <w:color w:val="C9211E"/>
          <w:kern w:val="0"/>
          <w:shd w:val="clear" w:color="auto" w:fill="FFFF00"/>
          <w:lang w:eastAsia="fr-BE"/>
          <w14:ligatures w14:val="none"/>
        </w:rPr>
        <w:t>c'est mieux de présenter au moins un tableau ou une courbe</w:t>
      </w:r>
    </w:p>
    <w:p w14:paraId="16318EDA"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La validation croisée renseigne surtout sur la variabilité au sein de l’apprentissage. Pour quantifier l’incertitude autour des performances observées sur le jeu de test, une procédure de bootstrap non paramétrique a été appliquée à chaque combinaison </w:t>
      </w:r>
      <w:r>
        <w:rPr>
          <w:rFonts w:ascii="Times New Roman" w:eastAsia="Times New Roman" w:hAnsi="Times New Roman" w:cs="Times New Roman"/>
          <w:i/>
          <w:iCs/>
          <w:kern w:val="0"/>
          <w:lang w:eastAsia="fr-BE"/>
          <w14:ligatures w14:val="none"/>
        </w:rPr>
        <w:t>(modèle × jeu de données)</w:t>
      </w:r>
      <w:r>
        <w:rPr>
          <w:rFonts w:ascii="Times New Roman" w:eastAsia="Times New Roman" w:hAnsi="Times New Roman" w:cs="Times New Roman"/>
          <w:kern w:val="0"/>
          <w:lang w:eastAsia="fr-BE"/>
          <w14:ligatures w14:val="none"/>
        </w:rPr>
        <w:t xml:space="preserve">. Concrètement, chaque modèle a été entraîné une seule fois sur son jeu d’apprentissage, puis B = 1000 rééchantillonnages avec remise ont été générés à partir du jeu de test (N = 848). Les métriques (notamment rappel et F1 de la classe 1, AUC-ROC, AUC-PR) ont été recalculées sur chaque échantillon, et des IC95 % ont été obtenus par la méthode des percentiles (2,5e–97,5e). Cette approche fournit une estimation empirique de la variabilité des performances liée au fait que le test est lui-même un échantillon de la population cible, sans hypothèse paramétrique forte, et permet de comparer les modèles non seulement sur leurs scores ponctuels mais aussi sur leur robustesse. Dans ce cadre, LogReg_A2 apparaît comme un compromis favorable entre performance et stabilité, tandis que certaines méthodes </w:t>
      </w:r>
      <w:r>
        <w:rPr>
          <w:rFonts w:ascii="Times New Roman" w:eastAsia="Times New Roman" w:hAnsi="Times New Roman" w:cs="Times New Roman"/>
          <w:kern w:val="0"/>
          <w:lang w:eastAsia="fr-BE"/>
          <w14:ligatures w14:val="none"/>
        </w:rPr>
        <w:lastRenderedPageBreak/>
        <w:t xml:space="preserve">d’ensemble combinées au sur-échantillonnage peuvent présenter une variabilité plus marquée </w:t>
      </w:r>
      <w:r>
        <w:fldChar w:fldCharType="begin"/>
      </w:r>
      <w:r>
        <w:rPr>
          <w:rFonts w:ascii="Times New Roman" w:eastAsia="Times New Roman" w:hAnsi="Times New Roman" w:cs="Times New Roman"/>
          <w:kern w:val="0"/>
          <w:lang w:eastAsia="fr-BE"/>
        </w:rPr>
        <w:instrText>ADDIN ZOTERO_ITEM CSL_CITATION {"citationID":"5MQdADLH","properties":{"formattedCitation":"(28,29)","plainCitation":"(28,29)","noteIndex":0},"citationItems":[{"id":676,"uris":["http://zotero.org/users/11240916/items/AGCYCE6A"],"itemData":{"id":676,"type":"article-journal","abstract":"The C statistic is a commonly reported measure of screening test performance. Optimistic estimation of the C statistic is a frequent problem because of overfitting of statistical models in small data sets, and methods exist to correct for this issue. However, many studies do not use such methods, and those that do correct for optimism use diverse methods, some of which are known to be biased. We used clinical data sets (United Kingdom Down syndrome screening data from Glasgow (1991–2003), Edinburgh (1999–2003), and Cambridge (1990–2006), as well as Scottish national pregnancy discharge data (2004–2007)) to evaluate different approaches to adjustment for optimism. We found that sample splitting, cross-validation without replication, and leave-1-out cross-validation produced optimism-adjusted estimates of the C statistic that were biased and/or associated with greater absolute error than other available methods. Cross-validation with replication, bootstrapping, and a new method (leave-pair-out cross-validation) all generated unbiased optimism-adjusted estimates of the C statistic and had similar absolute errors in the clinical data set. Larger simulation studies confirmed that all 3 methods performed similarly with 10 or more events per variable, or when the C statistic was 0.9 or greater. However, with lower events per variable or lower C statistics, bootstrapping tended to be optimistic but with lower absolute and mean squared errors than both methods of cross-validation.","container-title":"American Journal of Epidemiology","DOI":"10.1093/aje/kwu140","ISSN":"0002-9262","issue":"3","journalAbbreviation":"Am J Epidemiol","page":"318-324","PMID":"24966219","PMCID":"PMC4108045","source":"PubMed Central","title":"Correcting for Optimistic Prediction in Small Data Sets","volume":"180","author":[{"family":"Smith","given":"Gordon C. S."},{"family":"Seaman","given":"Shaun R."},{"family":"Wood","given":"Angela M."},{"family":"Royston","given":"Patrick"},{"family":"White","given":"Ian R."}],"issued":{"date-parts":[["2014",8,1]]}},"label":"page"},{"id":675,"uris":["http://zotero.org/users/11240916/items/3ILVKW7E"],"itemData":{"id":675,"type":"book","abstract":"L'ouvrage « Introduction au bootstrap » fournit aux scientifiques, aux ingénieurs et aux statisticiens les techniques de calcul nécessaires à l'analyse et à la compréhension d'ensembles de données complexes. Le bootstrap est une méthode informatique d'inférence statistique qui permet de répondre à des questions statistiques sans recourir à des formules et d'appréhender directement la variance, le biais, la couverture et d'autres phénomènes probabilistes. Ce livre présente une vue d'ensemble du bootstrap et des méthodes apparentées d'évaluation de la précision statistique, en privilégiant les concepts plutôt que leur justification mathématique. Destiné à tous, même aux débutants, il propose une introduction progressive, puis approfondit graduellement des notions jusqu'à atteindre des niveaux de sophistication élevés.","DOI":"10.1201/9780429246593","number-of-pages":"456","title":"Introduction à Bootstrap","author":[{"family":"Efron","given":"Bradley"}]},"label":"page"}],"schema":"https://github.com/citation-style-language/schema/raw/master/csl-citation.json"}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(28,29)</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p>
    <w:p w14:paraId="06420768" w14:textId="77777777" w:rsidR="00CA7084" w:rsidRDefault="005648BA">
      <w:pPr>
        <w:spacing w:beforeAutospacing="1" w:afterAutospacing="1" w:line="360" w:lineRule="auto"/>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Calibration, Brier score et seuil de décision</w:t>
      </w:r>
    </w:p>
    <w:p w14:paraId="2E22DBD3" w14:textId="77777777" w:rsidR="00CA7084" w:rsidRDefault="005648BA">
      <w:pPr>
        <w:spacing w:beforeAutospacing="1" w:afterAutospacing="1" w:line="360" w:lineRule="auto"/>
        <w:jc w:val="both"/>
        <w:rPr>
          <w:color w:val="C9211E"/>
          <w:shd w:val="clear" w:color="auto" w:fill="FFFF00"/>
          <w14:ligatures w14:val="none"/>
        </w:rPr>
      </w:pPr>
      <w:r>
        <w:rPr>
          <w:rFonts w:ascii="Times New Roman" w:eastAsia="Times New Roman" w:hAnsi="Times New Roman" w:cs="Times New Roman"/>
          <w:b/>
          <w:bCs/>
          <w:color w:val="C9211E"/>
          <w:kern w:val="0"/>
          <w:shd w:val="clear" w:color="auto" w:fill="FFFF00"/>
          <w:lang w:eastAsia="fr-BE"/>
          <w14:ligatures w14:val="none"/>
        </w:rPr>
        <w:t>il y a des répétitions sur le seuil de décision</w:t>
      </w:r>
    </w:p>
    <w:p w14:paraId="0A580C97" w14:textId="77777777" w:rsidR="00CA7084" w:rsidRDefault="005648BA">
      <w:pPr>
        <w:spacing w:beforeAutospacing="1" w:afterAutospacing="1" w:line="360" w:lineRule="auto"/>
        <w:jc w:val="both"/>
        <w:rPr>
          <w:color w:val="C9211E"/>
          <w:shd w:val="clear" w:color="auto" w:fill="FFFF00"/>
          <w14:ligatures w14:val="none"/>
        </w:rPr>
      </w:pPr>
      <w:r>
        <w:rPr>
          <w:rFonts w:ascii="Times New Roman" w:eastAsia="Times New Roman" w:hAnsi="Times New Roman" w:cs="Times New Roman"/>
          <w:b/>
          <w:bCs/>
          <w:color w:val="C9211E"/>
          <w:kern w:val="0"/>
          <w:shd w:val="clear" w:color="auto" w:fill="FFFF00"/>
          <w:lang w:eastAsia="fr-BE"/>
          <w14:ligatures w14:val="none"/>
        </w:rPr>
        <w:t xml:space="preserve">dans ce paragraphe tu dois définir brier score et calibration, mettre la formule </w:t>
      </w:r>
    </w:p>
    <w:p w14:paraId="6EE7B5A6"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Dans ce travail, l’évaluation de la calibration a été utilisée afin de vérifier la fiabilité des probabilités de risque produites par les modèles probabilistes, condition nécessaire à leur utilisation clinique. Le Brier score a été retenu comme mesure synthétique de la qualité globale des probabilités, tandis que les courbes de calibration ont permis d’identifier d’éventuels écarts systématiques entre risques prédits et observés selon les niveaux de risque. Par ailleurs, en contexte de déséquilibre de classes, la décision binaire dépend fortement du seuil de probabilité retenu. Afin d’adapter la règle de décision à l’objectif de détection des événements, le seuil du modèle LogReg_A2 a été ajusté empiriquement en maximisant le F1-score de la classe événement. Cette procédure permet de comparer, dans un cadre méthodologique cohérent, une stratégie d’optimisation du seuil sur données non rééchantillonnées à une stratégie alternative reposant sur le rééquilibrage du jeu d’apprentissage par SMOTE avec seuil standard </w:t>
      </w:r>
      <w:r>
        <w:fldChar w:fldCharType="begin"/>
      </w:r>
      <w:r>
        <w:rPr>
          <w:rFonts w:ascii="Times New Roman" w:eastAsia="Times New Roman" w:hAnsi="Times New Roman" w:cs="Times New Roman"/>
          <w:kern w:val="0"/>
          <w:lang w:eastAsia="fr-BE"/>
        </w:rPr>
        <w:instrText>ADDIN ZOTERO_ITEM CSL_CITATION {"citationID":"h9KgaUqg","properties":{"formattedCitation":"(30,31)","plainCitation":"(30,31)","noteIndex":0},"citationItems":[{"id":679,"uris":["http://zotero.org/users/11240916/items/3C3B6YQL"],"itemData":{"id":679,"type":"webpage","abstract":"This study explores the importance of risk stratification in patients undergoing coronary revascularization and the need for comprehensive assessment of clinical and angiographic factors.","language":"en","title":"A guide to interpreting and assessing the performance of prediction models","URL":"https://eurointervention.pcronline.com/article/a-guide-to-interpreting-and-assessing-the-performance-of-prediction-models","author":[{"family":"Farooq","given":"Vasim"},{"family":"Brugaletta","given":"Salvatore"},{"family":"Vranckx","given":"Pascal"},{"family":"Serruys","given":"Patrick W."}],"accessed":{"date-parts":[["2026",1,16]]}},"label":"page"},{"id":681,"uris":["http://zotero.org/users/11240916/items/XXYY4984"],"itemData":{"id":681,"type":"article-journal","abstract":"Background\nA variety of statistics have been proposed as tools to help investigators assess the value of diagnostic tests or prediction models. The Brier score has been recommended on the grounds that it is a proper scoring rule that is affected by both discrimination and calibration. However, the Brier score is prevalence dependent in such a way that the rank ordering of tests or models may inappropriately vary by prevalence.\n\nMethods\nWe explored four common clinical scenarios: comparison of a highly accurate binary test with a continuous prediction model of moderate predictiveness; comparison of two binary tests where the importance of sensitivity versus specificity is inversely associated with prevalence; comparison of models and tests to default strategies of assuming that all or no patients are positive; and comparison of two models with miscalibration in opposite directions.\n\nResults\nIn each case, we found that the Brier score gave an inappropriate rank ordering of the tests and models. Conversely, net benefit, a decision-analytic measure, gave results that always favored the preferable test or model.\n\nConclusions\nBrier score does not evaluate clinical value of diagnostic tests or prediction models. We advocate, as an alternative, the use of decision-analytic measures such as net benefit.\n\nTrial registration\nNot applicable.","container-title":"Diagnostic and Prognostic Research","DOI":"10.1186/s41512-017-0020-3","ISSN":"2397-7523","journalAbbreviation":"Diagn Progn Res","page":"19","PMID":"31093548","PMCID":"PMC6460786","source":"PubMed Central","title":"The Brier score does not evaluate the clinical utility of diagnostic tests or prediction models","volume":"1","author":[{"family":"Assel","given":"Melissa"},{"family":"Sjoberg","given":"Daniel D."},{"family":"Vickers","given":"Andrew J."}],"issued":{"date-parts":[["2017",12,2]]}},"label":"page"}],"schema":"https://github.com/citation-style-language/schema/raw/master/csl-citation.json"}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(30,31)</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p>
    <w:p w14:paraId="4A30955E" w14:textId="77777777" w:rsidR="00CA7084" w:rsidRDefault="005648BA">
      <w:pPr>
        <w:spacing w:beforeAutospacing="1" w:afterAutospacing="1" w:line="240" w:lineRule="auto"/>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 xml:space="preserve"> Prédiction conforme et incertitude au niveau individuel</w:t>
      </w:r>
    </w:p>
    <w:p w14:paraId="44DF1EED"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Enfin, pour quantifier l’incertitude au niveau individuel, une approche de prédiction conforme a été appliquée au modèle final retenu (régression logistique sur A2, avec standardisation et seuil de décision optimisé). La prédiction conforme fournit, pour chaque patient, non pas une classe unique, mais un ensemble prédictif de classes ({0}, {1} ou {0,1}), avec une garantie de couverture probabiliste en échantillon fini, sous l’hypothèse d’échangeabilité des données</w:t>
      </w:r>
      <w:r>
        <w:rPr>
          <w:rFonts w:ascii="Times New Roman" w:hAnsi="Times New Roman" w:cs="Times New Roman"/>
        </w:rPr>
        <w:t xml:space="preserve"> </w:t>
      </w:r>
      <w:r>
        <w:fldChar w:fldCharType="begin"/>
      </w:r>
      <w:r>
        <w:rPr>
          <w:rFonts w:ascii="Times New Roman" w:hAnsi="Times New Roman" w:cs="Times New Roman"/>
        </w:rPr>
        <w:instrText>ADDIN ZOTERO_ITEM CSL_CITATION {"citationID":"bzucZ7Lj","properties":{"formattedCitation":"(32)","plainCitation":"(32)","noteIndex":0},"citationItems":[{"id":684,"uris":["http://zotero.org/users/11240916/items/Y7SJNWCL"],"itemData":{"id":684,"type":"article","abstract":"Conformal prediction uses past experience to determine precise levels of confidence in new predictions. Given an error probability $ε$, together with a method that makes a prediction $\\hat{y}$ of a label $y$, it produces a set of labels, typically containing $\\hat{y}$, that also contains $y$ with probability $1-ε$. Conformal prediction can be applied to any method for producing $\\hat{y}$: a nearest-neighbor method, a support-vector machine, ridge regression, etc. Conformal prediction is designed for an on-line setting in which labels are predicted successively, each one being revealed before the next is predicted. The most novel and valuable feature of conformal prediction is that if the successive examples are sampled independently from the same distribution, then the successive predictions will be right $1-ε$ of the time, even though they are based on an accumulating dataset rather than on independent datasets. In addition to the model under which successive examples are sampled independently, other on-line compression models can also use conformal prediction. The widely used Gaussian linear model is one of these. This tutorial presents a self-contained account of the theory of conformal prediction and works through several numerical examples. A more comprehensive treatment of the topic is provided in \"Algorithmic Learning in a Random World\", by Vladimir Vovk, Alex Gammerman, and Glenn Shafer (Springer, 2005).","DOI":"10.48550/arXiv.0706.3188","note":"arXiv:0706.3188 [cs]","number":"arXiv:0706.3188","publisher":"arXiv","source":"arXiv.org","title":"A tutorial on conformal prediction","URL":"http://arxiv.org/abs/0706.3188","author":[{"family":"Shafer","given":"Glenn"},{"family":"Vovk","given":"Vladimir"}],"accessed":{"date-parts":[["2026",1,16]]},"issued":{"date-parts":[["2007",6,21]]}}}],"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rPr>
        <w:t>(32)</w:t>
      </w:r>
      <w:r>
        <w:rPr>
          <w:rFonts w:ascii="Times New Roman" w:hAnsi="Times New Roman" w:cs="Times New Roman"/>
        </w:rPr>
        <w:fldChar w:fldCharType="end"/>
      </w:r>
      <w:r>
        <w:rPr>
          <w:rFonts w:ascii="Times New Roman" w:hAnsi="Times New Roman" w:cs="Times New Roman"/>
        </w:rPr>
        <w:t>.</w:t>
      </w:r>
      <w:r>
        <w:rPr>
          <w:rFonts w:ascii="Times New Roman" w:eastAsia="Times New Roman" w:hAnsi="Times New Roman" w:cs="Times New Roman"/>
          <w:kern w:val="0"/>
          <w:lang w:eastAsia="fr-BE"/>
          <w14:ligatures w14:val="none"/>
        </w:rPr>
        <w:t xml:space="preserve"> </w:t>
      </w:r>
    </w:p>
    <w:p w14:paraId="3EB23387"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La procédure suivie est un schéma de split conformal adapté à la classification binaire :</w:t>
      </w:r>
    </w:p>
    <w:p w14:paraId="556F9C2E" w14:textId="77777777" w:rsidR="00CA7084" w:rsidRDefault="005648BA">
      <w:pPr>
        <w:numPr>
          <w:ilvl w:val="0"/>
          <w:numId w:val="6"/>
        </w:num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le jeu d’apprentissage standardisé A2 est scindé en un sous-jeu d’entraînement et un sous-jeu de calibration ;</w:t>
      </w:r>
    </w:p>
    <w:p w14:paraId="35C77E42" w14:textId="77777777" w:rsidR="00CA7084" w:rsidRDefault="005648BA">
      <w:pPr>
        <w:numPr>
          <w:ilvl w:val="0"/>
          <w:numId w:val="6"/>
        </w:numPr>
        <w:spacing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un modèle de régression logistique est ajusté sur le sous-jeu d’entraînement ;</w:t>
      </w:r>
    </w:p>
    <w:p w14:paraId="414372E2" w14:textId="77777777" w:rsidR="00CA7084" w:rsidRDefault="005648BA">
      <w:pPr>
        <w:numPr>
          <w:ilvl w:val="0"/>
          <w:numId w:val="6"/>
        </w:numPr>
        <w:spacing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lastRenderedPageBreak/>
        <w:t>sur le sous-jeu de calibration, on calcule pour chaque individu un score de non-conformité défini comme</w:t>
      </w:r>
    </w:p>
    <w:p w14:paraId="539B17D3" w14:textId="77777777" w:rsidR="00CA7084" w:rsidRDefault="005648BA">
      <w:pPr>
        <w:spacing w:afterAutospacing="1" w:line="360" w:lineRule="auto"/>
        <w:ind w:left="720"/>
        <w:jc w:val="both"/>
        <w:rPr>
          <w:b/>
          <w:bCs/>
          <w:color w:val="C9211E"/>
          <w:shd w:val="clear" w:color="auto" w:fill="FFFF00"/>
          <w14:ligatures w14:val="none"/>
        </w:rPr>
      </w:pPr>
      <w:r>
        <w:rPr>
          <w:rFonts w:ascii="Times New Roman" w:eastAsia="Times New Roman" w:hAnsi="Times New Roman" w:cs="Times New Roman"/>
          <w:b/>
          <w:bCs/>
          <w:color w:val="C9211E"/>
          <w:kern w:val="0"/>
          <w:shd w:val="clear" w:color="auto" w:fill="FFFF00"/>
          <w:lang w:eastAsia="fr-BE"/>
          <w14:ligatures w14:val="none"/>
        </w:rPr>
        <w:t>ecrire en mode math les équations</w:t>
      </w:r>
    </w:p>
    <w:p w14:paraId="7FEDDDAE" w14:textId="77777777" w:rsidR="00CA7084" w:rsidRDefault="005648BA">
      <w:pPr>
        <w:spacing w:beforeAutospacing="1" w:afterAutospacing="1"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r>
        <w:rPr>
          <w:noProof/>
        </w:rPr>
        <w:drawing>
          <wp:inline distT="0" distB="0" distL="0" distR="0" wp14:anchorId="37C4A7E4" wp14:editId="0E69B91D">
            <wp:extent cx="1695450" cy="514350"/>
            <wp:effectExtent l="0" t="0" r="0" b="0"/>
            <wp:docPr id="1" name="Image 1" descr="Une image contenant Police, Graphique, typographi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Police, Graphique, typographie, conception&#10;&#10;Le contenu généré par l’IA peut être incorrect."/>
                    <pic:cNvPicPr>
                      <a:picLocks noChangeAspect="1" noChangeArrowheads="1"/>
                    </pic:cNvPicPr>
                  </pic:nvPicPr>
                  <pic:blipFill>
                    <a:blip r:embed="rId6"/>
                    <a:stretch>
                      <a:fillRect/>
                    </a:stretch>
                  </pic:blipFill>
                  <pic:spPr bwMode="auto">
                    <a:xfrm>
                      <a:off x="0" y="0"/>
                      <a:ext cx="1695450" cy="514350"/>
                    </a:xfrm>
                    <a:prstGeom prst="rect">
                      <a:avLst/>
                    </a:prstGeom>
                  </pic:spPr>
                </pic:pic>
              </a:graphicData>
            </a:graphic>
          </wp:inline>
        </w:drawing>
      </w:r>
    </w:p>
    <w:p w14:paraId="635E48DB" w14:textId="77777777" w:rsidR="00CA7084" w:rsidRDefault="005648BA">
      <w:pPr>
        <w:pStyle w:val="NormalWeb"/>
        <w:spacing w:before="280" w:after="280" w:line="276" w:lineRule="auto"/>
        <w:jc w:val="both"/>
      </w:pPr>
      <w:r>
        <w:t>  c’est-à-dire 1 moins la probabilité prédite pour la vraie classe ;</w:t>
      </w:r>
    </w:p>
    <w:p w14:paraId="331DE216" w14:textId="77777777" w:rsidR="00CA7084" w:rsidRDefault="005648BA">
      <w:pPr>
        <w:pStyle w:val="NormalWeb"/>
        <w:spacing w:before="280" w:after="280" w:line="276" w:lineRule="auto"/>
        <w:jc w:val="both"/>
      </w:pPr>
      <w:r>
        <w:t xml:space="preserve">  pour un niveau de confiance cible </w:t>
      </w:r>
      <m:oMath>
        <m:r>
          <w:rPr>
            <w:rFonts w:ascii="Cambria Math" w:hAnsi="Cambria Math"/>
          </w:rPr>
          <m:t>1-α</m:t>
        </m:r>
      </m:oMath>
      <w:r>
        <w:t xml:space="preserve">(ici 90 %, soit </w:t>
      </w:r>
      <m:oMath>
        <m:r>
          <w:rPr>
            <w:rFonts w:ascii="Cambria Math" w:hAnsi="Cambria Math"/>
          </w:rPr>
          <m:t>α=0,10</m:t>
        </m:r>
      </m:oMath>
      <w:r>
        <w:t xml:space="preserve">), on détermine le quantile empirique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1-α</m:t>
            </m:r>
          </m:sub>
        </m:sSub>
      </m:oMath>
      <w:r>
        <w:t>de la distribution des scores de non-conformité ;</w:t>
      </w:r>
    </w:p>
    <w:p w14:paraId="1C772862" w14:textId="77777777" w:rsidR="00CA7084" w:rsidRDefault="005648BA">
      <w:pPr>
        <w:pStyle w:val="NormalWeb"/>
        <w:spacing w:before="280" w:after="280" w:line="276" w:lineRule="auto"/>
        <w:jc w:val="both"/>
      </w:pPr>
      <w:r>
        <w:t xml:space="preserve">  pour chaque nouvelle observation du jeu de test, et pour chaque classe candidate </w:t>
      </w:r>
      <m:oMath>
        <m:r>
          <w:rPr>
            <w:rFonts w:ascii="Cambria Math" w:hAnsi="Cambria Math"/>
          </w:rPr>
          <m:t>y∈{0,1}</m:t>
        </m:r>
      </m:oMath>
      <w:r>
        <w:t>, on calcule un score hypothétique</w:t>
      </w:r>
    </w:p>
    <w:p w14:paraId="2254E888" w14:textId="77777777" w:rsidR="00CA7084" w:rsidRDefault="005648BA">
      <w:pPr>
        <w:spacing w:beforeAutospacing="1" w:afterAutospacing="1" w:line="240" w:lineRule="auto"/>
        <w:jc w:val="both"/>
        <w:rPr>
          <w:rFonts w:ascii="Times New Roman" w:eastAsia="Times New Roman" w:hAnsi="Times New Roman" w:cs="Times New Roman"/>
          <w:kern w:val="0"/>
          <w:lang w:eastAsia="fr-BE"/>
          <w14:ligatures w14:val="none"/>
        </w:rPr>
      </w:pPr>
      <w:r>
        <w:rPr>
          <w:noProof/>
        </w:rPr>
        <w:drawing>
          <wp:inline distT="0" distB="0" distL="0" distR="0" wp14:anchorId="08EF3480" wp14:editId="5BBDD75C">
            <wp:extent cx="1952625" cy="390525"/>
            <wp:effectExtent l="0" t="0" r="0" b="0"/>
            <wp:docPr id="2" name="Image3" descr="Une image contenant Police, typographie, écriture manuscrit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Une image contenant Police, typographie, écriture manuscrite, Graphique&#10;&#10;Le contenu généré par l’IA peut être incorrect."/>
                    <pic:cNvPicPr>
                      <a:picLocks noChangeAspect="1" noChangeArrowheads="1"/>
                    </pic:cNvPicPr>
                  </pic:nvPicPr>
                  <pic:blipFill>
                    <a:blip r:embed="rId7"/>
                    <a:stretch>
                      <a:fillRect/>
                    </a:stretch>
                  </pic:blipFill>
                  <pic:spPr bwMode="auto">
                    <a:xfrm>
                      <a:off x="0" y="0"/>
                      <a:ext cx="1952625" cy="390525"/>
                    </a:xfrm>
                    <a:prstGeom prst="rect">
                      <a:avLst/>
                    </a:prstGeom>
                  </pic:spPr>
                </pic:pic>
              </a:graphicData>
            </a:graphic>
          </wp:inline>
        </w:drawing>
      </w:r>
    </w:p>
    <w:p w14:paraId="2E697456" w14:textId="77777777" w:rsidR="00CA7084" w:rsidRDefault="005648BA">
      <w:pPr>
        <w:spacing w:beforeAutospacing="1" w:afterAutospacing="1"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et on construit l’ensemble prédictif</w:t>
      </w:r>
    </w:p>
    <w:p w14:paraId="1EA0D34C" w14:textId="77777777" w:rsidR="00CA7084" w:rsidRDefault="005648BA">
      <w:pPr>
        <w:spacing w:beforeAutospacing="1" w:afterAutospacing="1" w:line="240" w:lineRule="auto"/>
        <w:jc w:val="both"/>
        <w:rPr>
          <w:rFonts w:ascii="Times New Roman" w:eastAsia="Times New Roman" w:hAnsi="Times New Roman" w:cs="Times New Roman"/>
          <w:kern w:val="0"/>
          <w:lang w:eastAsia="fr-BE"/>
          <w14:ligatures w14:val="none"/>
        </w:rPr>
      </w:pPr>
      <w:r>
        <w:rPr>
          <w:noProof/>
        </w:rPr>
        <w:drawing>
          <wp:inline distT="0" distB="0" distL="0" distR="0" wp14:anchorId="1CFBBB7E" wp14:editId="005486CD">
            <wp:extent cx="3276600" cy="438150"/>
            <wp:effectExtent l="0" t="0" r="0" b="0"/>
            <wp:docPr id="3" name="Image4" descr="Une image contenant Police, texte, écriture manuscrit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Une image contenant Police, texte, écriture manuscrite, typographie&#10;&#10;Le contenu généré par l’IA peut être incorrect."/>
                    <pic:cNvPicPr>
                      <a:picLocks noChangeAspect="1" noChangeArrowheads="1"/>
                    </pic:cNvPicPr>
                  </pic:nvPicPr>
                  <pic:blipFill>
                    <a:blip r:embed="rId8"/>
                    <a:stretch>
                      <a:fillRect/>
                    </a:stretch>
                  </pic:blipFill>
                  <pic:spPr bwMode="auto">
                    <a:xfrm>
                      <a:off x="0" y="0"/>
                      <a:ext cx="3276600" cy="438150"/>
                    </a:xfrm>
                    <a:prstGeom prst="rect">
                      <a:avLst/>
                    </a:prstGeom>
                  </pic:spPr>
                </pic:pic>
              </a:graphicData>
            </a:graphic>
          </wp:inline>
        </w:drawing>
      </w:r>
    </w:p>
    <w:p w14:paraId="1AD6CC19"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Dans cette version “globale” de la prédiction conforme, la garantie de couverture est </w:t>
      </w:r>
      <w:r>
        <w:rPr>
          <w:rFonts w:ascii="Times New Roman" w:eastAsia="Times New Roman" w:hAnsi="Times New Roman" w:cs="Times New Roman"/>
          <w:b/>
          <w:bCs/>
          <w:kern w:val="0"/>
          <w:lang w:eastAsia="fr-BE"/>
          <w14:ligatures w14:val="none"/>
        </w:rPr>
        <w:t>marginale</w:t>
      </w:r>
      <w:r>
        <w:rPr>
          <w:rFonts w:ascii="Times New Roman" w:eastAsia="Times New Roman" w:hAnsi="Times New Roman" w:cs="Times New Roman"/>
          <w:kern w:val="0"/>
          <w:lang w:eastAsia="fr-BE"/>
          <w14:ligatures w14:val="none"/>
        </w:rPr>
        <w:t xml:space="preserve"> (tous patients confondus). Pour tenir compte du déséquilibre de classes et garantir une couverture approximativement équivalente pour les cas et les non-cas, une variante de type</w:t>
      </w:r>
    </w:p>
    <w:p w14:paraId="3D60AB7B"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 revoir, citer référence</w:t>
      </w:r>
    </w:p>
    <w:p w14:paraId="409F63B4"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r>
        <w:rPr>
          <w:rFonts w:ascii="Times New Roman" w:eastAsia="Times New Roman" w:hAnsi="Times New Roman" w:cs="Times New Roman"/>
          <w:b/>
          <w:bCs/>
          <w:color w:val="C9211E"/>
          <w:kern w:val="0"/>
          <w:shd w:val="clear" w:color="auto" w:fill="81D41A"/>
          <w:lang w:eastAsia="fr-BE"/>
          <w14:ligatures w14:val="none"/>
        </w:rPr>
        <w:t>Mondrian (label-conditional) conformal prediction a</w:t>
      </w:r>
      <w:r>
        <w:rPr>
          <w:rFonts w:ascii="Times New Roman" w:eastAsia="Times New Roman" w:hAnsi="Times New Roman" w:cs="Times New Roman"/>
          <w:kern w:val="0"/>
          <w:lang w:eastAsia="fr-BE"/>
          <w14:ligatures w14:val="none"/>
        </w:rPr>
        <w:t xml:space="preserve"> également été utilisée : les scores de non-conformité sont alors séparés par classe (0 et 1), et des quantiles distincts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eastAsia="Times New Roman" w:hAnsi="Times New Roman" w:cs="Times New Roman"/>
          <w:kern w:val="0"/>
          <w:lang w:eastAsia="fr-BE"/>
          <w14:ligatures w14:val="none"/>
        </w:rPr>
        <w:t xml:space="preserve">et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imes New Roman" w:hAnsi="Times New Roman" w:cs="Times New Roman"/>
          <w:kern w:val="0"/>
          <w:lang w:eastAsia="fr-BE"/>
          <w14:ligatures w14:val="none"/>
        </w:rPr>
        <w:t xml:space="preserve">sont calculés, ce qui permet d’obtenir une </w:t>
      </w:r>
      <w:r>
        <w:rPr>
          <w:rFonts w:ascii="Times New Roman" w:eastAsia="Times New Roman" w:hAnsi="Times New Roman" w:cs="Times New Roman"/>
          <w:b/>
          <w:bCs/>
          <w:kern w:val="0"/>
          <w:lang w:eastAsia="fr-BE"/>
          <w14:ligatures w14:val="none"/>
        </w:rPr>
        <w:t>couverture par classe</w:t>
      </w:r>
      <w:r>
        <w:rPr>
          <w:rFonts w:ascii="Times New Roman" w:eastAsia="Times New Roman" w:hAnsi="Times New Roman" w:cs="Times New Roman"/>
          <w:kern w:val="0"/>
          <w:lang w:eastAsia="fr-BE"/>
          <w14:ligatures w14:val="none"/>
        </w:rPr>
        <w:t xml:space="preserve"> proche de </w:t>
      </w:r>
      <m:oMath>
        <m:r>
          <w:rPr>
            <w:rFonts w:ascii="Cambria Math" w:hAnsi="Cambria Math"/>
          </w:rPr>
          <m:t>1-α</m:t>
        </m:r>
      </m:oMath>
      <w:r>
        <w:rPr>
          <w:rFonts w:ascii="Times New Roman" w:eastAsia="Times New Roman" w:hAnsi="Times New Roman" w:cs="Times New Roman"/>
          <w:kern w:val="0"/>
          <w:lang w:eastAsia="fr-BE"/>
          <w14:ligatures w14:val="none"/>
        </w:rPr>
        <w:t xml:space="preserve">pour chacune des deux catégories </w:t>
      </w:r>
      <w:r>
        <w:fldChar w:fldCharType="begin"/>
      </w:r>
      <w:r>
        <w:rPr>
          <w:rFonts w:ascii="Times New Roman" w:eastAsia="Times New Roman" w:hAnsi="Times New Roman" w:cs="Times New Roman"/>
          <w:kern w:val="0"/>
          <w:lang w:eastAsia="fr-BE"/>
        </w:rPr>
        <w:instrText>ADDIN ZOTERO_ITEM CSL_CITATION {"citationID":"ibkLH15J","properties":{"formattedCitation":"(33)","plainCitation":"(33)","noteIndex":0},"citationItems":[{"id":689,"uris":["http://zotero.org/users/11240916/items/ZKCFG84R"],"itemData":{"id":689,"type":"article-journal","abstract":"Standard conformal prediction methods provide a marginal coverage guarantee, which means that for a random test point, the conformal prediction set contains the true label with a user-speciﬁed probability. In many classiﬁcation problems, we would like to obtain a stronger guarantee—that for test points of a speciﬁc class, the prediction set contains the true label with the same user-chosen probability. For the latter goal, existing conformal prediction methods do not work well when there is a limited amount of labeled data per class, as is often the case in real applications where the number of classes is large. We propose a method called clustered conformal prediction which clusters together classes having “similar” conformal scores and performs conformal prediction at the cluster level. Based on empirical evaluation across four image data sets with many (up to 1000) classes, we ﬁnd that clustered conformal typically outperforms existing methods in terms of class-conditional coverage and set size metrics.","language":"en","source":"Zotero","title":"Class-Conditional Conformal Prediction with Many Classes","author":[{"family":"Ding","given":"Tiﬀany"},{"family":"Angelopoulos","given":"Anastasios N"},{"family":"Bates","given":"Stephen"},{"family":"Jordan","given":"Michael I"},{"family":"Tibshirani","given":"Ryan J"}]}}],"schema":"https://github.com/citation-style-language/schema/raw/master/csl-citation.json"}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(33)</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r>
        <w:rPr>
          <w:rFonts w:ascii="Times New Roman" w:hAnsi="Times New Roman" w:cs="Times New Roman"/>
        </w:rPr>
        <w:t xml:space="preserve"> </w:t>
      </w:r>
      <w:r>
        <w:rPr>
          <w:rFonts w:ascii="Times New Roman" w:eastAsia="Times New Roman" w:hAnsi="Times New Roman" w:cs="Times New Roman"/>
          <w:kern w:val="0"/>
          <w:lang w:eastAsia="fr-BE"/>
          <w14:ligatures w14:val="none"/>
        </w:rPr>
        <w:t xml:space="preserve"> Pour la configuration principale (</w:t>
      </w:r>
      <m:oMath>
        <m:r>
          <w:rPr>
            <w:rFonts w:ascii="Cambria Math" w:hAnsi="Cambria Math"/>
          </w:rPr>
          <m:t>α=0,10</m:t>
        </m:r>
      </m:oMath>
      <w:r>
        <w:rPr>
          <w:rFonts w:ascii="Times New Roman" w:eastAsia="Times New Roman" w:hAnsi="Times New Roman" w:cs="Times New Roman"/>
          <w:kern w:val="0"/>
          <w:lang w:eastAsia="fr-BE"/>
          <w14:ligatures w14:val="none"/>
        </w:rPr>
        <w:t xml:space="preserve">), la prédiction conforme Mondrian appliquée à LogReg_A2 aboutit à une </w:t>
      </w:r>
      <w:r>
        <w:rPr>
          <w:rFonts w:ascii="Times New Roman" w:eastAsia="Times New Roman" w:hAnsi="Times New Roman" w:cs="Times New Roman"/>
          <w:b/>
          <w:bCs/>
          <w:kern w:val="0"/>
          <w:lang w:eastAsia="fr-BE"/>
          <w14:ligatures w14:val="none"/>
        </w:rPr>
        <w:t>couverture globale</w:t>
      </w:r>
      <w:r>
        <w:rPr>
          <w:rFonts w:ascii="Times New Roman" w:eastAsia="Times New Roman" w:hAnsi="Times New Roman" w:cs="Times New Roman"/>
          <w:kern w:val="0"/>
          <w:lang w:eastAsia="fr-BE"/>
          <w14:ligatures w14:val="none"/>
        </w:rPr>
        <w:t xml:space="preserve"> proche de 90 %, avec une couverture par classe équilibrée (≈ 90 % pour les non-événements et ≈ 91 % pour les événements), et une taille moyenne des ensembles prédictifs d’environ 1,5 classe. Concrètement, cela signifie qu’une partie des patients se voit attribuer des ensembles </w:t>
      </w:r>
      <w:r>
        <w:rPr>
          <w:rFonts w:ascii="Times New Roman" w:eastAsia="Times New Roman" w:hAnsi="Times New Roman" w:cs="Times New Roman"/>
          <w:b/>
          <w:bCs/>
          <w:kern w:val="0"/>
          <w:lang w:eastAsia="fr-BE"/>
          <w14:ligatures w14:val="none"/>
        </w:rPr>
        <w:lastRenderedPageBreak/>
        <w:t>singletons</w:t>
      </w:r>
      <w:r>
        <w:rPr>
          <w:rFonts w:ascii="Times New Roman" w:eastAsia="Times New Roman" w:hAnsi="Times New Roman" w:cs="Times New Roman"/>
          <w:kern w:val="0"/>
          <w:lang w:eastAsia="fr-BE"/>
          <w14:ligatures w14:val="none"/>
        </w:rPr>
        <w:t xml:space="preserve"> {0} ou {1} (prédiction “confiante”), tandis qu’une autre partie reçoit des ensembles {0,1}, signalant une </w:t>
      </w:r>
      <w:r>
        <w:rPr>
          <w:rFonts w:ascii="Times New Roman" w:eastAsia="Times New Roman" w:hAnsi="Times New Roman" w:cs="Times New Roman"/>
          <w:b/>
          <w:bCs/>
          <w:kern w:val="0"/>
          <w:lang w:eastAsia="fr-BE"/>
          <w14:ligatures w14:val="none"/>
        </w:rPr>
        <w:t>incertitude élevée</w:t>
      </w:r>
      <w:r>
        <w:rPr>
          <w:rFonts w:ascii="Times New Roman" w:eastAsia="Times New Roman" w:hAnsi="Times New Roman" w:cs="Times New Roman"/>
          <w:kern w:val="0"/>
          <w:lang w:eastAsia="fr-BE"/>
          <w14:ligatures w14:val="none"/>
        </w:rPr>
        <w:t xml:space="preserve"> que le clinicien peut intégrer dans sa décision.</w:t>
      </w:r>
    </w:p>
    <w:p w14:paraId="3DC0B7F3"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Une </w:t>
      </w:r>
      <w:r>
        <w:rPr>
          <w:rFonts w:ascii="Times New Roman" w:eastAsia="Times New Roman" w:hAnsi="Times New Roman" w:cs="Times New Roman"/>
          <w:b/>
          <w:bCs/>
          <w:kern w:val="0"/>
          <w:lang w:eastAsia="fr-BE"/>
          <w14:ligatures w14:val="none"/>
        </w:rPr>
        <w:t>analyse de sensibilité</w:t>
      </w:r>
      <w:r>
        <w:rPr>
          <w:rFonts w:ascii="Times New Roman" w:eastAsia="Times New Roman" w:hAnsi="Times New Roman" w:cs="Times New Roman"/>
          <w:kern w:val="0"/>
          <w:lang w:eastAsia="fr-BE"/>
          <w14:ligatures w14:val="none"/>
        </w:rPr>
        <w:t xml:space="preserve"> a été réalisée en faisant varier </w:t>
      </w:r>
      <m:oMath>
        <m:r>
          <w:rPr>
            <w:rFonts w:ascii="Cambria Math" w:hAnsi="Cambria Math"/>
          </w:rPr>
          <m:t>α</m:t>
        </m:r>
      </m:oMath>
      <w:r>
        <w:rPr>
          <w:rFonts w:ascii="Times New Roman" w:eastAsia="Times New Roman" w:hAnsi="Times New Roman" w:cs="Times New Roman"/>
          <w:kern w:val="0"/>
          <w:lang w:eastAsia="fr-BE"/>
          <w14:ligatures w14:val="none"/>
        </w:rPr>
        <w:t xml:space="preserve">(par exemple 0,05 ; 0,10 ; 0,20 ; 0,25) : lorsque </w:t>
      </w:r>
      <m:oMath>
        <m:r>
          <w:rPr>
            <w:rFonts w:ascii="Cambria Math" w:hAnsi="Cambria Math"/>
          </w:rPr>
          <m:t>α</m:t>
        </m:r>
      </m:oMath>
      <w:r>
        <w:rPr>
          <w:rFonts w:ascii="Times New Roman" w:eastAsia="Times New Roman" w:hAnsi="Times New Roman" w:cs="Times New Roman"/>
          <w:kern w:val="0"/>
          <w:lang w:eastAsia="fr-BE"/>
          <w14:ligatures w14:val="none"/>
        </w:rPr>
        <w:t xml:space="preserve">diminue, la couverture augmente au prix d’ensembles plus souvent ambigus ({0,1}) ; lorsque </w:t>
      </w:r>
      <m:oMath>
        <m:r>
          <w:rPr>
            <w:rFonts w:ascii="Cambria Math" w:hAnsi="Cambria Math"/>
          </w:rPr>
          <m:t>α</m:t>
        </m:r>
      </m:oMath>
      <w:r>
        <w:rPr>
          <w:rFonts w:ascii="Times New Roman" w:eastAsia="Times New Roman" w:hAnsi="Times New Roman" w:cs="Times New Roman"/>
          <w:kern w:val="0"/>
          <w:lang w:eastAsia="fr-BE"/>
          <w14:ligatures w14:val="none"/>
        </w:rPr>
        <w:t xml:space="preserve">augmente, les ensembles deviennent plus souvent singletons mais la couverture se dégrade. Cette analyse confirme que le choix </w:t>
      </w:r>
      <m:oMath>
        <m:r>
          <w:rPr>
            <w:rFonts w:ascii="Cambria Math" w:hAnsi="Cambria Math"/>
          </w:rPr>
          <m:t>α=0,10</m:t>
        </m:r>
      </m:oMath>
      <w:r>
        <w:rPr>
          <w:rFonts w:ascii="Times New Roman" w:eastAsia="Times New Roman" w:hAnsi="Times New Roman" w:cs="Times New Roman"/>
          <w:kern w:val="0"/>
          <w:lang w:eastAsia="fr-BE"/>
          <w14:ligatures w14:val="none"/>
        </w:rPr>
        <w:t xml:space="preserve">offre un compromis raisonnable entre </w:t>
      </w:r>
      <w:r>
        <w:rPr>
          <w:rFonts w:ascii="Times New Roman" w:eastAsia="Times New Roman" w:hAnsi="Times New Roman" w:cs="Times New Roman"/>
          <w:b/>
          <w:bCs/>
          <w:kern w:val="0"/>
          <w:lang w:eastAsia="fr-BE"/>
          <w14:ligatures w14:val="none"/>
        </w:rPr>
        <w:t>niveau de confiance garanti</w:t>
      </w:r>
      <w:r>
        <w:rPr>
          <w:rFonts w:ascii="Times New Roman" w:eastAsia="Times New Roman" w:hAnsi="Times New Roman" w:cs="Times New Roman"/>
          <w:kern w:val="0"/>
          <w:lang w:eastAsia="fr-BE"/>
          <w14:ligatures w14:val="none"/>
        </w:rPr>
        <w:t xml:space="preserve"> (≈ 90 %) et </w:t>
      </w:r>
      <w:r>
        <w:rPr>
          <w:rFonts w:ascii="Times New Roman" w:eastAsia="Times New Roman" w:hAnsi="Times New Roman" w:cs="Times New Roman"/>
          <w:b/>
          <w:bCs/>
          <w:kern w:val="0"/>
          <w:lang w:eastAsia="fr-BE"/>
          <w14:ligatures w14:val="none"/>
        </w:rPr>
        <w:t>proportion de prédictions réellement informatives</w:t>
      </w:r>
      <w:r>
        <w:rPr>
          <w:rFonts w:ascii="Times New Roman" w:eastAsia="Times New Roman" w:hAnsi="Times New Roman" w:cs="Times New Roman"/>
          <w:kern w:val="0"/>
          <w:lang w:eastAsia="fr-BE"/>
          <w14:ligatures w14:val="none"/>
        </w:rPr>
        <w:t xml:space="preserve"> (singletons), en particulier pour la classe des événements.</w:t>
      </w:r>
      <w:r>
        <w:rPr>
          <w:rFonts w:ascii="Times New Roman" w:hAnsi="Times New Roman" w:cs="Times New Roman"/>
        </w:rPr>
        <w:t xml:space="preserve"> </w:t>
      </w:r>
    </w:p>
    <w:p w14:paraId="255DAAAA" w14:textId="77777777" w:rsidR="00CA7084" w:rsidRDefault="005648BA">
      <w:pPr>
        <w:spacing w:beforeAutospacing="1" w:afterAutospacing="1" w:line="360" w:lineRule="auto"/>
        <w:jc w:val="both"/>
        <w:rPr>
          <w:rStyle w:val="Accentuation"/>
          <w:rFonts w:ascii="Times New Roman" w:eastAsia="Times New Roman" w:hAnsi="Times New Roman" w:cs="Times New Roman"/>
          <w:i w:val="0"/>
          <w:iCs w:val="0"/>
          <w:kern w:val="0"/>
          <w:lang w:eastAsia="fr-BE"/>
          <w14:ligatures w14:val="none"/>
        </w:rPr>
      </w:pPr>
      <w:r>
        <w:rPr>
          <w:rFonts w:ascii="Times New Roman" w:eastAsia="Times New Roman" w:hAnsi="Times New Roman" w:cs="Times New Roman"/>
          <w:kern w:val="0"/>
          <w:lang w:eastAsia="fr-BE"/>
          <w14:ligatures w14:val="none"/>
        </w:rPr>
        <w:t xml:space="preserve">Ainsi, la combinaison d’une régression logistique bien calibrée (LogReg_A2, seuil optimisé) et d’une prédiction conforme Mondrian permet de proposer, pour chaque patient, à la fois une </w:t>
      </w:r>
      <w:r>
        <w:rPr>
          <w:rFonts w:ascii="Times New Roman" w:eastAsia="Times New Roman" w:hAnsi="Times New Roman" w:cs="Times New Roman"/>
          <w:b/>
          <w:bCs/>
          <w:kern w:val="0"/>
          <w:lang w:eastAsia="fr-BE"/>
          <w14:ligatures w14:val="none"/>
        </w:rPr>
        <w:t>probabilité de risque à 10 ans</w:t>
      </w:r>
      <w:r>
        <w:rPr>
          <w:rFonts w:ascii="Times New Roman" w:eastAsia="Times New Roman" w:hAnsi="Times New Roman" w:cs="Times New Roman"/>
          <w:kern w:val="0"/>
          <w:lang w:eastAsia="fr-BE"/>
          <w14:ligatures w14:val="none"/>
        </w:rPr>
        <w:t xml:space="preserve"> et une </w:t>
      </w:r>
      <w:r>
        <w:rPr>
          <w:rFonts w:ascii="Times New Roman" w:eastAsia="Times New Roman" w:hAnsi="Times New Roman" w:cs="Times New Roman"/>
          <w:b/>
          <w:bCs/>
          <w:kern w:val="0"/>
          <w:lang w:eastAsia="fr-BE"/>
          <w14:ligatures w14:val="none"/>
        </w:rPr>
        <w:t>indication explicite de l’incertitude</w:t>
      </w:r>
      <w:r>
        <w:rPr>
          <w:rFonts w:ascii="Times New Roman" w:eastAsia="Times New Roman" w:hAnsi="Times New Roman" w:cs="Times New Roman"/>
          <w:kern w:val="0"/>
          <w:lang w:eastAsia="fr-BE"/>
          <w14:ligatures w14:val="none"/>
        </w:rPr>
        <w:t xml:space="preserve"> associée, ce qui est cohérent avec les recommandations récentes en matière de transparence et de quantification de l’incertitude dans les modèles de prédiction clinique.</w:t>
      </w:r>
    </w:p>
    <w:p w14:paraId="1568F6E1"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sz w:val="27"/>
          <w:szCs w:val="27"/>
          <w:lang w:eastAsia="fr-BE"/>
          <w14:ligatures w14:val="none"/>
        </w:rPr>
        <w:t xml:space="preserve"> Considérations éthiques et anonymisation</w:t>
      </w:r>
    </w:p>
    <w:p w14:paraId="76D3D546"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Le jeu de données utilisé est issu d’une diffusion publique de données </w:t>
      </w:r>
      <w:r>
        <w:rPr>
          <w:rFonts w:ascii="Times New Roman" w:eastAsia="Times New Roman" w:hAnsi="Times New Roman" w:cs="Times New Roman"/>
          <w:b/>
          <w:bCs/>
          <w:kern w:val="0"/>
          <w:lang w:eastAsia="fr-BE"/>
          <w14:ligatures w14:val="none"/>
        </w:rPr>
        <w:t>anonymisées</w:t>
      </w:r>
      <w:r>
        <w:rPr>
          <w:rFonts w:ascii="Times New Roman" w:eastAsia="Times New Roman" w:hAnsi="Times New Roman" w:cs="Times New Roman"/>
          <w:kern w:val="0"/>
          <w:lang w:eastAsia="fr-BE"/>
          <w14:ligatures w14:val="none"/>
        </w:rPr>
        <w:t xml:space="preserve">, sans information nominative ni identifiant directement traçable. Les analyses menées dans le cadre de ce travail s’inscrivent dans un usage secondaire de données déjà collectées, sans possibilité d’identifier individuellement les participants. Conformément aux pratiques courantes pour des jeux de données publics dérivés de Framingham, aucune approbation éthique additionnelle n’a été requise pour ce travail méthodologique. </w:t>
      </w:r>
    </w:p>
    <w:p w14:paraId="37A9DFD5" w14:textId="77777777" w:rsidR="00CA7084" w:rsidRDefault="005648BA">
      <w:pPr>
        <w:spacing w:line="360" w:lineRule="auto"/>
        <w:jc w:val="both"/>
        <w:rPr>
          <w:rFonts w:ascii="Times New Roman" w:eastAsia="Times New Roman" w:hAnsi="Times New Roman" w:cs="Times New Roman"/>
          <w:b/>
          <w:bCs/>
          <w:color w:val="45B0E1" w:themeColor="accent1" w:themeTint="99"/>
          <w:kern w:val="0"/>
          <w:lang w:eastAsia="fr-BE"/>
          <w14:ligatures w14:val="none"/>
        </w:rPr>
      </w:pPr>
      <w:r>
        <w:rPr>
          <w:rFonts w:ascii="Times New Roman" w:eastAsia="Times New Roman" w:hAnsi="Times New Roman" w:cs="Times New Roman"/>
          <w:b/>
          <w:bCs/>
          <w:color w:val="45B0E1" w:themeColor="accent1" w:themeTint="99"/>
          <w:kern w:val="0"/>
          <w:lang w:eastAsia="fr-BE"/>
          <w14:ligatures w14:val="none"/>
        </w:rPr>
        <w:t xml:space="preserve">PRESENTATION DES RESULTATS </w:t>
      </w:r>
    </w:p>
    <w:p w14:paraId="0AFCBC88" w14:textId="77777777" w:rsidR="00CA7084" w:rsidRDefault="005648BA">
      <w:pPr>
        <w:spacing w:line="360" w:lineRule="auto"/>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Description de la population d’étude</w:t>
      </w:r>
    </w:p>
    <w:p w14:paraId="1CD97231" w14:textId="77777777" w:rsidR="00CA7084" w:rsidRDefault="005648BA">
      <w:pPr>
        <w:pStyle w:val="Paragraphedeliste"/>
        <w:numPr>
          <w:ilvl w:val="0"/>
          <w:numId w:val="1"/>
        </w:numPr>
        <w:spacing w:line="360" w:lineRule="auto"/>
        <w:jc w:val="both"/>
        <w:rPr>
          <w:rFonts w:ascii="Times New Roman" w:hAnsi="Times New Roman" w:cs="Times New Roman"/>
        </w:rPr>
      </w:pPr>
      <w:r>
        <w:rPr>
          <w:rFonts w:ascii="Times New Roman" w:hAnsi="Times New Roman" w:cs="Times New Roman"/>
        </w:rPr>
        <w:t>Variables qualitatives</w:t>
      </w:r>
    </w:p>
    <w:p w14:paraId="5CFE91E6" w14:textId="77777777" w:rsidR="00CA7084" w:rsidRDefault="005648BA">
      <w:pPr>
        <w:spacing w:line="360" w:lineRule="auto"/>
        <w:jc w:val="both"/>
        <w:rPr>
          <w:rFonts w:ascii="Times New Roman" w:hAnsi="Times New Roman" w:cs="Times New Roman"/>
        </w:rPr>
      </w:pPr>
      <w:r>
        <w:rPr>
          <w:rFonts w:ascii="Times New Roman" w:hAnsi="Times New Roman" w:cs="Times New Roman"/>
        </w:rPr>
        <w:t xml:space="preserve">La cohorte comprend 4 239 participants, avec une légère majorité de femmes (57,1 %) et une proportion d’événements coronariens à dix ans de 15,2 %, ce qui confirme le caractère déséquilibré de la variable cible (classe « maladie cardiaque » minoritaire). Le niveau d’étude est globalement modéré : environ 42 % des sujets présentent une faible scolarité, alors que moins d’un tiers ont atteint un niveau secondaire et qu’environ 28 % ont un diplôme de </w:t>
      </w:r>
      <w:r>
        <w:rPr>
          <w:rFonts w:ascii="Times New Roman" w:hAnsi="Times New Roman" w:cs="Times New Roman"/>
        </w:rPr>
        <w:lastRenderedPageBreak/>
        <w:t>niveau supérieur ou universitaire. Les principaux facteurs de risque cardiovasculaire sont fréquents, avec près de 49 % de fumeurs actuels, 31 % de sujets hypertendus et 2,6 % de diabétiques. La très grande majorité des participants n’a ni antécédent d’AVC ni traitement antihypertenseur en cours, ce qui est cohérent avec une population de cohorte communautaire plutôt que hospitalière. L’ensemble de ces éléments suggère une population de risque cardiovasculaire intermédiaire, avec une charge importante de facteurs de risque classiques, ce qui en fait un support pertinent pour l’évaluation de modèles prédictifs.</w:t>
      </w:r>
    </w:p>
    <w:p w14:paraId="2D300510" w14:textId="77777777" w:rsidR="00CA7084" w:rsidRDefault="005648BA">
      <w:pPr>
        <w:spacing w:line="360" w:lineRule="auto"/>
        <w:jc w:val="both"/>
        <w:rPr>
          <w:rFonts w:ascii="Times New Roman" w:hAnsi="Times New Roman" w:cs="Times New Roman"/>
        </w:rPr>
      </w:pPr>
      <w:r>
        <w:rPr>
          <w:rFonts w:ascii="Times New Roman" w:hAnsi="Times New Roman" w:cs="Times New Roman"/>
        </w:rPr>
        <w:t>Tableau 1Caractéristiques de base de la cohorte Framingham (N = 4 239) et valeurs manquantes</w:t>
      </w:r>
    </w:p>
    <w:tbl>
      <w:tblPr>
        <w:tblStyle w:val="Grilledutableau"/>
        <w:tblW w:w="9873" w:type="dxa"/>
        <w:tblInd w:w="-856" w:type="dxa"/>
        <w:tblLayout w:type="fixed"/>
        <w:tblLook w:val="04A0" w:firstRow="1" w:lastRow="0" w:firstColumn="1" w:lastColumn="0" w:noHBand="0" w:noVBand="1"/>
      </w:tblPr>
      <w:tblGrid>
        <w:gridCol w:w="3261"/>
        <w:gridCol w:w="2267"/>
        <w:gridCol w:w="1135"/>
        <w:gridCol w:w="900"/>
        <w:gridCol w:w="2310"/>
      </w:tblGrid>
      <w:tr w:rsidR="00CA7084" w14:paraId="04E4BDDC" w14:textId="77777777">
        <w:tc>
          <w:tcPr>
            <w:tcW w:w="3261" w:type="dxa"/>
          </w:tcPr>
          <w:p w14:paraId="263F0EDB" w14:textId="77777777" w:rsidR="00CA7084" w:rsidRDefault="005648BA">
            <w:pPr>
              <w:spacing w:after="0" w:line="240" w:lineRule="auto"/>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Variable</w:t>
            </w:r>
          </w:p>
        </w:tc>
        <w:tc>
          <w:tcPr>
            <w:tcW w:w="2267" w:type="dxa"/>
          </w:tcPr>
          <w:p w14:paraId="5C29AB71" w14:textId="77777777" w:rsidR="00CA7084" w:rsidRDefault="005648BA">
            <w:pPr>
              <w:spacing w:after="0" w:line="240" w:lineRule="auto"/>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Modalités</w:t>
            </w:r>
          </w:p>
        </w:tc>
        <w:tc>
          <w:tcPr>
            <w:tcW w:w="1135" w:type="dxa"/>
          </w:tcPr>
          <w:p w14:paraId="45A2FD9E" w14:textId="77777777" w:rsidR="00CA7084" w:rsidRDefault="005648BA">
            <w:pPr>
              <w:spacing w:after="0" w:line="240" w:lineRule="auto"/>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n</w:t>
            </w:r>
          </w:p>
        </w:tc>
        <w:tc>
          <w:tcPr>
            <w:tcW w:w="900" w:type="dxa"/>
          </w:tcPr>
          <w:p w14:paraId="18E88200" w14:textId="77777777" w:rsidR="00CA7084" w:rsidRDefault="005648BA">
            <w:pPr>
              <w:spacing w:after="0" w:line="240" w:lineRule="auto"/>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w:t>
            </w:r>
          </w:p>
        </w:tc>
        <w:tc>
          <w:tcPr>
            <w:tcW w:w="2310" w:type="dxa"/>
          </w:tcPr>
          <w:p w14:paraId="2ACFE72F" w14:textId="77777777" w:rsidR="00CA7084" w:rsidRDefault="005648BA">
            <w:pPr>
              <w:spacing w:after="0" w:line="240" w:lineRule="auto"/>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Valeurs manquantes n (%)</w:t>
            </w:r>
          </w:p>
        </w:tc>
      </w:tr>
      <w:tr w:rsidR="00CA7084" w14:paraId="1B6BDAA3" w14:textId="77777777">
        <w:tc>
          <w:tcPr>
            <w:tcW w:w="3261" w:type="dxa"/>
          </w:tcPr>
          <w:p w14:paraId="565454D9"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Sexe</w:t>
            </w:r>
          </w:p>
        </w:tc>
        <w:tc>
          <w:tcPr>
            <w:tcW w:w="2267" w:type="dxa"/>
          </w:tcPr>
          <w:p w14:paraId="7C47DDF2"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Femme</w:t>
            </w:r>
          </w:p>
        </w:tc>
        <w:tc>
          <w:tcPr>
            <w:tcW w:w="1135" w:type="dxa"/>
          </w:tcPr>
          <w:p w14:paraId="6C1A9A4D"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2 419</w:t>
            </w:r>
          </w:p>
        </w:tc>
        <w:tc>
          <w:tcPr>
            <w:tcW w:w="900" w:type="dxa"/>
          </w:tcPr>
          <w:p w14:paraId="539E72E2"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57,08</w:t>
            </w:r>
          </w:p>
        </w:tc>
        <w:tc>
          <w:tcPr>
            <w:tcW w:w="2310" w:type="dxa"/>
          </w:tcPr>
          <w:p w14:paraId="00AA2C23"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r>
      <w:tr w:rsidR="00CA7084" w14:paraId="0AC68ACF" w14:textId="77777777">
        <w:tc>
          <w:tcPr>
            <w:tcW w:w="3261" w:type="dxa"/>
          </w:tcPr>
          <w:p w14:paraId="13AF613B" w14:textId="77777777" w:rsidR="00CA7084" w:rsidRDefault="00CA7084">
            <w:pPr>
              <w:spacing w:after="0" w:line="240" w:lineRule="auto"/>
              <w:rPr>
                <w:rFonts w:ascii="Times New Roman" w:eastAsia="Times New Roman" w:hAnsi="Times New Roman" w:cs="Times New Roman"/>
                <w:kern w:val="0"/>
                <w:lang w:eastAsia="fr-BE"/>
                <w14:ligatures w14:val="none"/>
              </w:rPr>
            </w:pPr>
          </w:p>
        </w:tc>
        <w:tc>
          <w:tcPr>
            <w:tcW w:w="2267" w:type="dxa"/>
          </w:tcPr>
          <w:p w14:paraId="4A31D462"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Homme</w:t>
            </w:r>
          </w:p>
        </w:tc>
        <w:tc>
          <w:tcPr>
            <w:tcW w:w="1135" w:type="dxa"/>
          </w:tcPr>
          <w:p w14:paraId="74ADA1C8"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1 819</w:t>
            </w:r>
          </w:p>
        </w:tc>
        <w:tc>
          <w:tcPr>
            <w:tcW w:w="900" w:type="dxa"/>
          </w:tcPr>
          <w:p w14:paraId="442466A6"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42,92</w:t>
            </w:r>
          </w:p>
        </w:tc>
        <w:tc>
          <w:tcPr>
            <w:tcW w:w="2310" w:type="dxa"/>
          </w:tcPr>
          <w:p w14:paraId="4382C4D9" w14:textId="77777777" w:rsidR="00CA7084" w:rsidRDefault="00CA7084">
            <w:pPr>
              <w:spacing w:after="0" w:line="240" w:lineRule="auto"/>
              <w:rPr>
                <w:rFonts w:ascii="Times New Roman" w:eastAsia="Times New Roman" w:hAnsi="Times New Roman" w:cs="Times New Roman"/>
                <w:kern w:val="0"/>
                <w:lang w:eastAsia="fr-BE"/>
                <w14:ligatures w14:val="none"/>
              </w:rPr>
            </w:pPr>
          </w:p>
        </w:tc>
      </w:tr>
      <w:tr w:rsidR="00CA7084" w14:paraId="4682B4B7" w14:textId="77777777">
        <w:tc>
          <w:tcPr>
            <w:tcW w:w="3261" w:type="dxa"/>
          </w:tcPr>
          <w:p w14:paraId="7DC7CFBB"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Niveau d’étude</w:t>
            </w:r>
          </w:p>
        </w:tc>
        <w:tc>
          <w:tcPr>
            <w:tcW w:w="2267" w:type="dxa"/>
          </w:tcPr>
          <w:p w14:paraId="75794366"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Niveau 1 : Faible scolarité</w:t>
            </w:r>
          </w:p>
        </w:tc>
        <w:tc>
          <w:tcPr>
            <w:tcW w:w="1135" w:type="dxa"/>
          </w:tcPr>
          <w:p w14:paraId="481B93AB"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1 720</w:t>
            </w:r>
          </w:p>
        </w:tc>
        <w:tc>
          <w:tcPr>
            <w:tcW w:w="900" w:type="dxa"/>
          </w:tcPr>
          <w:p w14:paraId="64FCEB73"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41,62</w:t>
            </w:r>
          </w:p>
        </w:tc>
        <w:tc>
          <w:tcPr>
            <w:tcW w:w="2310" w:type="dxa"/>
          </w:tcPr>
          <w:p w14:paraId="55E17CEF"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106 (2,50)</w:t>
            </w:r>
          </w:p>
        </w:tc>
      </w:tr>
      <w:tr w:rsidR="00CA7084" w14:paraId="21377AD5" w14:textId="77777777">
        <w:tc>
          <w:tcPr>
            <w:tcW w:w="3261" w:type="dxa"/>
          </w:tcPr>
          <w:p w14:paraId="1F5BACCB" w14:textId="77777777" w:rsidR="00CA7084" w:rsidRDefault="00CA7084">
            <w:pPr>
              <w:spacing w:after="0" w:line="240" w:lineRule="auto"/>
              <w:rPr>
                <w:rFonts w:ascii="Times New Roman" w:eastAsia="Times New Roman" w:hAnsi="Times New Roman" w:cs="Times New Roman"/>
                <w:kern w:val="0"/>
                <w:lang w:eastAsia="fr-BE"/>
                <w14:ligatures w14:val="none"/>
              </w:rPr>
            </w:pPr>
          </w:p>
        </w:tc>
        <w:tc>
          <w:tcPr>
            <w:tcW w:w="2267" w:type="dxa"/>
          </w:tcPr>
          <w:p w14:paraId="1B00B932"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Niveau 2 : Secondaire</w:t>
            </w:r>
          </w:p>
        </w:tc>
        <w:tc>
          <w:tcPr>
            <w:tcW w:w="1135" w:type="dxa"/>
          </w:tcPr>
          <w:p w14:paraId="05CD77A7"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1 253</w:t>
            </w:r>
          </w:p>
        </w:tc>
        <w:tc>
          <w:tcPr>
            <w:tcW w:w="900" w:type="dxa"/>
          </w:tcPr>
          <w:p w14:paraId="3673F5E5"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30,32</w:t>
            </w:r>
          </w:p>
        </w:tc>
        <w:tc>
          <w:tcPr>
            <w:tcW w:w="2310" w:type="dxa"/>
          </w:tcPr>
          <w:p w14:paraId="19AD1CD3" w14:textId="77777777" w:rsidR="00CA7084" w:rsidRDefault="00CA7084">
            <w:pPr>
              <w:spacing w:after="0" w:line="240" w:lineRule="auto"/>
              <w:rPr>
                <w:rFonts w:ascii="Times New Roman" w:eastAsia="Times New Roman" w:hAnsi="Times New Roman" w:cs="Times New Roman"/>
                <w:kern w:val="0"/>
                <w:lang w:eastAsia="fr-BE"/>
                <w14:ligatures w14:val="none"/>
              </w:rPr>
            </w:pPr>
          </w:p>
        </w:tc>
      </w:tr>
      <w:tr w:rsidR="00CA7084" w14:paraId="2C4D22AC" w14:textId="77777777">
        <w:tc>
          <w:tcPr>
            <w:tcW w:w="3261" w:type="dxa"/>
          </w:tcPr>
          <w:p w14:paraId="68700F59" w14:textId="77777777" w:rsidR="00CA7084" w:rsidRDefault="00CA7084">
            <w:pPr>
              <w:spacing w:after="0" w:line="240" w:lineRule="auto"/>
              <w:rPr>
                <w:rFonts w:ascii="Times New Roman" w:eastAsia="Times New Roman" w:hAnsi="Times New Roman" w:cs="Times New Roman"/>
                <w:kern w:val="0"/>
                <w:sz w:val="20"/>
                <w:szCs w:val="20"/>
                <w:lang w:eastAsia="fr-BE"/>
                <w14:ligatures w14:val="none"/>
              </w:rPr>
            </w:pPr>
          </w:p>
        </w:tc>
        <w:tc>
          <w:tcPr>
            <w:tcW w:w="2267" w:type="dxa"/>
          </w:tcPr>
          <w:p w14:paraId="2E09BE99"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Niveau 3 : Supérieur (Bachelor)</w:t>
            </w:r>
          </w:p>
        </w:tc>
        <w:tc>
          <w:tcPr>
            <w:tcW w:w="1135" w:type="dxa"/>
          </w:tcPr>
          <w:p w14:paraId="46E1B153"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687</w:t>
            </w:r>
          </w:p>
        </w:tc>
        <w:tc>
          <w:tcPr>
            <w:tcW w:w="900" w:type="dxa"/>
          </w:tcPr>
          <w:p w14:paraId="5B5C8A67"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16,62</w:t>
            </w:r>
          </w:p>
        </w:tc>
        <w:tc>
          <w:tcPr>
            <w:tcW w:w="2310" w:type="dxa"/>
          </w:tcPr>
          <w:p w14:paraId="083675AD" w14:textId="77777777" w:rsidR="00CA7084" w:rsidRDefault="00CA7084">
            <w:pPr>
              <w:spacing w:after="0" w:line="240" w:lineRule="auto"/>
              <w:rPr>
                <w:rFonts w:ascii="Times New Roman" w:eastAsia="Times New Roman" w:hAnsi="Times New Roman" w:cs="Times New Roman"/>
                <w:kern w:val="0"/>
                <w:lang w:eastAsia="fr-BE"/>
                <w14:ligatures w14:val="none"/>
              </w:rPr>
            </w:pPr>
          </w:p>
        </w:tc>
      </w:tr>
      <w:tr w:rsidR="00CA7084" w14:paraId="46033C22" w14:textId="77777777">
        <w:tc>
          <w:tcPr>
            <w:tcW w:w="3261" w:type="dxa"/>
          </w:tcPr>
          <w:p w14:paraId="2637FC80" w14:textId="77777777" w:rsidR="00CA7084" w:rsidRDefault="00CA7084">
            <w:pPr>
              <w:spacing w:after="0" w:line="240" w:lineRule="auto"/>
              <w:rPr>
                <w:rFonts w:ascii="Times New Roman" w:eastAsia="Times New Roman" w:hAnsi="Times New Roman" w:cs="Times New Roman"/>
                <w:kern w:val="0"/>
                <w:sz w:val="20"/>
                <w:szCs w:val="20"/>
                <w:lang w:eastAsia="fr-BE"/>
                <w14:ligatures w14:val="none"/>
              </w:rPr>
            </w:pPr>
          </w:p>
        </w:tc>
        <w:tc>
          <w:tcPr>
            <w:tcW w:w="2267" w:type="dxa"/>
          </w:tcPr>
          <w:p w14:paraId="4CDE7013"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Niveau 4 : Universitaire (Master+)</w:t>
            </w:r>
          </w:p>
        </w:tc>
        <w:tc>
          <w:tcPr>
            <w:tcW w:w="1135" w:type="dxa"/>
          </w:tcPr>
          <w:p w14:paraId="0C7E5DE0"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473</w:t>
            </w:r>
          </w:p>
        </w:tc>
        <w:tc>
          <w:tcPr>
            <w:tcW w:w="900" w:type="dxa"/>
          </w:tcPr>
          <w:p w14:paraId="66E40D19"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11,44</w:t>
            </w:r>
          </w:p>
        </w:tc>
        <w:tc>
          <w:tcPr>
            <w:tcW w:w="2310" w:type="dxa"/>
          </w:tcPr>
          <w:p w14:paraId="55D77729" w14:textId="77777777" w:rsidR="00CA7084" w:rsidRDefault="00CA7084">
            <w:pPr>
              <w:spacing w:after="0" w:line="240" w:lineRule="auto"/>
              <w:rPr>
                <w:rFonts w:ascii="Times New Roman" w:eastAsia="Times New Roman" w:hAnsi="Times New Roman" w:cs="Times New Roman"/>
                <w:kern w:val="0"/>
                <w:lang w:eastAsia="fr-BE"/>
                <w14:ligatures w14:val="none"/>
              </w:rPr>
            </w:pPr>
          </w:p>
        </w:tc>
      </w:tr>
      <w:tr w:rsidR="00CA7084" w14:paraId="5250708C" w14:textId="77777777">
        <w:tc>
          <w:tcPr>
            <w:tcW w:w="3261" w:type="dxa"/>
          </w:tcPr>
          <w:p w14:paraId="0526AED6"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Fumeur</w:t>
            </w:r>
          </w:p>
        </w:tc>
        <w:tc>
          <w:tcPr>
            <w:tcW w:w="2267" w:type="dxa"/>
          </w:tcPr>
          <w:p w14:paraId="380DE9FC"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Non-fumeur</w:t>
            </w:r>
          </w:p>
        </w:tc>
        <w:tc>
          <w:tcPr>
            <w:tcW w:w="1135" w:type="dxa"/>
          </w:tcPr>
          <w:p w14:paraId="08D642C4"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2 144</w:t>
            </w:r>
          </w:p>
        </w:tc>
        <w:tc>
          <w:tcPr>
            <w:tcW w:w="900" w:type="dxa"/>
          </w:tcPr>
          <w:p w14:paraId="1ECC00FE"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50,59</w:t>
            </w:r>
          </w:p>
        </w:tc>
        <w:tc>
          <w:tcPr>
            <w:tcW w:w="2310" w:type="dxa"/>
          </w:tcPr>
          <w:p w14:paraId="134ED510"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r>
      <w:tr w:rsidR="00CA7084" w14:paraId="1C3FD599" w14:textId="77777777">
        <w:tc>
          <w:tcPr>
            <w:tcW w:w="3261" w:type="dxa"/>
          </w:tcPr>
          <w:p w14:paraId="72FA8B5D" w14:textId="77777777" w:rsidR="00CA7084" w:rsidRDefault="00CA7084">
            <w:pPr>
              <w:spacing w:after="0" w:line="240" w:lineRule="auto"/>
              <w:rPr>
                <w:rFonts w:ascii="Times New Roman" w:eastAsia="Times New Roman" w:hAnsi="Times New Roman" w:cs="Times New Roman"/>
                <w:kern w:val="0"/>
                <w:lang w:eastAsia="fr-BE"/>
                <w14:ligatures w14:val="none"/>
              </w:rPr>
            </w:pPr>
          </w:p>
        </w:tc>
        <w:tc>
          <w:tcPr>
            <w:tcW w:w="2267" w:type="dxa"/>
          </w:tcPr>
          <w:p w14:paraId="10C16D31"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Fumeur</w:t>
            </w:r>
          </w:p>
        </w:tc>
        <w:tc>
          <w:tcPr>
            <w:tcW w:w="1135" w:type="dxa"/>
          </w:tcPr>
          <w:p w14:paraId="6786B4C2"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2 094</w:t>
            </w:r>
          </w:p>
        </w:tc>
        <w:tc>
          <w:tcPr>
            <w:tcW w:w="900" w:type="dxa"/>
          </w:tcPr>
          <w:p w14:paraId="35D16D04"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49,41</w:t>
            </w:r>
          </w:p>
        </w:tc>
        <w:tc>
          <w:tcPr>
            <w:tcW w:w="2310" w:type="dxa"/>
          </w:tcPr>
          <w:p w14:paraId="3E4FF391" w14:textId="77777777" w:rsidR="00CA7084" w:rsidRDefault="00CA7084">
            <w:pPr>
              <w:spacing w:after="0" w:line="240" w:lineRule="auto"/>
              <w:rPr>
                <w:rFonts w:ascii="Times New Roman" w:eastAsia="Times New Roman" w:hAnsi="Times New Roman" w:cs="Times New Roman"/>
                <w:kern w:val="0"/>
                <w:lang w:eastAsia="fr-BE"/>
                <w14:ligatures w14:val="none"/>
              </w:rPr>
            </w:pPr>
          </w:p>
        </w:tc>
      </w:tr>
      <w:tr w:rsidR="00CA7084" w14:paraId="7EDDD5D2" w14:textId="77777777">
        <w:tc>
          <w:tcPr>
            <w:tcW w:w="3261" w:type="dxa"/>
          </w:tcPr>
          <w:p w14:paraId="57F212D7"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Traitement antihypertenseur</w:t>
            </w:r>
          </w:p>
        </w:tc>
        <w:tc>
          <w:tcPr>
            <w:tcW w:w="2267" w:type="dxa"/>
          </w:tcPr>
          <w:p w14:paraId="7CC9AE26"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Non</w:t>
            </w:r>
          </w:p>
        </w:tc>
        <w:tc>
          <w:tcPr>
            <w:tcW w:w="1135" w:type="dxa"/>
          </w:tcPr>
          <w:p w14:paraId="602AE528"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4 061</w:t>
            </w:r>
          </w:p>
        </w:tc>
        <w:tc>
          <w:tcPr>
            <w:tcW w:w="900" w:type="dxa"/>
          </w:tcPr>
          <w:p w14:paraId="68A62B63"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97,04</w:t>
            </w:r>
          </w:p>
        </w:tc>
        <w:tc>
          <w:tcPr>
            <w:tcW w:w="2310" w:type="dxa"/>
          </w:tcPr>
          <w:p w14:paraId="49DB5878"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54 (1,27)</w:t>
            </w:r>
          </w:p>
        </w:tc>
      </w:tr>
      <w:tr w:rsidR="00CA7084" w14:paraId="5B67081F" w14:textId="77777777">
        <w:tc>
          <w:tcPr>
            <w:tcW w:w="3261" w:type="dxa"/>
          </w:tcPr>
          <w:p w14:paraId="1F60DE84" w14:textId="77777777" w:rsidR="00CA7084" w:rsidRDefault="00CA7084">
            <w:pPr>
              <w:spacing w:after="0" w:line="240" w:lineRule="auto"/>
              <w:rPr>
                <w:rFonts w:ascii="Times New Roman" w:eastAsia="Times New Roman" w:hAnsi="Times New Roman" w:cs="Times New Roman"/>
                <w:kern w:val="0"/>
                <w:lang w:eastAsia="fr-BE"/>
                <w14:ligatures w14:val="none"/>
              </w:rPr>
            </w:pPr>
          </w:p>
        </w:tc>
        <w:tc>
          <w:tcPr>
            <w:tcW w:w="2267" w:type="dxa"/>
          </w:tcPr>
          <w:p w14:paraId="62451FEE"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Oui</w:t>
            </w:r>
          </w:p>
        </w:tc>
        <w:tc>
          <w:tcPr>
            <w:tcW w:w="1135" w:type="dxa"/>
          </w:tcPr>
          <w:p w14:paraId="10E6CD39"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124</w:t>
            </w:r>
          </w:p>
        </w:tc>
        <w:tc>
          <w:tcPr>
            <w:tcW w:w="900" w:type="dxa"/>
          </w:tcPr>
          <w:p w14:paraId="015BBC6F"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2,96</w:t>
            </w:r>
          </w:p>
        </w:tc>
        <w:tc>
          <w:tcPr>
            <w:tcW w:w="2310" w:type="dxa"/>
          </w:tcPr>
          <w:p w14:paraId="37588EB2" w14:textId="77777777" w:rsidR="00CA7084" w:rsidRDefault="00CA7084">
            <w:pPr>
              <w:spacing w:after="0" w:line="240" w:lineRule="auto"/>
              <w:rPr>
                <w:rFonts w:ascii="Times New Roman" w:eastAsia="Times New Roman" w:hAnsi="Times New Roman" w:cs="Times New Roman"/>
                <w:kern w:val="0"/>
                <w:lang w:eastAsia="fr-BE"/>
                <w14:ligatures w14:val="none"/>
              </w:rPr>
            </w:pPr>
          </w:p>
        </w:tc>
      </w:tr>
      <w:tr w:rsidR="00CA7084" w14:paraId="7A247383" w14:textId="77777777">
        <w:tc>
          <w:tcPr>
            <w:tcW w:w="3261" w:type="dxa"/>
          </w:tcPr>
          <w:p w14:paraId="1AAF812E"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Antécédent d’AVC</w:t>
            </w:r>
          </w:p>
        </w:tc>
        <w:tc>
          <w:tcPr>
            <w:tcW w:w="2267" w:type="dxa"/>
          </w:tcPr>
          <w:p w14:paraId="59FB751C"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Non</w:t>
            </w:r>
          </w:p>
        </w:tc>
        <w:tc>
          <w:tcPr>
            <w:tcW w:w="1135" w:type="dxa"/>
          </w:tcPr>
          <w:p w14:paraId="1EC8A43E"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4 213</w:t>
            </w:r>
          </w:p>
        </w:tc>
        <w:tc>
          <w:tcPr>
            <w:tcW w:w="900" w:type="dxa"/>
          </w:tcPr>
          <w:p w14:paraId="125195AC"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99,41</w:t>
            </w:r>
          </w:p>
        </w:tc>
        <w:tc>
          <w:tcPr>
            <w:tcW w:w="2310" w:type="dxa"/>
          </w:tcPr>
          <w:p w14:paraId="5EE7B555"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r>
      <w:tr w:rsidR="00CA7084" w14:paraId="38F069E3" w14:textId="77777777">
        <w:tc>
          <w:tcPr>
            <w:tcW w:w="3261" w:type="dxa"/>
          </w:tcPr>
          <w:p w14:paraId="63706F89" w14:textId="77777777" w:rsidR="00CA7084" w:rsidRDefault="00CA7084">
            <w:pPr>
              <w:spacing w:after="0" w:line="240" w:lineRule="auto"/>
              <w:rPr>
                <w:rFonts w:ascii="Times New Roman" w:eastAsia="Times New Roman" w:hAnsi="Times New Roman" w:cs="Times New Roman"/>
                <w:kern w:val="0"/>
                <w:lang w:eastAsia="fr-BE"/>
                <w14:ligatures w14:val="none"/>
              </w:rPr>
            </w:pPr>
          </w:p>
        </w:tc>
        <w:tc>
          <w:tcPr>
            <w:tcW w:w="2267" w:type="dxa"/>
          </w:tcPr>
          <w:p w14:paraId="6B73B9DA"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Oui</w:t>
            </w:r>
          </w:p>
        </w:tc>
        <w:tc>
          <w:tcPr>
            <w:tcW w:w="1135" w:type="dxa"/>
          </w:tcPr>
          <w:p w14:paraId="51ADCD4A"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25</w:t>
            </w:r>
          </w:p>
        </w:tc>
        <w:tc>
          <w:tcPr>
            <w:tcW w:w="900" w:type="dxa"/>
          </w:tcPr>
          <w:p w14:paraId="13A97BB5"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0,59</w:t>
            </w:r>
          </w:p>
        </w:tc>
        <w:tc>
          <w:tcPr>
            <w:tcW w:w="2310" w:type="dxa"/>
          </w:tcPr>
          <w:p w14:paraId="67FB90D7" w14:textId="77777777" w:rsidR="00CA7084" w:rsidRDefault="00CA7084">
            <w:pPr>
              <w:spacing w:after="0" w:line="240" w:lineRule="auto"/>
              <w:rPr>
                <w:rFonts w:ascii="Times New Roman" w:eastAsia="Times New Roman" w:hAnsi="Times New Roman" w:cs="Times New Roman"/>
                <w:kern w:val="0"/>
                <w:lang w:eastAsia="fr-BE"/>
                <w14:ligatures w14:val="none"/>
              </w:rPr>
            </w:pPr>
          </w:p>
        </w:tc>
      </w:tr>
      <w:tr w:rsidR="00CA7084" w14:paraId="2DC5837F" w14:textId="77777777">
        <w:tc>
          <w:tcPr>
            <w:tcW w:w="3261" w:type="dxa"/>
          </w:tcPr>
          <w:p w14:paraId="7A1B04E0"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Hypertension</w:t>
            </w:r>
          </w:p>
        </w:tc>
        <w:tc>
          <w:tcPr>
            <w:tcW w:w="2267" w:type="dxa"/>
          </w:tcPr>
          <w:p w14:paraId="7996F64A"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Non</w:t>
            </w:r>
          </w:p>
        </w:tc>
        <w:tc>
          <w:tcPr>
            <w:tcW w:w="1135" w:type="dxa"/>
          </w:tcPr>
          <w:p w14:paraId="2F736AE5"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2 922</w:t>
            </w:r>
          </w:p>
        </w:tc>
        <w:tc>
          <w:tcPr>
            <w:tcW w:w="900" w:type="dxa"/>
          </w:tcPr>
          <w:p w14:paraId="79D8B053"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68,95</w:t>
            </w:r>
          </w:p>
        </w:tc>
        <w:tc>
          <w:tcPr>
            <w:tcW w:w="2310" w:type="dxa"/>
          </w:tcPr>
          <w:p w14:paraId="08F157E4"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r>
      <w:tr w:rsidR="00CA7084" w14:paraId="273755DF" w14:textId="77777777">
        <w:tc>
          <w:tcPr>
            <w:tcW w:w="3261" w:type="dxa"/>
          </w:tcPr>
          <w:p w14:paraId="0D52656C" w14:textId="77777777" w:rsidR="00CA7084" w:rsidRDefault="00CA7084">
            <w:pPr>
              <w:spacing w:after="0" w:line="240" w:lineRule="auto"/>
              <w:rPr>
                <w:rFonts w:ascii="Times New Roman" w:eastAsia="Times New Roman" w:hAnsi="Times New Roman" w:cs="Times New Roman"/>
                <w:kern w:val="0"/>
                <w:lang w:eastAsia="fr-BE"/>
                <w14:ligatures w14:val="none"/>
              </w:rPr>
            </w:pPr>
          </w:p>
        </w:tc>
        <w:tc>
          <w:tcPr>
            <w:tcW w:w="2267" w:type="dxa"/>
          </w:tcPr>
          <w:p w14:paraId="2D09A23F"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Oui</w:t>
            </w:r>
          </w:p>
        </w:tc>
        <w:tc>
          <w:tcPr>
            <w:tcW w:w="1135" w:type="dxa"/>
          </w:tcPr>
          <w:p w14:paraId="65A225B3"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1 316</w:t>
            </w:r>
          </w:p>
        </w:tc>
        <w:tc>
          <w:tcPr>
            <w:tcW w:w="900" w:type="dxa"/>
          </w:tcPr>
          <w:p w14:paraId="188D2390"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31,05</w:t>
            </w:r>
          </w:p>
        </w:tc>
        <w:tc>
          <w:tcPr>
            <w:tcW w:w="2310" w:type="dxa"/>
          </w:tcPr>
          <w:p w14:paraId="799A157D" w14:textId="77777777" w:rsidR="00CA7084" w:rsidRDefault="00CA7084">
            <w:pPr>
              <w:spacing w:after="0" w:line="240" w:lineRule="auto"/>
              <w:rPr>
                <w:rFonts w:ascii="Times New Roman" w:eastAsia="Times New Roman" w:hAnsi="Times New Roman" w:cs="Times New Roman"/>
                <w:kern w:val="0"/>
                <w:lang w:eastAsia="fr-BE"/>
                <w14:ligatures w14:val="none"/>
              </w:rPr>
            </w:pPr>
          </w:p>
        </w:tc>
      </w:tr>
      <w:tr w:rsidR="00CA7084" w14:paraId="38265895" w14:textId="77777777">
        <w:tc>
          <w:tcPr>
            <w:tcW w:w="3261" w:type="dxa"/>
          </w:tcPr>
          <w:p w14:paraId="10E6106D"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Diabète</w:t>
            </w:r>
          </w:p>
        </w:tc>
        <w:tc>
          <w:tcPr>
            <w:tcW w:w="2267" w:type="dxa"/>
          </w:tcPr>
          <w:p w14:paraId="6510D2DA"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Non</w:t>
            </w:r>
          </w:p>
        </w:tc>
        <w:tc>
          <w:tcPr>
            <w:tcW w:w="1135" w:type="dxa"/>
          </w:tcPr>
          <w:p w14:paraId="5175EA4F"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4 129</w:t>
            </w:r>
          </w:p>
        </w:tc>
        <w:tc>
          <w:tcPr>
            <w:tcW w:w="900" w:type="dxa"/>
          </w:tcPr>
          <w:p w14:paraId="33AAAEDE"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97,43</w:t>
            </w:r>
          </w:p>
        </w:tc>
        <w:tc>
          <w:tcPr>
            <w:tcW w:w="2310" w:type="dxa"/>
          </w:tcPr>
          <w:p w14:paraId="36035024"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r>
      <w:tr w:rsidR="00CA7084" w14:paraId="113B811F" w14:textId="77777777">
        <w:tc>
          <w:tcPr>
            <w:tcW w:w="3261" w:type="dxa"/>
          </w:tcPr>
          <w:p w14:paraId="32212E5C" w14:textId="77777777" w:rsidR="00CA7084" w:rsidRDefault="00CA7084">
            <w:pPr>
              <w:spacing w:after="0" w:line="240" w:lineRule="auto"/>
              <w:rPr>
                <w:rFonts w:ascii="Times New Roman" w:eastAsia="Times New Roman" w:hAnsi="Times New Roman" w:cs="Times New Roman"/>
                <w:kern w:val="0"/>
                <w:lang w:eastAsia="fr-BE"/>
                <w14:ligatures w14:val="none"/>
              </w:rPr>
            </w:pPr>
          </w:p>
        </w:tc>
        <w:tc>
          <w:tcPr>
            <w:tcW w:w="2267" w:type="dxa"/>
          </w:tcPr>
          <w:p w14:paraId="3DFC5E48"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Oui</w:t>
            </w:r>
          </w:p>
        </w:tc>
        <w:tc>
          <w:tcPr>
            <w:tcW w:w="1135" w:type="dxa"/>
          </w:tcPr>
          <w:p w14:paraId="15B9C85A"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109</w:t>
            </w:r>
          </w:p>
        </w:tc>
        <w:tc>
          <w:tcPr>
            <w:tcW w:w="900" w:type="dxa"/>
          </w:tcPr>
          <w:p w14:paraId="1347D028"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2,57</w:t>
            </w:r>
          </w:p>
        </w:tc>
        <w:tc>
          <w:tcPr>
            <w:tcW w:w="2310" w:type="dxa"/>
          </w:tcPr>
          <w:p w14:paraId="45094F7E" w14:textId="77777777" w:rsidR="00CA7084" w:rsidRDefault="00CA7084">
            <w:pPr>
              <w:spacing w:after="0" w:line="240" w:lineRule="auto"/>
              <w:rPr>
                <w:rFonts w:ascii="Times New Roman" w:eastAsia="Times New Roman" w:hAnsi="Times New Roman" w:cs="Times New Roman"/>
                <w:kern w:val="0"/>
                <w:lang w:eastAsia="fr-BE"/>
                <w14:ligatures w14:val="none"/>
              </w:rPr>
            </w:pPr>
          </w:p>
        </w:tc>
      </w:tr>
      <w:tr w:rsidR="00CA7084" w14:paraId="7916CBBA" w14:textId="77777777">
        <w:tc>
          <w:tcPr>
            <w:tcW w:w="3261" w:type="dxa"/>
          </w:tcPr>
          <w:p w14:paraId="32D54EC4"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Maladie cardiaque à 10 ans</w:t>
            </w:r>
          </w:p>
        </w:tc>
        <w:tc>
          <w:tcPr>
            <w:tcW w:w="2267" w:type="dxa"/>
          </w:tcPr>
          <w:p w14:paraId="3C3B7A23"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Non</w:t>
            </w:r>
          </w:p>
        </w:tc>
        <w:tc>
          <w:tcPr>
            <w:tcW w:w="1135" w:type="dxa"/>
          </w:tcPr>
          <w:p w14:paraId="50C96EC0"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3 594</w:t>
            </w:r>
          </w:p>
        </w:tc>
        <w:tc>
          <w:tcPr>
            <w:tcW w:w="900" w:type="dxa"/>
          </w:tcPr>
          <w:p w14:paraId="5AAA9404"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84,80</w:t>
            </w:r>
          </w:p>
        </w:tc>
        <w:tc>
          <w:tcPr>
            <w:tcW w:w="2310" w:type="dxa"/>
          </w:tcPr>
          <w:p w14:paraId="5CFD363E"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r>
      <w:tr w:rsidR="00CA7084" w14:paraId="36578E35" w14:textId="77777777">
        <w:tc>
          <w:tcPr>
            <w:tcW w:w="3261" w:type="dxa"/>
          </w:tcPr>
          <w:p w14:paraId="7A928B4A" w14:textId="77777777" w:rsidR="00CA7084" w:rsidRDefault="00CA7084">
            <w:pPr>
              <w:spacing w:after="0" w:line="240" w:lineRule="auto"/>
              <w:rPr>
                <w:rFonts w:ascii="Times New Roman" w:eastAsia="Times New Roman" w:hAnsi="Times New Roman" w:cs="Times New Roman"/>
                <w:kern w:val="0"/>
                <w:lang w:eastAsia="fr-BE"/>
                <w14:ligatures w14:val="none"/>
              </w:rPr>
            </w:pPr>
          </w:p>
        </w:tc>
        <w:tc>
          <w:tcPr>
            <w:tcW w:w="2267" w:type="dxa"/>
          </w:tcPr>
          <w:p w14:paraId="62F6854D"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Oui</w:t>
            </w:r>
          </w:p>
        </w:tc>
        <w:tc>
          <w:tcPr>
            <w:tcW w:w="1135" w:type="dxa"/>
          </w:tcPr>
          <w:p w14:paraId="2664B8B6"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644</w:t>
            </w:r>
          </w:p>
        </w:tc>
        <w:tc>
          <w:tcPr>
            <w:tcW w:w="900" w:type="dxa"/>
          </w:tcPr>
          <w:p w14:paraId="010EDA83"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15,20</w:t>
            </w:r>
          </w:p>
        </w:tc>
        <w:tc>
          <w:tcPr>
            <w:tcW w:w="2310" w:type="dxa"/>
          </w:tcPr>
          <w:p w14:paraId="31E19681" w14:textId="77777777" w:rsidR="00CA7084" w:rsidRDefault="00CA7084">
            <w:pPr>
              <w:spacing w:after="0" w:line="240" w:lineRule="auto"/>
              <w:rPr>
                <w:rFonts w:ascii="Times New Roman" w:eastAsia="Times New Roman" w:hAnsi="Times New Roman" w:cs="Times New Roman"/>
                <w:kern w:val="0"/>
                <w:lang w:eastAsia="fr-BE"/>
                <w14:ligatures w14:val="none"/>
              </w:rPr>
            </w:pPr>
          </w:p>
        </w:tc>
      </w:tr>
    </w:tbl>
    <w:p w14:paraId="57F76733" w14:textId="77777777" w:rsidR="00CA7084" w:rsidRDefault="00CA7084">
      <w:pPr>
        <w:spacing w:line="360" w:lineRule="auto"/>
        <w:jc w:val="both"/>
        <w:rPr>
          <w:rFonts w:ascii="Times New Roman" w:eastAsia="Times New Roman" w:hAnsi="Times New Roman" w:cs="Times New Roman"/>
          <w:b/>
          <w:bCs/>
          <w:kern w:val="0"/>
          <w:u w:val="single"/>
          <w:lang w:eastAsia="fr-BE"/>
          <w14:ligatures w14:val="none"/>
        </w:rPr>
      </w:pPr>
    </w:p>
    <w:p w14:paraId="493EECE3" w14:textId="77777777" w:rsidR="00CA7084" w:rsidRDefault="005648BA">
      <w:pPr>
        <w:pStyle w:val="Paragraphedeliste"/>
        <w:numPr>
          <w:ilvl w:val="0"/>
          <w:numId w:val="1"/>
        </w:numPr>
        <w:spacing w:line="360" w:lineRule="auto"/>
        <w:jc w:val="both"/>
        <w:rPr>
          <w:rFonts w:ascii="Times New Roman" w:hAnsi="Times New Roman" w:cs="Times New Roman"/>
          <w:b/>
          <w:bCs/>
        </w:rPr>
      </w:pPr>
      <w:r>
        <w:rPr>
          <w:rFonts w:ascii="Times New Roman" w:hAnsi="Times New Roman" w:cs="Times New Roman"/>
          <w:b/>
          <w:bCs/>
        </w:rPr>
        <w:t>Variables quantitatives</w:t>
      </w:r>
    </w:p>
    <w:p w14:paraId="0E12A6BF" w14:textId="77777777" w:rsidR="00CA7084" w:rsidRDefault="005648BA">
      <w:pPr>
        <w:spacing w:line="360" w:lineRule="auto"/>
        <w:jc w:val="both"/>
        <w:rPr>
          <w:rFonts w:ascii="Times New Roman" w:hAnsi="Times New Roman" w:cs="Times New Roman"/>
        </w:rPr>
      </w:pPr>
      <w:r>
        <w:rPr>
          <w:rFonts w:ascii="Times New Roman" w:hAnsi="Times New Roman" w:cs="Times New Roman"/>
        </w:rPr>
        <w:t xml:space="preserve">Les variables quantitatives montrent un profil compatible avec une population d’âge moyen : l’âge moyen est de 49,6 ans (ET 8,6), et la distribution de l’IMC (moyenne 25,8 kg/m²) correspond à un surpoids modéré en moyenne. Les valeurs de tension artérielle (moyenne 132/83 mmHg) et de cholestérol total (moyenne 236,7 mg/dL) indiquent un niveau de risque </w:t>
      </w:r>
      <w:r>
        <w:rPr>
          <w:rFonts w:ascii="Times New Roman" w:hAnsi="Times New Roman" w:cs="Times New Roman"/>
        </w:rPr>
        <w:lastRenderedPageBreak/>
        <w:t>cardiovasculaire non négligeable, en cohérence avec la prévalence observée d’hypertension et de tabagisme. La fréquence cardiaque au repos (≈ 76 bpm) et les niveaux moyens de glucose restent globalement compatibles avec une cohorte en population générale.</w:t>
      </w:r>
      <w:r>
        <w:rPr>
          <w:rFonts w:ascii="Times New Roman" w:hAnsi="Times New Roman" w:cs="Times New Roman"/>
        </w:rPr>
        <w:br/>
        <w:t xml:space="preserve">La quantité de valeurs manquantes est globalement faible pour la plupart des variables (souvent &lt; 2 %), ce qui limite le risque de perte d’information. En revanche, la variable </w:t>
      </w:r>
      <w:r>
        <w:rPr>
          <w:rStyle w:val="Accentuation"/>
          <w:rFonts w:ascii="Times New Roman" w:hAnsi="Times New Roman" w:cs="Times New Roman"/>
        </w:rPr>
        <w:t>glucose</w:t>
      </w:r>
      <w:r>
        <w:rPr>
          <w:rFonts w:ascii="Times New Roman" w:hAnsi="Times New Roman" w:cs="Times New Roman"/>
        </w:rPr>
        <w:t xml:space="preserve"> présente environ 9,2 % de données manquantes, et quelques prédicteurs présentent des manquances ponctuelles. Ce profil de manquance justifie le recours à une stratégie d’imputation multivariée structurée (MICE), plutôt qu’à une simple analyse en cas complets, afin de préserver la taille de l’échantillon et de limiter les biais potentiels.</w:t>
      </w:r>
    </w:p>
    <w:p w14:paraId="7C939E89" w14:textId="77777777" w:rsidR="00CA7084" w:rsidRDefault="005648BA">
      <w:pPr>
        <w:spacing w:line="360" w:lineRule="auto"/>
        <w:jc w:val="both"/>
        <w:rPr>
          <w:b/>
          <w:bCs/>
          <w:color w:val="C9211E"/>
          <w:shd w:val="clear" w:color="auto" w:fill="FFFF00"/>
        </w:rPr>
      </w:pPr>
      <w:r>
        <w:rPr>
          <w:rFonts w:ascii="Times New Roman" w:hAnsi="Times New Roman" w:cs="Times New Roman"/>
          <w:b/>
          <w:bCs/>
          <w:color w:val="C9211E"/>
          <w:shd w:val="clear" w:color="auto" w:fill="FFFF00"/>
        </w:rPr>
        <w:t>pour les resulats mettre en gras a chaque le meilleur algo</w:t>
      </w:r>
    </w:p>
    <w:tbl>
      <w:tblPr>
        <w:tblStyle w:val="Grilledutableau"/>
        <w:tblW w:w="10349" w:type="dxa"/>
        <w:tblInd w:w="-431" w:type="dxa"/>
        <w:tblLayout w:type="fixed"/>
        <w:tblLook w:val="04A0" w:firstRow="1" w:lastRow="0" w:firstColumn="1" w:lastColumn="0" w:noHBand="0" w:noVBand="1"/>
      </w:tblPr>
      <w:tblGrid>
        <w:gridCol w:w="2975"/>
        <w:gridCol w:w="695"/>
        <w:gridCol w:w="2483"/>
        <w:gridCol w:w="1545"/>
        <w:gridCol w:w="2651"/>
      </w:tblGrid>
      <w:tr w:rsidR="00CA7084" w14:paraId="16DFE069" w14:textId="77777777">
        <w:tc>
          <w:tcPr>
            <w:tcW w:w="2975" w:type="dxa"/>
          </w:tcPr>
          <w:p w14:paraId="4635F3F7" w14:textId="77777777" w:rsidR="00CA7084" w:rsidRDefault="005648BA">
            <w:pPr>
              <w:spacing w:after="0" w:line="240" w:lineRule="auto"/>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Variable</w:t>
            </w:r>
          </w:p>
        </w:tc>
        <w:tc>
          <w:tcPr>
            <w:tcW w:w="695" w:type="dxa"/>
          </w:tcPr>
          <w:p w14:paraId="1EDD30DC" w14:textId="77777777" w:rsidR="00CA7084" w:rsidRDefault="005648BA">
            <w:pPr>
              <w:spacing w:after="0" w:line="240" w:lineRule="auto"/>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n</w:t>
            </w:r>
          </w:p>
        </w:tc>
        <w:tc>
          <w:tcPr>
            <w:tcW w:w="2483" w:type="dxa"/>
          </w:tcPr>
          <w:p w14:paraId="26A83181" w14:textId="77777777" w:rsidR="00CA7084" w:rsidRDefault="005648BA">
            <w:pPr>
              <w:spacing w:after="0" w:line="240" w:lineRule="auto"/>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Valeurs manquantes n (%)</w:t>
            </w:r>
          </w:p>
        </w:tc>
        <w:tc>
          <w:tcPr>
            <w:tcW w:w="1545" w:type="dxa"/>
          </w:tcPr>
          <w:p w14:paraId="1D7FE394" w14:textId="77777777" w:rsidR="00CA7084" w:rsidRDefault="005648BA">
            <w:pPr>
              <w:spacing w:after="0" w:line="240" w:lineRule="auto"/>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Moyenne ± ET</w:t>
            </w:r>
          </w:p>
        </w:tc>
        <w:tc>
          <w:tcPr>
            <w:tcW w:w="2651" w:type="dxa"/>
          </w:tcPr>
          <w:p w14:paraId="4E4A63B4" w14:textId="77777777" w:rsidR="00CA7084" w:rsidRDefault="005648BA">
            <w:pPr>
              <w:spacing w:after="0" w:line="240" w:lineRule="auto"/>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Médiane [Q1–Q3]</w:t>
            </w:r>
          </w:p>
        </w:tc>
      </w:tr>
      <w:tr w:rsidR="00CA7084" w14:paraId="20A2E5E1" w14:textId="77777777">
        <w:tc>
          <w:tcPr>
            <w:tcW w:w="2975" w:type="dxa"/>
          </w:tcPr>
          <w:p w14:paraId="25B0E4D4"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Âge (années)</w:t>
            </w:r>
          </w:p>
        </w:tc>
        <w:tc>
          <w:tcPr>
            <w:tcW w:w="695" w:type="dxa"/>
          </w:tcPr>
          <w:p w14:paraId="0E4753D6"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4 238</w:t>
            </w:r>
          </w:p>
        </w:tc>
        <w:tc>
          <w:tcPr>
            <w:tcW w:w="2483" w:type="dxa"/>
          </w:tcPr>
          <w:p w14:paraId="616802C5"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c>
          <w:tcPr>
            <w:tcW w:w="1545" w:type="dxa"/>
          </w:tcPr>
          <w:p w14:paraId="6E3F2B16"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49,6 ± 8,57</w:t>
            </w:r>
          </w:p>
        </w:tc>
        <w:tc>
          <w:tcPr>
            <w:tcW w:w="2651" w:type="dxa"/>
          </w:tcPr>
          <w:p w14:paraId="0864DDF0"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49 [42–56]</w:t>
            </w:r>
          </w:p>
        </w:tc>
      </w:tr>
      <w:tr w:rsidR="00CA7084" w14:paraId="5A1ED76D" w14:textId="77777777">
        <w:tc>
          <w:tcPr>
            <w:tcW w:w="2975" w:type="dxa"/>
          </w:tcPr>
          <w:p w14:paraId="2459AA3A"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Cigarettes/jour</w:t>
            </w:r>
          </w:p>
        </w:tc>
        <w:tc>
          <w:tcPr>
            <w:tcW w:w="695" w:type="dxa"/>
          </w:tcPr>
          <w:p w14:paraId="1EE44379"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4 209</w:t>
            </w:r>
          </w:p>
        </w:tc>
        <w:tc>
          <w:tcPr>
            <w:tcW w:w="2483" w:type="dxa"/>
          </w:tcPr>
          <w:p w14:paraId="35FD289D"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30 (0,71)</w:t>
            </w:r>
          </w:p>
        </w:tc>
        <w:tc>
          <w:tcPr>
            <w:tcW w:w="1545" w:type="dxa"/>
          </w:tcPr>
          <w:p w14:paraId="4C0BD697"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9,0 ± 11,92</w:t>
            </w:r>
          </w:p>
        </w:tc>
        <w:tc>
          <w:tcPr>
            <w:tcW w:w="2651" w:type="dxa"/>
          </w:tcPr>
          <w:p w14:paraId="7D344A99"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 [0–20]</w:t>
            </w:r>
          </w:p>
        </w:tc>
      </w:tr>
      <w:tr w:rsidR="00CA7084" w14:paraId="73C0759C" w14:textId="77777777">
        <w:tc>
          <w:tcPr>
            <w:tcW w:w="2975" w:type="dxa"/>
          </w:tcPr>
          <w:p w14:paraId="6C3B5693"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Cholestérol total (mg/dL)</w:t>
            </w:r>
          </w:p>
        </w:tc>
        <w:tc>
          <w:tcPr>
            <w:tcW w:w="695" w:type="dxa"/>
          </w:tcPr>
          <w:p w14:paraId="3B752769"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4 188</w:t>
            </w:r>
          </w:p>
        </w:tc>
        <w:tc>
          <w:tcPr>
            <w:tcW w:w="2483" w:type="dxa"/>
          </w:tcPr>
          <w:p w14:paraId="1875B11A"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51 (1,20)</w:t>
            </w:r>
          </w:p>
        </w:tc>
        <w:tc>
          <w:tcPr>
            <w:tcW w:w="1545" w:type="dxa"/>
          </w:tcPr>
          <w:p w14:paraId="7617F0A2"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236,7 ± 44,59</w:t>
            </w:r>
          </w:p>
        </w:tc>
        <w:tc>
          <w:tcPr>
            <w:tcW w:w="2651" w:type="dxa"/>
          </w:tcPr>
          <w:p w14:paraId="0F776DEA"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234 [206–263]</w:t>
            </w:r>
          </w:p>
        </w:tc>
      </w:tr>
      <w:tr w:rsidR="00CA7084" w14:paraId="77169B16" w14:textId="77777777">
        <w:tc>
          <w:tcPr>
            <w:tcW w:w="2975" w:type="dxa"/>
          </w:tcPr>
          <w:p w14:paraId="396CC614"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Tension systolique (mmHg)</w:t>
            </w:r>
          </w:p>
        </w:tc>
        <w:tc>
          <w:tcPr>
            <w:tcW w:w="695" w:type="dxa"/>
          </w:tcPr>
          <w:p w14:paraId="1CF7B007"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4 238</w:t>
            </w:r>
          </w:p>
        </w:tc>
        <w:tc>
          <w:tcPr>
            <w:tcW w:w="2483" w:type="dxa"/>
          </w:tcPr>
          <w:p w14:paraId="6528D050"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c>
          <w:tcPr>
            <w:tcW w:w="1545" w:type="dxa"/>
          </w:tcPr>
          <w:p w14:paraId="69CC69BF"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132,4 ± 22,0</w:t>
            </w:r>
          </w:p>
        </w:tc>
        <w:tc>
          <w:tcPr>
            <w:tcW w:w="2651" w:type="dxa"/>
          </w:tcPr>
          <w:p w14:paraId="6201B8AC"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128 [117–144]</w:t>
            </w:r>
          </w:p>
        </w:tc>
      </w:tr>
      <w:tr w:rsidR="00CA7084" w14:paraId="58C52EC2" w14:textId="77777777">
        <w:tc>
          <w:tcPr>
            <w:tcW w:w="2975" w:type="dxa"/>
          </w:tcPr>
          <w:p w14:paraId="39489DD1"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Tension diastolique (mmHg)</w:t>
            </w:r>
          </w:p>
        </w:tc>
        <w:tc>
          <w:tcPr>
            <w:tcW w:w="695" w:type="dxa"/>
          </w:tcPr>
          <w:p w14:paraId="31DB3A76"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4 238</w:t>
            </w:r>
          </w:p>
        </w:tc>
        <w:tc>
          <w:tcPr>
            <w:tcW w:w="2483" w:type="dxa"/>
          </w:tcPr>
          <w:p w14:paraId="425E8B0C"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c>
          <w:tcPr>
            <w:tcW w:w="1545" w:type="dxa"/>
          </w:tcPr>
          <w:p w14:paraId="40091E75"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82,9 ± 11,9</w:t>
            </w:r>
          </w:p>
        </w:tc>
        <w:tc>
          <w:tcPr>
            <w:tcW w:w="2651" w:type="dxa"/>
          </w:tcPr>
          <w:p w14:paraId="38E232D7"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82 [75–89,9]</w:t>
            </w:r>
          </w:p>
        </w:tc>
      </w:tr>
      <w:tr w:rsidR="00CA7084" w14:paraId="764067B1" w14:textId="77777777">
        <w:tc>
          <w:tcPr>
            <w:tcW w:w="2975" w:type="dxa"/>
          </w:tcPr>
          <w:p w14:paraId="1F9F9B59"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IMC (kg/m²)</w:t>
            </w:r>
          </w:p>
        </w:tc>
        <w:tc>
          <w:tcPr>
            <w:tcW w:w="695" w:type="dxa"/>
          </w:tcPr>
          <w:p w14:paraId="49177B20"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4 219</w:t>
            </w:r>
          </w:p>
        </w:tc>
        <w:tc>
          <w:tcPr>
            <w:tcW w:w="2483" w:type="dxa"/>
          </w:tcPr>
          <w:p w14:paraId="24DB53A4"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20 (0,47)</w:t>
            </w:r>
          </w:p>
        </w:tc>
        <w:tc>
          <w:tcPr>
            <w:tcW w:w="1545" w:type="dxa"/>
          </w:tcPr>
          <w:p w14:paraId="0D248C54"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25,8 ± 4,08</w:t>
            </w:r>
          </w:p>
        </w:tc>
        <w:tc>
          <w:tcPr>
            <w:tcW w:w="2651" w:type="dxa"/>
          </w:tcPr>
          <w:p w14:paraId="4E282C82"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25,4 [23,1–28,0]</w:t>
            </w:r>
          </w:p>
        </w:tc>
      </w:tr>
      <w:tr w:rsidR="00CA7084" w14:paraId="5648718D" w14:textId="77777777">
        <w:tc>
          <w:tcPr>
            <w:tcW w:w="2975" w:type="dxa"/>
          </w:tcPr>
          <w:p w14:paraId="1FD6E3CB"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Fréquence cardiaque (bpm)</w:t>
            </w:r>
          </w:p>
        </w:tc>
        <w:tc>
          <w:tcPr>
            <w:tcW w:w="695" w:type="dxa"/>
          </w:tcPr>
          <w:p w14:paraId="11EDAB34"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4 237</w:t>
            </w:r>
          </w:p>
        </w:tc>
        <w:tc>
          <w:tcPr>
            <w:tcW w:w="2483" w:type="dxa"/>
          </w:tcPr>
          <w:p w14:paraId="65CDB62A"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 (0,05)</w:t>
            </w:r>
          </w:p>
        </w:tc>
        <w:tc>
          <w:tcPr>
            <w:tcW w:w="1545" w:type="dxa"/>
          </w:tcPr>
          <w:p w14:paraId="1FD26604"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75,9 ± 12,0</w:t>
            </w:r>
          </w:p>
        </w:tc>
        <w:tc>
          <w:tcPr>
            <w:tcW w:w="2651" w:type="dxa"/>
          </w:tcPr>
          <w:p w14:paraId="65A06B7C"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75 [68–83]</w:t>
            </w:r>
          </w:p>
        </w:tc>
      </w:tr>
      <w:tr w:rsidR="00CA7084" w14:paraId="0DB23CE2" w14:textId="77777777">
        <w:tc>
          <w:tcPr>
            <w:tcW w:w="2975" w:type="dxa"/>
          </w:tcPr>
          <w:p w14:paraId="34391194"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Glucose (mg/dL)</w:t>
            </w:r>
          </w:p>
        </w:tc>
        <w:tc>
          <w:tcPr>
            <w:tcW w:w="695" w:type="dxa"/>
          </w:tcPr>
          <w:p w14:paraId="0C642F10"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3 850</w:t>
            </w:r>
          </w:p>
        </w:tc>
        <w:tc>
          <w:tcPr>
            <w:tcW w:w="2483" w:type="dxa"/>
          </w:tcPr>
          <w:p w14:paraId="7A6E398C"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389 (9,18)</w:t>
            </w:r>
          </w:p>
        </w:tc>
        <w:tc>
          <w:tcPr>
            <w:tcW w:w="1545" w:type="dxa"/>
          </w:tcPr>
          <w:p w14:paraId="71A2ADA9"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82,0 ± 24,0</w:t>
            </w:r>
          </w:p>
        </w:tc>
        <w:tc>
          <w:tcPr>
            <w:tcW w:w="2651" w:type="dxa"/>
          </w:tcPr>
          <w:p w14:paraId="08ED2BB4" w14:textId="77777777" w:rsidR="00CA7084" w:rsidRDefault="005648BA">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78 [71–87]</w:t>
            </w:r>
          </w:p>
        </w:tc>
      </w:tr>
    </w:tbl>
    <w:p w14:paraId="09D66F30" w14:textId="77777777" w:rsidR="00CA7084" w:rsidRDefault="005648BA">
      <w:pPr>
        <w:pStyle w:val="NormalWeb"/>
        <w:spacing w:before="280" w:after="280"/>
        <w:rPr>
          <w:b/>
          <w:bCs/>
          <w:color w:val="45B0E1" w:themeColor="accent1" w:themeTint="99"/>
        </w:rPr>
      </w:pPr>
      <w:r>
        <w:rPr>
          <w:b/>
          <w:bCs/>
          <w:color w:val="45B0E1" w:themeColor="accent1" w:themeTint="99"/>
        </w:rPr>
        <w:t>Performances des modèles sur le jeu de test</w:t>
      </w:r>
    </w:p>
    <w:p w14:paraId="02744A0D" w14:textId="77777777" w:rsidR="00CA7084" w:rsidRDefault="005648BA">
      <w:pPr>
        <w:pStyle w:val="NormalWeb"/>
        <w:spacing w:before="280" w:after="280" w:line="360" w:lineRule="auto"/>
        <w:jc w:val="both"/>
      </w:pPr>
      <w:r>
        <w:t xml:space="preserve">Le tableau comparatif des modèles montre très clairement, lorsqu’on le lit avec un œil de méthodologiste, que les algorithmes entraînés sans gestion spécifique du déséquilibre et évalués au seuil classique de 0,50 (LogReg_A2, SVM_A2, RF_A1, GB_A1, XGB_A1) affichent des accuracies élevées (autour de 0,83–0,85), mais au prix d’un rappel quasi nul pour la classe des événements, ce qui signifie qu’ils “réussissent” essentiellement en prédissant la classe 0 et en manquant la grande majorité des patients qui feront effectivement une maladie coronarienne ; à l’inverse, dès que l’on adopte une stratégie compatible avec l’usage clinique – soit en abaissant le seuil de décision vers la valeur optimisant le F1 (≈ 0,10–0,15), soit en rééquilibrant le train par SMOTE – on observe une hausse nette du rappel </w:t>
      </w:r>
      <w:r>
        <w:lastRenderedPageBreak/>
        <w:t>et du F1 de la classe 1, mais au prix d’une baisse de l’accuracy et d’une augmentation des faux positifs, ce qui est attendu dans un contexte de classes déséquilibrées. Dans ce cadre, la comparaison fine des lignes montre que la régression logistique standardisée sans SMOTE mais avec seuil optimisé à 0,15 (LogReg_A2 F1-opt) offre le meilleur compromis : elle conserve une discrimination globale correcte (AUC-ROC ≈ 0,70, AUC-PR ≈ 0,29) tout en atteignant un rappel d’environ 0,60 et un F1 de 0,36 pour les cas, ce qui surpasse les modèles plus complexes (forêts, gradient boosting, XGBoost, SVM) qui restent soit trop conservateurs au seuil 0,50, soit très instables dès qu’on abaisse le seuil ; enfin, le fait que LogReg_A2 F1-opt et LogReg_B2 (SMOTE + seuil 0,50) aboutissent à des performances quasi identiques suggère que, pour ce jeu Framingham, un ajustement judicieux du seuil sur un modèle linéaire bien calibré est méthodologiquement plus parcimonieux et plus facilement interprétable qu’un recours systématique au sur-échantillonnage, ce qui justifie le choix de LogReg_A2 comme modèle final.</w:t>
      </w:r>
    </w:p>
    <w:p w14:paraId="42497E62" w14:textId="77777777" w:rsidR="00CA7084" w:rsidRDefault="005648BA">
      <w:pPr>
        <w:pStyle w:val="NormalWeb"/>
        <w:spacing w:before="280" w:after="280" w:line="360" w:lineRule="auto"/>
        <w:jc w:val="both"/>
        <w:rPr>
          <w:b/>
          <w:bCs/>
        </w:rPr>
      </w:pPr>
      <w:r>
        <w:rPr>
          <w:b/>
          <w:bCs/>
        </w:rPr>
        <w:t>Tableau . Performances des modèles sur le jeu de test (N = 848)</w:t>
      </w:r>
    </w:p>
    <w:tbl>
      <w:tblPr>
        <w:tblStyle w:val="Grilledutableau"/>
        <w:tblW w:w="9873" w:type="dxa"/>
        <w:tblInd w:w="-856" w:type="dxa"/>
        <w:tblLayout w:type="fixed"/>
        <w:tblLook w:val="04A0" w:firstRow="1" w:lastRow="0" w:firstColumn="1" w:lastColumn="0" w:noHBand="0" w:noVBand="1"/>
      </w:tblPr>
      <w:tblGrid>
        <w:gridCol w:w="994"/>
        <w:gridCol w:w="2420"/>
        <w:gridCol w:w="792"/>
        <w:gridCol w:w="1136"/>
        <w:gridCol w:w="878"/>
        <w:gridCol w:w="1110"/>
        <w:gridCol w:w="826"/>
        <w:gridCol w:w="859"/>
        <w:gridCol w:w="858"/>
      </w:tblGrid>
      <w:tr w:rsidR="00CA7084" w14:paraId="547D98E2" w14:textId="77777777">
        <w:tc>
          <w:tcPr>
            <w:tcW w:w="993" w:type="dxa"/>
          </w:tcPr>
          <w:p w14:paraId="18824F25"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Modèle  </w:t>
            </w:r>
          </w:p>
        </w:tc>
        <w:tc>
          <w:tcPr>
            <w:tcW w:w="2420" w:type="dxa"/>
          </w:tcPr>
          <w:p w14:paraId="5A230B3E"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Configuration                    </w:t>
            </w:r>
          </w:p>
        </w:tc>
        <w:tc>
          <w:tcPr>
            <w:tcW w:w="792" w:type="dxa"/>
          </w:tcPr>
          <w:p w14:paraId="0D732A56"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Seuil</w:t>
            </w:r>
          </w:p>
        </w:tc>
        <w:tc>
          <w:tcPr>
            <w:tcW w:w="1136" w:type="dxa"/>
          </w:tcPr>
          <w:p w14:paraId="162BCC6F"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Accuracy</w:t>
            </w:r>
          </w:p>
        </w:tc>
        <w:tc>
          <w:tcPr>
            <w:tcW w:w="878" w:type="dxa"/>
          </w:tcPr>
          <w:p w14:paraId="294E71B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Recall cl.1</w:t>
            </w:r>
          </w:p>
        </w:tc>
        <w:tc>
          <w:tcPr>
            <w:tcW w:w="1110" w:type="dxa"/>
          </w:tcPr>
          <w:p w14:paraId="416DB746"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Precision cl.1</w:t>
            </w:r>
          </w:p>
        </w:tc>
        <w:tc>
          <w:tcPr>
            <w:tcW w:w="826" w:type="dxa"/>
          </w:tcPr>
          <w:p w14:paraId="291CD5F1"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F1 cl.1</w:t>
            </w:r>
          </w:p>
        </w:tc>
        <w:tc>
          <w:tcPr>
            <w:tcW w:w="859" w:type="dxa"/>
          </w:tcPr>
          <w:p w14:paraId="52484C6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AUC-ROC</w:t>
            </w:r>
          </w:p>
        </w:tc>
        <w:tc>
          <w:tcPr>
            <w:tcW w:w="858" w:type="dxa"/>
          </w:tcPr>
          <w:p w14:paraId="3AA7DAB1"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AUC-PR</w:t>
            </w:r>
          </w:p>
        </w:tc>
      </w:tr>
      <w:tr w:rsidR="00CA7084" w14:paraId="4A595F14" w14:textId="77777777">
        <w:tc>
          <w:tcPr>
            <w:tcW w:w="993" w:type="dxa"/>
          </w:tcPr>
          <w:p w14:paraId="715EF51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LogReg  </w:t>
            </w:r>
          </w:p>
        </w:tc>
        <w:tc>
          <w:tcPr>
            <w:tcW w:w="2420" w:type="dxa"/>
          </w:tcPr>
          <w:p w14:paraId="62EE194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A2, sans SMOTE                  </w:t>
            </w:r>
          </w:p>
        </w:tc>
        <w:tc>
          <w:tcPr>
            <w:tcW w:w="792" w:type="dxa"/>
          </w:tcPr>
          <w:p w14:paraId="634D68A0"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 </w:t>
            </w:r>
          </w:p>
        </w:tc>
        <w:tc>
          <w:tcPr>
            <w:tcW w:w="1136" w:type="dxa"/>
          </w:tcPr>
          <w:p w14:paraId="2BB3B12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0,848  </w:t>
            </w:r>
          </w:p>
        </w:tc>
        <w:tc>
          <w:tcPr>
            <w:tcW w:w="878" w:type="dxa"/>
          </w:tcPr>
          <w:p w14:paraId="27A09FCE"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0,070     </w:t>
            </w:r>
          </w:p>
        </w:tc>
        <w:tc>
          <w:tcPr>
            <w:tcW w:w="1110" w:type="dxa"/>
          </w:tcPr>
          <w:p w14:paraId="581F6BD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0,500        </w:t>
            </w:r>
          </w:p>
        </w:tc>
        <w:tc>
          <w:tcPr>
            <w:tcW w:w="826" w:type="dxa"/>
          </w:tcPr>
          <w:p w14:paraId="4879E8CF"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0,122  </w:t>
            </w:r>
          </w:p>
        </w:tc>
        <w:tc>
          <w:tcPr>
            <w:tcW w:w="859" w:type="dxa"/>
          </w:tcPr>
          <w:p w14:paraId="07E519C8"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0,697  </w:t>
            </w:r>
          </w:p>
        </w:tc>
        <w:tc>
          <w:tcPr>
            <w:tcW w:w="858" w:type="dxa"/>
          </w:tcPr>
          <w:p w14:paraId="7B1AB331"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0,290</w:t>
            </w:r>
          </w:p>
        </w:tc>
      </w:tr>
      <w:tr w:rsidR="00CA7084" w14:paraId="7DE2EE65" w14:textId="77777777">
        <w:tc>
          <w:tcPr>
            <w:tcW w:w="993" w:type="dxa"/>
          </w:tcPr>
          <w:p w14:paraId="61A15AE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LogReg  </w:t>
            </w:r>
          </w:p>
        </w:tc>
        <w:tc>
          <w:tcPr>
            <w:tcW w:w="2420" w:type="dxa"/>
          </w:tcPr>
          <w:p w14:paraId="06294B8E"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A2, sans SMOTE (F1-opt)         </w:t>
            </w:r>
          </w:p>
        </w:tc>
        <w:tc>
          <w:tcPr>
            <w:tcW w:w="792" w:type="dxa"/>
          </w:tcPr>
          <w:p w14:paraId="79442ED2"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0,15 </w:t>
            </w:r>
          </w:p>
        </w:tc>
        <w:tc>
          <w:tcPr>
            <w:tcW w:w="1136" w:type="dxa"/>
          </w:tcPr>
          <w:p w14:paraId="47C51CE2"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0,667  </w:t>
            </w:r>
          </w:p>
        </w:tc>
        <w:tc>
          <w:tcPr>
            <w:tcW w:w="878" w:type="dxa"/>
          </w:tcPr>
          <w:p w14:paraId="6FF1E7D6"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0,605     </w:t>
            </w:r>
          </w:p>
        </w:tc>
        <w:tc>
          <w:tcPr>
            <w:tcW w:w="1110" w:type="dxa"/>
          </w:tcPr>
          <w:p w14:paraId="2E57DF80"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0,252        </w:t>
            </w:r>
          </w:p>
        </w:tc>
        <w:tc>
          <w:tcPr>
            <w:tcW w:w="826" w:type="dxa"/>
          </w:tcPr>
          <w:p w14:paraId="7C25F48F"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0,356  </w:t>
            </w:r>
          </w:p>
        </w:tc>
        <w:tc>
          <w:tcPr>
            <w:tcW w:w="859" w:type="dxa"/>
          </w:tcPr>
          <w:p w14:paraId="5724019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0,697  </w:t>
            </w:r>
          </w:p>
        </w:tc>
        <w:tc>
          <w:tcPr>
            <w:tcW w:w="858" w:type="dxa"/>
          </w:tcPr>
          <w:p w14:paraId="1B5DF093"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0,290</w:t>
            </w:r>
          </w:p>
        </w:tc>
      </w:tr>
      <w:tr w:rsidR="00CA7084" w14:paraId="7B0B715B" w14:textId="77777777">
        <w:tc>
          <w:tcPr>
            <w:tcW w:w="993" w:type="dxa"/>
          </w:tcPr>
          <w:p w14:paraId="05E0A556"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LogReg  </w:t>
            </w:r>
          </w:p>
        </w:tc>
        <w:tc>
          <w:tcPr>
            <w:tcW w:w="2420" w:type="dxa"/>
          </w:tcPr>
          <w:p w14:paraId="16338579"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B2, SMOTE + scaling             </w:t>
            </w:r>
          </w:p>
        </w:tc>
        <w:tc>
          <w:tcPr>
            <w:tcW w:w="792" w:type="dxa"/>
          </w:tcPr>
          <w:p w14:paraId="51943365"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0,50 </w:t>
            </w:r>
          </w:p>
        </w:tc>
        <w:tc>
          <w:tcPr>
            <w:tcW w:w="1136" w:type="dxa"/>
          </w:tcPr>
          <w:p w14:paraId="3D848BA0"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0,657  </w:t>
            </w:r>
          </w:p>
        </w:tc>
        <w:tc>
          <w:tcPr>
            <w:tcW w:w="878" w:type="dxa"/>
          </w:tcPr>
          <w:p w14:paraId="20ED3C1D"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0,589     </w:t>
            </w:r>
          </w:p>
        </w:tc>
        <w:tc>
          <w:tcPr>
            <w:tcW w:w="1110" w:type="dxa"/>
          </w:tcPr>
          <w:p w14:paraId="4827E6D9"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0,242        </w:t>
            </w:r>
          </w:p>
        </w:tc>
        <w:tc>
          <w:tcPr>
            <w:tcW w:w="826" w:type="dxa"/>
          </w:tcPr>
          <w:p w14:paraId="3DCFE328"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0,343  </w:t>
            </w:r>
          </w:p>
        </w:tc>
        <w:tc>
          <w:tcPr>
            <w:tcW w:w="859" w:type="dxa"/>
          </w:tcPr>
          <w:p w14:paraId="6B4A4494"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0,696  </w:t>
            </w:r>
          </w:p>
        </w:tc>
        <w:tc>
          <w:tcPr>
            <w:tcW w:w="858" w:type="dxa"/>
          </w:tcPr>
          <w:p w14:paraId="1B35D3CF"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0,287</w:t>
            </w:r>
          </w:p>
        </w:tc>
      </w:tr>
      <w:tr w:rsidR="00CA7084" w14:paraId="6B93DA5C" w14:textId="77777777">
        <w:tc>
          <w:tcPr>
            <w:tcW w:w="993" w:type="dxa"/>
          </w:tcPr>
          <w:p w14:paraId="0108A301" w14:textId="77777777" w:rsidR="00CA7084" w:rsidRDefault="00CA7084">
            <w:pPr>
              <w:spacing w:beforeAutospacing="1" w:after="0" w:line="240" w:lineRule="auto"/>
              <w:rPr>
                <w:rFonts w:ascii="Times New Roman" w:eastAsia="Times New Roman" w:hAnsi="Times New Roman" w:cs="Times New Roman"/>
                <w:kern w:val="0"/>
                <w:lang w:val="en-US" w:eastAsia="fr-BE"/>
                <w14:ligatures w14:val="none"/>
              </w:rPr>
            </w:pPr>
          </w:p>
        </w:tc>
        <w:tc>
          <w:tcPr>
            <w:tcW w:w="2420" w:type="dxa"/>
          </w:tcPr>
          <w:p w14:paraId="4362030D" w14:textId="77777777" w:rsidR="00CA7084" w:rsidRDefault="00CA7084">
            <w:pPr>
              <w:spacing w:beforeAutospacing="1" w:after="0" w:line="240" w:lineRule="auto"/>
              <w:rPr>
                <w:rFonts w:ascii="Times New Roman" w:eastAsia="Times New Roman" w:hAnsi="Times New Roman" w:cs="Times New Roman"/>
                <w:kern w:val="0"/>
                <w:lang w:val="en-US" w:eastAsia="fr-BE"/>
                <w14:ligatures w14:val="none"/>
              </w:rPr>
            </w:pPr>
          </w:p>
        </w:tc>
        <w:tc>
          <w:tcPr>
            <w:tcW w:w="792" w:type="dxa"/>
          </w:tcPr>
          <w:p w14:paraId="221BF194" w14:textId="77777777" w:rsidR="00CA7084" w:rsidRDefault="00CA7084">
            <w:pPr>
              <w:spacing w:beforeAutospacing="1" w:after="0" w:line="240" w:lineRule="auto"/>
              <w:rPr>
                <w:rFonts w:ascii="Times New Roman" w:eastAsia="Times New Roman" w:hAnsi="Times New Roman" w:cs="Times New Roman"/>
                <w:kern w:val="0"/>
                <w:lang w:val="en-US" w:eastAsia="fr-BE"/>
                <w14:ligatures w14:val="none"/>
              </w:rPr>
            </w:pPr>
          </w:p>
        </w:tc>
        <w:tc>
          <w:tcPr>
            <w:tcW w:w="1136" w:type="dxa"/>
          </w:tcPr>
          <w:p w14:paraId="250F7044" w14:textId="77777777" w:rsidR="00CA7084" w:rsidRDefault="00CA7084">
            <w:pPr>
              <w:spacing w:beforeAutospacing="1" w:after="0" w:line="240" w:lineRule="auto"/>
              <w:rPr>
                <w:rFonts w:ascii="Times New Roman" w:eastAsia="Times New Roman" w:hAnsi="Times New Roman" w:cs="Times New Roman"/>
                <w:kern w:val="0"/>
                <w:lang w:val="en-US" w:eastAsia="fr-BE"/>
                <w14:ligatures w14:val="none"/>
              </w:rPr>
            </w:pPr>
          </w:p>
        </w:tc>
        <w:tc>
          <w:tcPr>
            <w:tcW w:w="878" w:type="dxa"/>
          </w:tcPr>
          <w:p w14:paraId="5C52AEB4" w14:textId="77777777" w:rsidR="00CA7084" w:rsidRDefault="00CA7084">
            <w:pPr>
              <w:spacing w:beforeAutospacing="1" w:after="0" w:line="240" w:lineRule="auto"/>
              <w:rPr>
                <w:rFonts w:ascii="Times New Roman" w:eastAsia="Times New Roman" w:hAnsi="Times New Roman" w:cs="Times New Roman"/>
                <w:kern w:val="0"/>
                <w:lang w:val="en-US" w:eastAsia="fr-BE"/>
                <w14:ligatures w14:val="none"/>
              </w:rPr>
            </w:pPr>
          </w:p>
        </w:tc>
        <w:tc>
          <w:tcPr>
            <w:tcW w:w="1110" w:type="dxa"/>
          </w:tcPr>
          <w:p w14:paraId="6B050C99" w14:textId="77777777" w:rsidR="00CA7084" w:rsidRDefault="00CA7084">
            <w:pPr>
              <w:spacing w:beforeAutospacing="1" w:after="0" w:line="240" w:lineRule="auto"/>
              <w:rPr>
                <w:rFonts w:ascii="Times New Roman" w:eastAsia="Times New Roman" w:hAnsi="Times New Roman" w:cs="Times New Roman"/>
                <w:kern w:val="0"/>
                <w:lang w:val="en-US" w:eastAsia="fr-BE"/>
                <w14:ligatures w14:val="none"/>
              </w:rPr>
            </w:pPr>
          </w:p>
        </w:tc>
        <w:tc>
          <w:tcPr>
            <w:tcW w:w="826" w:type="dxa"/>
          </w:tcPr>
          <w:p w14:paraId="3BC14849" w14:textId="77777777" w:rsidR="00CA7084" w:rsidRDefault="00CA7084">
            <w:pPr>
              <w:spacing w:beforeAutospacing="1" w:after="0" w:line="240" w:lineRule="auto"/>
              <w:rPr>
                <w:rFonts w:ascii="Times New Roman" w:eastAsia="Times New Roman" w:hAnsi="Times New Roman" w:cs="Times New Roman"/>
                <w:kern w:val="0"/>
                <w:lang w:val="en-US" w:eastAsia="fr-BE"/>
                <w14:ligatures w14:val="none"/>
              </w:rPr>
            </w:pPr>
          </w:p>
        </w:tc>
        <w:tc>
          <w:tcPr>
            <w:tcW w:w="859" w:type="dxa"/>
          </w:tcPr>
          <w:p w14:paraId="00FEF85B" w14:textId="77777777" w:rsidR="00CA7084" w:rsidRDefault="00CA7084">
            <w:pPr>
              <w:spacing w:beforeAutospacing="1" w:after="0" w:line="240" w:lineRule="auto"/>
              <w:rPr>
                <w:rFonts w:ascii="Times New Roman" w:eastAsia="Times New Roman" w:hAnsi="Times New Roman" w:cs="Times New Roman"/>
                <w:kern w:val="0"/>
                <w:lang w:val="en-US" w:eastAsia="fr-BE"/>
                <w14:ligatures w14:val="none"/>
              </w:rPr>
            </w:pPr>
          </w:p>
        </w:tc>
        <w:tc>
          <w:tcPr>
            <w:tcW w:w="858" w:type="dxa"/>
          </w:tcPr>
          <w:p w14:paraId="508A7ABF" w14:textId="77777777" w:rsidR="00CA7084" w:rsidRDefault="00CA7084">
            <w:pPr>
              <w:spacing w:beforeAutospacing="1" w:after="0" w:line="240" w:lineRule="auto"/>
              <w:rPr>
                <w:rFonts w:ascii="Times New Roman" w:eastAsia="Times New Roman" w:hAnsi="Times New Roman" w:cs="Times New Roman"/>
                <w:kern w:val="0"/>
                <w:lang w:val="en-US" w:eastAsia="fr-BE"/>
                <w14:ligatures w14:val="none"/>
              </w:rPr>
            </w:pPr>
          </w:p>
        </w:tc>
      </w:tr>
      <w:tr w:rsidR="00CA7084" w14:paraId="495302B9" w14:textId="77777777">
        <w:tc>
          <w:tcPr>
            <w:tcW w:w="993" w:type="dxa"/>
          </w:tcPr>
          <w:p w14:paraId="222CF316"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SVM     </w:t>
            </w:r>
          </w:p>
        </w:tc>
        <w:tc>
          <w:tcPr>
            <w:tcW w:w="2420" w:type="dxa"/>
          </w:tcPr>
          <w:p w14:paraId="3176499E"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A2, sans SMOTE                  </w:t>
            </w:r>
          </w:p>
        </w:tc>
        <w:tc>
          <w:tcPr>
            <w:tcW w:w="792" w:type="dxa"/>
          </w:tcPr>
          <w:p w14:paraId="21F2F5D6"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0,50 </w:t>
            </w:r>
          </w:p>
        </w:tc>
        <w:tc>
          <w:tcPr>
            <w:tcW w:w="1136" w:type="dxa"/>
          </w:tcPr>
          <w:p w14:paraId="00CDD881"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0,854  </w:t>
            </w:r>
          </w:p>
        </w:tc>
        <w:tc>
          <w:tcPr>
            <w:tcW w:w="878" w:type="dxa"/>
          </w:tcPr>
          <w:p w14:paraId="73F78475"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0,054     </w:t>
            </w:r>
          </w:p>
        </w:tc>
        <w:tc>
          <w:tcPr>
            <w:tcW w:w="1110" w:type="dxa"/>
          </w:tcPr>
          <w:p w14:paraId="79A1742A"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0,779        </w:t>
            </w:r>
          </w:p>
        </w:tc>
        <w:tc>
          <w:tcPr>
            <w:tcW w:w="826" w:type="dxa"/>
          </w:tcPr>
          <w:p w14:paraId="41F257C8"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0,101  </w:t>
            </w:r>
          </w:p>
        </w:tc>
        <w:tc>
          <w:tcPr>
            <w:tcW w:w="859" w:type="dxa"/>
          </w:tcPr>
          <w:p w14:paraId="091E7C7C"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0,563  </w:t>
            </w:r>
          </w:p>
        </w:tc>
        <w:tc>
          <w:tcPr>
            <w:tcW w:w="858" w:type="dxa"/>
          </w:tcPr>
          <w:p w14:paraId="719A58F1"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0,224</w:t>
            </w:r>
          </w:p>
        </w:tc>
      </w:tr>
      <w:tr w:rsidR="00CA7084" w14:paraId="6DDEE6E9" w14:textId="77777777">
        <w:tc>
          <w:tcPr>
            <w:tcW w:w="993" w:type="dxa"/>
          </w:tcPr>
          <w:p w14:paraId="109C3FB6"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SVM     </w:t>
            </w:r>
          </w:p>
        </w:tc>
        <w:tc>
          <w:tcPr>
            <w:tcW w:w="2420" w:type="dxa"/>
          </w:tcPr>
          <w:p w14:paraId="5544EE0D"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A2, sans SMOTE (F1-opt)         </w:t>
            </w:r>
          </w:p>
        </w:tc>
        <w:tc>
          <w:tcPr>
            <w:tcW w:w="792" w:type="dxa"/>
          </w:tcPr>
          <w:p w14:paraId="506D46C2"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0,14 </w:t>
            </w:r>
          </w:p>
        </w:tc>
        <w:tc>
          <w:tcPr>
            <w:tcW w:w="1136" w:type="dxa"/>
          </w:tcPr>
          <w:p w14:paraId="0B4058BF"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0,689  </w:t>
            </w:r>
          </w:p>
        </w:tc>
        <w:tc>
          <w:tcPr>
            <w:tcW w:w="878" w:type="dxa"/>
          </w:tcPr>
          <w:p w14:paraId="3E9949D0"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0,380     </w:t>
            </w:r>
          </w:p>
        </w:tc>
        <w:tc>
          <w:tcPr>
            <w:tcW w:w="1110" w:type="dxa"/>
          </w:tcPr>
          <w:p w14:paraId="19B193C5"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0,210        </w:t>
            </w:r>
          </w:p>
        </w:tc>
        <w:tc>
          <w:tcPr>
            <w:tcW w:w="826" w:type="dxa"/>
          </w:tcPr>
          <w:p w14:paraId="4C7EB2EC"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0,271  </w:t>
            </w:r>
          </w:p>
        </w:tc>
        <w:tc>
          <w:tcPr>
            <w:tcW w:w="859" w:type="dxa"/>
          </w:tcPr>
          <w:p w14:paraId="33A2F714"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0,563  </w:t>
            </w:r>
          </w:p>
        </w:tc>
        <w:tc>
          <w:tcPr>
            <w:tcW w:w="858" w:type="dxa"/>
          </w:tcPr>
          <w:p w14:paraId="0DED90F6"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0,224</w:t>
            </w:r>
          </w:p>
        </w:tc>
      </w:tr>
      <w:tr w:rsidR="00CA7084" w14:paraId="36F8D701" w14:textId="77777777">
        <w:tc>
          <w:tcPr>
            <w:tcW w:w="993" w:type="dxa"/>
          </w:tcPr>
          <w:p w14:paraId="1B4D65AB"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SVM     </w:t>
            </w:r>
          </w:p>
        </w:tc>
        <w:tc>
          <w:tcPr>
            <w:tcW w:w="2420" w:type="dxa"/>
          </w:tcPr>
          <w:p w14:paraId="03420FB1"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B2, SMOTE + scaling             </w:t>
            </w:r>
          </w:p>
        </w:tc>
        <w:tc>
          <w:tcPr>
            <w:tcW w:w="792" w:type="dxa"/>
          </w:tcPr>
          <w:p w14:paraId="1860A01E"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0,50 </w:t>
            </w:r>
          </w:p>
        </w:tc>
        <w:tc>
          <w:tcPr>
            <w:tcW w:w="1136" w:type="dxa"/>
          </w:tcPr>
          <w:p w14:paraId="4DEB55D3"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0,728  </w:t>
            </w:r>
          </w:p>
        </w:tc>
        <w:tc>
          <w:tcPr>
            <w:tcW w:w="878" w:type="dxa"/>
          </w:tcPr>
          <w:p w14:paraId="58484F9A"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0,380     </w:t>
            </w:r>
          </w:p>
        </w:tc>
        <w:tc>
          <w:tcPr>
            <w:tcW w:w="1110" w:type="dxa"/>
          </w:tcPr>
          <w:p w14:paraId="69229984"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0,245        </w:t>
            </w:r>
          </w:p>
        </w:tc>
        <w:tc>
          <w:tcPr>
            <w:tcW w:w="826" w:type="dxa"/>
          </w:tcPr>
          <w:p w14:paraId="6F683D3C"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0,298  </w:t>
            </w:r>
          </w:p>
        </w:tc>
        <w:tc>
          <w:tcPr>
            <w:tcW w:w="859" w:type="dxa"/>
          </w:tcPr>
          <w:p w14:paraId="0D02104D"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0,644  </w:t>
            </w:r>
          </w:p>
        </w:tc>
        <w:tc>
          <w:tcPr>
            <w:tcW w:w="858" w:type="dxa"/>
          </w:tcPr>
          <w:p w14:paraId="233803DC" w14:textId="77777777" w:rsidR="00CA7084" w:rsidRDefault="005648BA">
            <w:pPr>
              <w:spacing w:beforeAutospacing="1" w:after="0" w:line="240" w:lineRule="auto"/>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0,239</w:t>
            </w:r>
          </w:p>
        </w:tc>
      </w:tr>
      <w:tr w:rsidR="00CA7084" w14:paraId="7BEA756F" w14:textId="77777777">
        <w:tc>
          <w:tcPr>
            <w:tcW w:w="993" w:type="dxa"/>
          </w:tcPr>
          <w:p w14:paraId="035D112A" w14:textId="77777777" w:rsidR="00CA7084" w:rsidRDefault="00CA7084">
            <w:pPr>
              <w:spacing w:beforeAutospacing="1" w:after="0" w:line="240" w:lineRule="auto"/>
              <w:rPr>
                <w:rFonts w:ascii="Times New Roman" w:eastAsia="Times New Roman" w:hAnsi="Times New Roman" w:cs="Times New Roman"/>
                <w:kern w:val="0"/>
                <w:lang w:val="en-US" w:eastAsia="fr-BE"/>
                <w14:ligatures w14:val="none"/>
              </w:rPr>
            </w:pPr>
          </w:p>
        </w:tc>
        <w:tc>
          <w:tcPr>
            <w:tcW w:w="2420" w:type="dxa"/>
          </w:tcPr>
          <w:p w14:paraId="24683CE5" w14:textId="77777777" w:rsidR="00CA7084" w:rsidRDefault="00CA7084">
            <w:pPr>
              <w:spacing w:beforeAutospacing="1" w:after="0" w:line="240" w:lineRule="auto"/>
              <w:rPr>
                <w:rFonts w:ascii="Times New Roman" w:eastAsia="Times New Roman" w:hAnsi="Times New Roman" w:cs="Times New Roman"/>
                <w:kern w:val="0"/>
                <w:lang w:val="en-US" w:eastAsia="fr-BE"/>
                <w14:ligatures w14:val="none"/>
              </w:rPr>
            </w:pPr>
          </w:p>
        </w:tc>
        <w:tc>
          <w:tcPr>
            <w:tcW w:w="792" w:type="dxa"/>
          </w:tcPr>
          <w:p w14:paraId="4DF4DF5A" w14:textId="77777777" w:rsidR="00CA7084" w:rsidRDefault="00CA7084">
            <w:pPr>
              <w:spacing w:beforeAutospacing="1" w:after="0" w:line="240" w:lineRule="auto"/>
              <w:rPr>
                <w:rFonts w:ascii="Times New Roman" w:eastAsia="Times New Roman" w:hAnsi="Times New Roman" w:cs="Times New Roman"/>
                <w:kern w:val="0"/>
                <w:lang w:val="en-US" w:eastAsia="fr-BE"/>
                <w14:ligatures w14:val="none"/>
              </w:rPr>
            </w:pPr>
          </w:p>
        </w:tc>
        <w:tc>
          <w:tcPr>
            <w:tcW w:w="1136" w:type="dxa"/>
          </w:tcPr>
          <w:p w14:paraId="46296872" w14:textId="77777777" w:rsidR="00CA7084" w:rsidRDefault="00CA7084">
            <w:pPr>
              <w:spacing w:beforeAutospacing="1" w:after="0" w:line="240" w:lineRule="auto"/>
              <w:rPr>
                <w:rFonts w:ascii="Times New Roman" w:eastAsia="Times New Roman" w:hAnsi="Times New Roman" w:cs="Times New Roman"/>
                <w:kern w:val="0"/>
                <w:lang w:val="en-US" w:eastAsia="fr-BE"/>
                <w14:ligatures w14:val="none"/>
              </w:rPr>
            </w:pPr>
          </w:p>
        </w:tc>
        <w:tc>
          <w:tcPr>
            <w:tcW w:w="878" w:type="dxa"/>
          </w:tcPr>
          <w:p w14:paraId="3D98B4B5" w14:textId="77777777" w:rsidR="00CA7084" w:rsidRDefault="00CA7084">
            <w:pPr>
              <w:spacing w:beforeAutospacing="1" w:after="0" w:line="240" w:lineRule="auto"/>
              <w:rPr>
                <w:rFonts w:ascii="Times New Roman" w:eastAsia="Times New Roman" w:hAnsi="Times New Roman" w:cs="Times New Roman"/>
                <w:kern w:val="0"/>
                <w:lang w:val="en-US" w:eastAsia="fr-BE"/>
                <w14:ligatures w14:val="none"/>
              </w:rPr>
            </w:pPr>
          </w:p>
        </w:tc>
        <w:tc>
          <w:tcPr>
            <w:tcW w:w="1110" w:type="dxa"/>
          </w:tcPr>
          <w:p w14:paraId="26594EAF" w14:textId="77777777" w:rsidR="00CA7084" w:rsidRDefault="00CA7084">
            <w:pPr>
              <w:spacing w:beforeAutospacing="1" w:after="0" w:line="240" w:lineRule="auto"/>
              <w:rPr>
                <w:rFonts w:ascii="Times New Roman" w:eastAsia="Times New Roman" w:hAnsi="Times New Roman" w:cs="Times New Roman"/>
                <w:kern w:val="0"/>
                <w:lang w:val="en-US" w:eastAsia="fr-BE"/>
                <w14:ligatures w14:val="none"/>
              </w:rPr>
            </w:pPr>
          </w:p>
        </w:tc>
        <w:tc>
          <w:tcPr>
            <w:tcW w:w="826" w:type="dxa"/>
          </w:tcPr>
          <w:p w14:paraId="4B2C5BA0" w14:textId="77777777" w:rsidR="00CA7084" w:rsidRDefault="00CA7084">
            <w:pPr>
              <w:spacing w:beforeAutospacing="1" w:after="0" w:line="240" w:lineRule="auto"/>
              <w:rPr>
                <w:rFonts w:ascii="Times New Roman" w:eastAsia="Times New Roman" w:hAnsi="Times New Roman" w:cs="Times New Roman"/>
                <w:kern w:val="0"/>
                <w:lang w:val="en-US" w:eastAsia="fr-BE"/>
                <w14:ligatures w14:val="none"/>
              </w:rPr>
            </w:pPr>
          </w:p>
        </w:tc>
        <w:tc>
          <w:tcPr>
            <w:tcW w:w="859" w:type="dxa"/>
          </w:tcPr>
          <w:p w14:paraId="7FC3F0F9" w14:textId="77777777" w:rsidR="00CA7084" w:rsidRDefault="00CA7084">
            <w:pPr>
              <w:spacing w:beforeAutospacing="1" w:after="0" w:line="240" w:lineRule="auto"/>
              <w:rPr>
                <w:rFonts w:ascii="Times New Roman" w:eastAsia="Times New Roman" w:hAnsi="Times New Roman" w:cs="Times New Roman"/>
                <w:kern w:val="0"/>
                <w:lang w:val="en-US" w:eastAsia="fr-BE"/>
                <w14:ligatures w14:val="none"/>
              </w:rPr>
            </w:pPr>
          </w:p>
        </w:tc>
        <w:tc>
          <w:tcPr>
            <w:tcW w:w="858" w:type="dxa"/>
          </w:tcPr>
          <w:p w14:paraId="1B007739" w14:textId="77777777" w:rsidR="00CA7084" w:rsidRDefault="00CA7084">
            <w:pPr>
              <w:spacing w:beforeAutospacing="1" w:after="0" w:line="240" w:lineRule="auto"/>
              <w:rPr>
                <w:rFonts w:ascii="Times New Roman" w:eastAsia="Times New Roman" w:hAnsi="Times New Roman" w:cs="Times New Roman"/>
                <w:kern w:val="0"/>
                <w:lang w:val="en-US" w:eastAsia="fr-BE"/>
                <w14:ligatures w14:val="none"/>
              </w:rPr>
            </w:pPr>
          </w:p>
        </w:tc>
      </w:tr>
      <w:tr w:rsidR="00CA7084" w14:paraId="7767BE3F" w14:textId="77777777">
        <w:tc>
          <w:tcPr>
            <w:tcW w:w="993" w:type="dxa"/>
          </w:tcPr>
          <w:p w14:paraId="6CA81836"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RF      </w:t>
            </w:r>
          </w:p>
        </w:tc>
        <w:tc>
          <w:tcPr>
            <w:tcW w:w="2420" w:type="dxa"/>
          </w:tcPr>
          <w:p w14:paraId="07B5B73F"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A1, sans SMOTE                  </w:t>
            </w:r>
          </w:p>
        </w:tc>
        <w:tc>
          <w:tcPr>
            <w:tcW w:w="792" w:type="dxa"/>
          </w:tcPr>
          <w:p w14:paraId="6143A774"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 </w:t>
            </w:r>
          </w:p>
        </w:tc>
        <w:tc>
          <w:tcPr>
            <w:tcW w:w="1136" w:type="dxa"/>
          </w:tcPr>
          <w:p w14:paraId="7B7BF67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0,848  </w:t>
            </w:r>
          </w:p>
        </w:tc>
        <w:tc>
          <w:tcPr>
            <w:tcW w:w="878" w:type="dxa"/>
          </w:tcPr>
          <w:p w14:paraId="5DAC0215"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0,008     </w:t>
            </w:r>
          </w:p>
        </w:tc>
        <w:tc>
          <w:tcPr>
            <w:tcW w:w="1110" w:type="dxa"/>
          </w:tcPr>
          <w:p w14:paraId="2AD8D664"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0,500        </w:t>
            </w:r>
          </w:p>
        </w:tc>
        <w:tc>
          <w:tcPr>
            <w:tcW w:w="826" w:type="dxa"/>
          </w:tcPr>
          <w:p w14:paraId="5BA59058"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0,015  </w:t>
            </w:r>
          </w:p>
        </w:tc>
        <w:tc>
          <w:tcPr>
            <w:tcW w:w="859" w:type="dxa"/>
          </w:tcPr>
          <w:p w14:paraId="799F6DE3"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0,677  </w:t>
            </w:r>
          </w:p>
        </w:tc>
        <w:tc>
          <w:tcPr>
            <w:tcW w:w="858" w:type="dxa"/>
          </w:tcPr>
          <w:p w14:paraId="74478935"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0,258</w:t>
            </w:r>
          </w:p>
        </w:tc>
      </w:tr>
      <w:tr w:rsidR="00CA7084" w14:paraId="4677DE85" w14:textId="77777777">
        <w:tc>
          <w:tcPr>
            <w:tcW w:w="993" w:type="dxa"/>
          </w:tcPr>
          <w:p w14:paraId="61FA6AC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RF      </w:t>
            </w:r>
          </w:p>
        </w:tc>
        <w:tc>
          <w:tcPr>
            <w:tcW w:w="2420" w:type="dxa"/>
          </w:tcPr>
          <w:p w14:paraId="5EE0144F"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A1, sans SMOTE (F1-opt)         </w:t>
            </w:r>
          </w:p>
        </w:tc>
        <w:tc>
          <w:tcPr>
            <w:tcW w:w="792" w:type="dxa"/>
          </w:tcPr>
          <w:p w14:paraId="557812B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0,09 </w:t>
            </w:r>
          </w:p>
        </w:tc>
        <w:tc>
          <w:tcPr>
            <w:tcW w:w="1136" w:type="dxa"/>
          </w:tcPr>
          <w:p w14:paraId="7A738FAF"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0,467  </w:t>
            </w:r>
          </w:p>
        </w:tc>
        <w:tc>
          <w:tcPr>
            <w:tcW w:w="878" w:type="dxa"/>
          </w:tcPr>
          <w:p w14:paraId="3E5C212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0,845     </w:t>
            </w:r>
          </w:p>
        </w:tc>
        <w:tc>
          <w:tcPr>
            <w:tcW w:w="1110" w:type="dxa"/>
          </w:tcPr>
          <w:p w14:paraId="6F711402"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0,201        </w:t>
            </w:r>
          </w:p>
        </w:tc>
        <w:tc>
          <w:tcPr>
            <w:tcW w:w="826" w:type="dxa"/>
          </w:tcPr>
          <w:p w14:paraId="60198311"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0,325  </w:t>
            </w:r>
          </w:p>
        </w:tc>
        <w:tc>
          <w:tcPr>
            <w:tcW w:w="859" w:type="dxa"/>
          </w:tcPr>
          <w:p w14:paraId="4DC60435"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0,647  </w:t>
            </w:r>
          </w:p>
        </w:tc>
        <w:tc>
          <w:tcPr>
            <w:tcW w:w="858" w:type="dxa"/>
          </w:tcPr>
          <w:p w14:paraId="409C47B6"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0,234</w:t>
            </w:r>
          </w:p>
        </w:tc>
      </w:tr>
      <w:tr w:rsidR="00CA7084" w14:paraId="22B60599" w14:textId="77777777">
        <w:tc>
          <w:tcPr>
            <w:tcW w:w="993" w:type="dxa"/>
          </w:tcPr>
          <w:p w14:paraId="7FA06024"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RF      </w:t>
            </w:r>
          </w:p>
        </w:tc>
        <w:tc>
          <w:tcPr>
            <w:tcW w:w="2420" w:type="dxa"/>
          </w:tcPr>
          <w:p w14:paraId="46953E63"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B1, SMOTE                       </w:t>
            </w:r>
          </w:p>
        </w:tc>
        <w:tc>
          <w:tcPr>
            <w:tcW w:w="792" w:type="dxa"/>
          </w:tcPr>
          <w:p w14:paraId="668738C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 </w:t>
            </w:r>
          </w:p>
        </w:tc>
        <w:tc>
          <w:tcPr>
            <w:tcW w:w="1136" w:type="dxa"/>
          </w:tcPr>
          <w:p w14:paraId="6C9AEC55"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0,796  </w:t>
            </w:r>
          </w:p>
        </w:tc>
        <w:tc>
          <w:tcPr>
            <w:tcW w:w="878" w:type="dxa"/>
          </w:tcPr>
          <w:p w14:paraId="0E696D3F"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0,171     </w:t>
            </w:r>
          </w:p>
        </w:tc>
        <w:tc>
          <w:tcPr>
            <w:tcW w:w="1110" w:type="dxa"/>
          </w:tcPr>
          <w:p w14:paraId="7D90C0CE"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0,250        </w:t>
            </w:r>
          </w:p>
        </w:tc>
        <w:tc>
          <w:tcPr>
            <w:tcW w:w="826" w:type="dxa"/>
          </w:tcPr>
          <w:p w14:paraId="3541A482"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0,203  </w:t>
            </w:r>
          </w:p>
        </w:tc>
        <w:tc>
          <w:tcPr>
            <w:tcW w:w="859" w:type="dxa"/>
          </w:tcPr>
          <w:p w14:paraId="3250EAD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0,670  </w:t>
            </w:r>
          </w:p>
        </w:tc>
        <w:tc>
          <w:tcPr>
            <w:tcW w:w="858" w:type="dxa"/>
          </w:tcPr>
          <w:p w14:paraId="654EFFBE"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0,253</w:t>
            </w:r>
          </w:p>
        </w:tc>
      </w:tr>
      <w:tr w:rsidR="00CA7084" w14:paraId="6FFCECC5" w14:textId="77777777">
        <w:tc>
          <w:tcPr>
            <w:tcW w:w="993" w:type="dxa"/>
          </w:tcPr>
          <w:p w14:paraId="3C0195CD" w14:textId="77777777" w:rsidR="00CA7084" w:rsidRDefault="00CA7084">
            <w:pPr>
              <w:spacing w:beforeAutospacing="1" w:after="0" w:line="240" w:lineRule="auto"/>
              <w:rPr>
                <w:rFonts w:ascii="Times New Roman" w:eastAsia="Times New Roman" w:hAnsi="Times New Roman" w:cs="Times New Roman"/>
                <w:kern w:val="0"/>
                <w:lang w:eastAsia="fr-BE"/>
                <w14:ligatures w14:val="none"/>
              </w:rPr>
            </w:pPr>
          </w:p>
        </w:tc>
        <w:tc>
          <w:tcPr>
            <w:tcW w:w="2420" w:type="dxa"/>
          </w:tcPr>
          <w:p w14:paraId="23DC9D6F" w14:textId="77777777" w:rsidR="00CA7084" w:rsidRDefault="00CA7084">
            <w:pPr>
              <w:spacing w:beforeAutospacing="1" w:after="0" w:line="240" w:lineRule="auto"/>
              <w:rPr>
                <w:rFonts w:ascii="Times New Roman" w:eastAsia="Times New Roman" w:hAnsi="Times New Roman" w:cs="Times New Roman"/>
                <w:kern w:val="0"/>
                <w:lang w:eastAsia="fr-BE"/>
                <w14:ligatures w14:val="none"/>
              </w:rPr>
            </w:pPr>
          </w:p>
        </w:tc>
        <w:tc>
          <w:tcPr>
            <w:tcW w:w="792" w:type="dxa"/>
          </w:tcPr>
          <w:p w14:paraId="61907B7F" w14:textId="77777777" w:rsidR="00CA7084" w:rsidRDefault="00CA7084">
            <w:pPr>
              <w:spacing w:beforeAutospacing="1" w:after="0" w:line="240" w:lineRule="auto"/>
              <w:rPr>
                <w:rFonts w:ascii="Times New Roman" w:eastAsia="Times New Roman" w:hAnsi="Times New Roman" w:cs="Times New Roman"/>
                <w:kern w:val="0"/>
                <w:lang w:eastAsia="fr-BE"/>
                <w14:ligatures w14:val="none"/>
              </w:rPr>
            </w:pPr>
          </w:p>
        </w:tc>
        <w:tc>
          <w:tcPr>
            <w:tcW w:w="1136" w:type="dxa"/>
          </w:tcPr>
          <w:p w14:paraId="7EDE9E9C" w14:textId="77777777" w:rsidR="00CA7084" w:rsidRDefault="00CA7084">
            <w:pPr>
              <w:spacing w:beforeAutospacing="1" w:after="0" w:line="240" w:lineRule="auto"/>
              <w:rPr>
                <w:rFonts w:ascii="Times New Roman" w:eastAsia="Times New Roman" w:hAnsi="Times New Roman" w:cs="Times New Roman"/>
                <w:kern w:val="0"/>
                <w:lang w:eastAsia="fr-BE"/>
                <w14:ligatures w14:val="none"/>
              </w:rPr>
            </w:pPr>
          </w:p>
        </w:tc>
        <w:tc>
          <w:tcPr>
            <w:tcW w:w="878" w:type="dxa"/>
          </w:tcPr>
          <w:p w14:paraId="3D77C0F5" w14:textId="77777777" w:rsidR="00CA7084" w:rsidRDefault="00CA7084">
            <w:pPr>
              <w:spacing w:beforeAutospacing="1" w:after="0" w:line="240" w:lineRule="auto"/>
              <w:rPr>
                <w:rFonts w:ascii="Times New Roman" w:eastAsia="Times New Roman" w:hAnsi="Times New Roman" w:cs="Times New Roman"/>
                <w:kern w:val="0"/>
                <w:lang w:eastAsia="fr-BE"/>
                <w14:ligatures w14:val="none"/>
              </w:rPr>
            </w:pPr>
          </w:p>
        </w:tc>
        <w:tc>
          <w:tcPr>
            <w:tcW w:w="1110" w:type="dxa"/>
          </w:tcPr>
          <w:p w14:paraId="36323B44" w14:textId="77777777" w:rsidR="00CA7084" w:rsidRDefault="00CA7084">
            <w:pPr>
              <w:spacing w:beforeAutospacing="1" w:after="0" w:line="240" w:lineRule="auto"/>
              <w:rPr>
                <w:rFonts w:ascii="Times New Roman" w:eastAsia="Times New Roman" w:hAnsi="Times New Roman" w:cs="Times New Roman"/>
                <w:kern w:val="0"/>
                <w:lang w:eastAsia="fr-BE"/>
                <w14:ligatures w14:val="none"/>
              </w:rPr>
            </w:pPr>
          </w:p>
        </w:tc>
        <w:tc>
          <w:tcPr>
            <w:tcW w:w="826" w:type="dxa"/>
          </w:tcPr>
          <w:p w14:paraId="40186563" w14:textId="77777777" w:rsidR="00CA7084" w:rsidRDefault="00CA7084">
            <w:pPr>
              <w:spacing w:beforeAutospacing="1" w:after="0" w:line="240" w:lineRule="auto"/>
              <w:rPr>
                <w:rFonts w:ascii="Times New Roman" w:eastAsia="Times New Roman" w:hAnsi="Times New Roman" w:cs="Times New Roman"/>
                <w:kern w:val="0"/>
                <w:lang w:eastAsia="fr-BE"/>
                <w14:ligatures w14:val="none"/>
              </w:rPr>
            </w:pPr>
          </w:p>
        </w:tc>
        <w:tc>
          <w:tcPr>
            <w:tcW w:w="859" w:type="dxa"/>
          </w:tcPr>
          <w:p w14:paraId="02F65DF6" w14:textId="77777777" w:rsidR="00CA7084" w:rsidRDefault="00CA7084">
            <w:pPr>
              <w:spacing w:beforeAutospacing="1" w:after="0" w:line="240" w:lineRule="auto"/>
              <w:rPr>
                <w:rFonts w:ascii="Times New Roman" w:eastAsia="Times New Roman" w:hAnsi="Times New Roman" w:cs="Times New Roman"/>
                <w:kern w:val="0"/>
                <w:lang w:eastAsia="fr-BE"/>
                <w14:ligatures w14:val="none"/>
              </w:rPr>
            </w:pPr>
          </w:p>
        </w:tc>
        <w:tc>
          <w:tcPr>
            <w:tcW w:w="858" w:type="dxa"/>
          </w:tcPr>
          <w:p w14:paraId="407F556C" w14:textId="77777777" w:rsidR="00CA7084" w:rsidRDefault="00CA7084">
            <w:pPr>
              <w:spacing w:beforeAutospacing="1" w:after="0" w:line="240" w:lineRule="auto"/>
              <w:rPr>
                <w:rFonts w:ascii="Times New Roman" w:eastAsia="Times New Roman" w:hAnsi="Times New Roman" w:cs="Times New Roman"/>
                <w:kern w:val="0"/>
                <w:lang w:eastAsia="fr-BE"/>
                <w14:ligatures w14:val="none"/>
              </w:rPr>
            </w:pPr>
          </w:p>
        </w:tc>
      </w:tr>
      <w:tr w:rsidR="00CA7084" w14:paraId="0D756DE6" w14:textId="77777777">
        <w:tc>
          <w:tcPr>
            <w:tcW w:w="993" w:type="dxa"/>
          </w:tcPr>
          <w:p w14:paraId="55143EE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GB      </w:t>
            </w:r>
          </w:p>
        </w:tc>
        <w:tc>
          <w:tcPr>
            <w:tcW w:w="2420" w:type="dxa"/>
          </w:tcPr>
          <w:p w14:paraId="04BEB93B"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A1, sans SMOTE                  </w:t>
            </w:r>
          </w:p>
        </w:tc>
        <w:tc>
          <w:tcPr>
            <w:tcW w:w="792" w:type="dxa"/>
          </w:tcPr>
          <w:p w14:paraId="23D4C994"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 </w:t>
            </w:r>
          </w:p>
        </w:tc>
        <w:tc>
          <w:tcPr>
            <w:tcW w:w="1136" w:type="dxa"/>
          </w:tcPr>
          <w:p w14:paraId="3545EEA2"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0,836  </w:t>
            </w:r>
          </w:p>
        </w:tc>
        <w:tc>
          <w:tcPr>
            <w:tcW w:w="878" w:type="dxa"/>
          </w:tcPr>
          <w:p w14:paraId="56E09BB6"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0,070     </w:t>
            </w:r>
          </w:p>
        </w:tc>
        <w:tc>
          <w:tcPr>
            <w:tcW w:w="1110" w:type="dxa"/>
          </w:tcPr>
          <w:p w14:paraId="01C26D50"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0,321        </w:t>
            </w:r>
          </w:p>
        </w:tc>
        <w:tc>
          <w:tcPr>
            <w:tcW w:w="826" w:type="dxa"/>
          </w:tcPr>
          <w:p w14:paraId="1AE84186"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0,115  </w:t>
            </w:r>
          </w:p>
        </w:tc>
        <w:tc>
          <w:tcPr>
            <w:tcW w:w="859" w:type="dxa"/>
          </w:tcPr>
          <w:p w14:paraId="5B2672A5"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0,664  </w:t>
            </w:r>
          </w:p>
        </w:tc>
        <w:tc>
          <w:tcPr>
            <w:tcW w:w="858" w:type="dxa"/>
          </w:tcPr>
          <w:p w14:paraId="6D0900E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0,247</w:t>
            </w:r>
          </w:p>
        </w:tc>
      </w:tr>
      <w:tr w:rsidR="00CA7084" w14:paraId="544A0A81" w14:textId="77777777">
        <w:tc>
          <w:tcPr>
            <w:tcW w:w="993" w:type="dxa"/>
          </w:tcPr>
          <w:p w14:paraId="6D05D64F"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GB      </w:t>
            </w:r>
          </w:p>
        </w:tc>
        <w:tc>
          <w:tcPr>
            <w:tcW w:w="2420" w:type="dxa"/>
          </w:tcPr>
          <w:p w14:paraId="13FB990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A1, sans SMOTE (F1-opt)         </w:t>
            </w:r>
          </w:p>
        </w:tc>
        <w:tc>
          <w:tcPr>
            <w:tcW w:w="792" w:type="dxa"/>
          </w:tcPr>
          <w:p w14:paraId="362A4CA1"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0,11 </w:t>
            </w:r>
          </w:p>
        </w:tc>
        <w:tc>
          <w:tcPr>
            <w:tcW w:w="1136" w:type="dxa"/>
          </w:tcPr>
          <w:p w14:paraId="0FCA80F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0,568  </w:t>
            </w:r>
          </w:p>
        </w:tc>
        <w:tc>
          <w:tcPr>
            <w:tcW w:w="878" w:type="dxa"/>
          </w:tcPr>
          <w:p w14:paraId="66C2AB0B"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0,752     </w:t>
            </w:r>
          </w:p>
        </w:tc>
        <w:tc>
          <w:tcPr>
            <w:tcW w:w="1110" w:type="dxa"/>
          </w:tcPr>
          <w:p w14:paraId="5528B5F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0,225        </w:t>
            </w:r>
          </w:p>
        </w:tc>
        <w:tc>
          <w:tcPr>
            <w:tcW w:w="826" w:type="dxa"/>
          </w:tcPr>
          <w:p w14:paraId="15DA8175"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0,346  </w:t>
            </w:r>
          </w:p>
        </w:tc>
        <w:tc>
          <w:tcPr>
            <w:tcW w:w="859" w:type="dxa"/>
          </w:tcPr>
          <w:p w14:paraId="7AA5111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0,672  </w:t>
            </w:r>
          </w:p>
        </w:tc>
        <w:tc>
          <w:tcPr>
            <w:tcW w:w="858" w:type="dxa"/>
          </w:tcPr>
          <w:p w14:paraId="298E5470"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0,259</w:t>
            </w:r>
          </w:p>
        </w:tc>
      </w:tr>
      <w:tr w:rsidR="00CA7084" w14:paraId="4A5008B1" w14:textId="77777777">
        <w:tc>
          <w:tcPr>
            <w:tcW w:w="993" w:type="dxa"/>
          </w:tcPr>
          <w:p w14:paraId="3781CB15"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GB      </w:t>
            </w:r>
          </w:p>
        </w:tc>
        <w:tc>
          <w:tcPr>
            <w:tcW w:w="2420" w:type="dxa"/>
          </w:tcPr>
          <w:p w14:paraId="0958C4C4"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B1, SMOTE                       </w:t>
            </w:r>
          </w:p>
        </w:tc>
        <w:tc>
          <w:tcPr>
            <w:tcW w:w="792" w:type="dxa"/>
          </w:tcPr>
          <w:p w14:paraId="2D81486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 </w:t>
            </w:r>
          </w:p>
        </w:tc>
        <w:tc>
          <w:tcPr>
            <w:tcW w:w="1136" w:type="dxa"/>
          </w:tcPr>
          <w:p w14:paraId="53C36FE8"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0,805  </w:t>
            </w:r>
          </w:p>
        </w:tc>
        <w:tc>
          <w:tcPr>
            <w:tcW w:w="878" w:type="dxa"/>
          </w:tcPr>
          <w:p w14:paraId="0BA904FB"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0,124     </w:t>
            </w:r>
          </w:p>
        </w:tc>
        <w:tc>
          <w:tcPr>
            <w:tcW w:w="1110" w:type="dxa"/>
          </w:tcPr>
          <w:p w14:paraId="6E30C1A9"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0,235        </w:t>
            </w:r>
          </w:p>
        </w:tc>
        <w:tc>
          <w:tcPr>
            <w:tcW w:w="826" w:type="dxa"/>
          </w:tcPr>
          <w:p w14:paraId="5F825E3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0,162  </w:t>
            </w:r>
          </w:p>
        </w:tc>
        <w:tc>
          <w:tcPr>
            <w:tcW w:w="859" w:type="dxa"/>
          </w:tcPr>
          <w:p w14:paraId="27662F1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0,641  </w:t>
            </w:r>
          </w:p>
        </w:tc>
        <w:tc>
          <w:tcPr>
            <w:tcW w:w="858" w:type="dxa"/>
          </w:tcPr>
          <w:p w14:paraId="16295289"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0,226</w:t>
            </w:r>
          </w:p>
        </w:tc>
      </w:tr>
      <w:tr w:rsidR="00CA7084" w14:paraId="4AD9B618" w14:textId="77777777">
        <w:tc>
          <w:tcPr>
            <w:tcW w:w="993" w:type="dxa"/>
          </w:tcPr>
          <w:p w14:paraId="7B6A4D9B" w14:textId="77777777" w:rsidR="00CA7084" w:rsidRDefault="00CA7084">
            <w:pPr>
              <w:spacing w:beforeAutospacing="1" w:after="0" w:line="240" w:lineRule="auto"/>
              <w:rPr>
                <w:rFonts w:ascii="Times New Roman" w:eastAsia="Times New Roman" w:hAnsi="Times New Roman" w:cs="Times New Roman"/>
                <w:kern w:val="0"/>
                <w:lang w:eastAsia="fr-BE"/>
                <w14:ligatures w14:val="none"/>
              </w:rPr>
            </w:pPr>
          </w:p>
        </w:tc>
        <w:tc>
          <w:tcPr>
            <w:tcW w:w="2420" w:type="dxa"/>
          </w:tcPr>
          <w:p w14:paraId="3830354F" w14:textId="77777777" w:rsidR="00CA7084" w:rsidRDefault="00CA7084">
            <w:pPr>
              <w:spacing w:beforeAutospacing="1" w:after="0" w:line="240" w:lineRule="auto"/>
              <w:rPr>
                <w:rFonts w:ascii="Times New Roman" w:eastAsia="Times New Roman" w:hAnsi="Times New Roman" w:cs="Times New Roman"/>
                <w:kern w:val="0"/>
                <w:lang w:eastAsia="fr-BE"/>
                <w14:ligatures w14:val="none"/>
              </w:rPr>
            </w:pPr>
          </w:p>
        </w:tc>
        <w:tc>
          <w:tcPr>
            <w:tcW w:w="792" w:type="dxa"/>
          </w:tcPr>
          <w:p w14:paraId="2C79F73C" w14:textId="77777777" w:rsidR="00CA7084" w:rsidRDefault="00CA7084">
            <w:pPr>
              <w:spacing w:beforeAutospacing="1" w:after="0" w:line="240" w:lineRule="auto"/>
              <w:rPr>
                <w:rFonts w:ascii="Times New Roman" w:eastAsia="Times New Roman" w:hAnsi="Times New Roman" w:cs="Times New Roman"/>
                <w:kern w:val="0"/>
                <w:lang w:eastAsia="fr-BE"/>
                <w14:ligatures w14:val="none"/>
              </w:rPr>
            </w:pPr>
          </w:p>
        </w:tc>
        <w:tc>
          <w:tcPr>
            <w:tcW w:w="1136" w:type="dxa"/>
          </w:tcPr>
          <w:p w14:paraId="5E0E82F9" w14:textId="77777777" w:rsidR="00CA7084" w:rsidRDefault="00CA7084">
            <w:pPr>
              <w:spacing w:beforeAutospacing="1" w:after="0" w:line="240" w:lineRule="auto"/>
              <w:rPr>
                <w:rFonts w:ascii="Times New Roman" w:eastAsia="Times New Roman" w:hAnsi="Times New Roman" w:cs="Times New Roman"/>
                <w:kern w:val="0"/>
                <w:lang w:eastAsia="fr-BE"/>
                <w14:ligatures w14:val="none"/>
              </w:rPr>
            </w:pPr>
          </w:p>
        </w:tc>
        <w:tc>
          <w:tcPr>
            <w:tcW w:w="878" w:type="dxa"/>
          </w:tcPr>
          <w:p w14:paraId="6DC383EA" w14:textId="77777777" w:rsidR="00CA7084" w:rsidRDefault="00CA7084">
            <w:pPr>
              <w:spacing w:beforeAutospacing="1" w:after="0" w:line="240" w:lineRule="auto"/>
              <w:rPr>
                <w:rFonts w:ascii="Times New Roman" w:eastAsia="Times New Roman" w:hAnsi="Times New Roman" w:cs="Times New Roman"/>
                <w:kern w:val="0"/>
                <w:lang w:eastAsia="fr-BE"/>
                <w14:ligatures w14:val="none"/>
              </w:rPr>
            </w:pPr>
          </w:p>
        </w:tc>
        <w:tc>
          <w:tcPr>
            <w:tcW w:w="1110" w:type="dxa"/>
          </w:tcPr>
          <w:p w14:paraId="00A892B6" w14:textId="77777777" w:rsidR="00CA7084" w:rsidRDefault="00CA7084">
            <w:pPr>
              <w:spacing w:beforeAutospacing="1" w:after="0" w:line="240" w:lineRule="auto"/>
              <w:rPr>
                <w:rFonts w:ascii="Times New Roman" w:eastAsia="Times New Roman" w:hAnsi="Times New Roman" w:cs="Times New Roman"/>
                <w:kern w:val="0"/>
                <w:lang w:eastAsia="fr-BE"/>
                <w14:ligatures w14:val="none"/>
              </w:rPr>
            </w:pPr>
          </w:p>
        </w:tc>
        <w:tc>
          <w:tcPr>
            <w:tcW w:w="826" w:type="dxa"/>
          </w:tcPr>
          <w:p w14:paraId="5E10F667" w14:textId="77777777" w:rsidR="00CA7084" w:rsidRDefault="00CA7084">
            <w:pPr>
              <w:spacing w:beforeAutospacing="1" w:after="0" w:line="240" w:lineRule="auto"/>
              <w:rPr>
                <w:rFonts w:ascii="Times New Roman" w:eastAsia="Times New Roman" w:hAnsi="Times New Roman" w:cs="Times New Roman"/>
                <w:kern w:val="0"/>
                <w:lang w:eastAsia="fr-BE"/>
                <w14:ligatures w14:val="none"/>
              </w:rPr>
            </w:pPr>
          </w:p>
        </w:tc>
        <w:tc>
          <w:tcPr>
            <w:tcW w:w="859" w:type="dxa"/>
          </w:tcPr>
          <w:p w14:paraId="4BC9C6A7" w14:textId="77777777" w:rsidR="00CA7084" w:rsidRDefault="00CA7084">
            <w:pPr>
              <w:spacing w:beforeAutospacing="1" w:after="0" w:line="240" w:lineRule="auto"/>
              <w:rPr>
                <w:rFonts w:ascii="Times New Roman" w:eastAsia="Times New Roman" w:hAnsi="Times New Roman" w:cs="Times New Roman"/>
                <w:kern w:val="0"/>
                <w:lang w:eastAsia="fr-BE"/>
                <w14:ligatures w14:val="none"/>
              </w:rPr>
            </w:pPr>
          </w:p>
        </w:tc>
        <w:tc>
          <w:tcPr>
            <w:tcW w:w="858" w:type="dxa"/>
          </w:tcPr>
          <w:p w14:paraId="16D6D5ED" w14:textId="77777777" w:rsidR="00CA7084" w:rsidRDefault="00CA7084">
            <w:pPr>
              <w:spacing w:beforeAutospacing="1" w:after="0" w:line="240" w:lineRule="auto"/>
              <w:rPr>
                <w:rFonts w:ascii="Times New Roman" w:eastAsia="Times New Roman" w:hAnsi="Times New Roman" w:cs="Times New Roman"/>
                <w:kern w:val="0"/>
                <w:lang w:eastAsia="fr-BE"/>
                <w14:ligatures w14:val="none"/>
              </w:rPr>
            </w:pPr>
          </w:p>
        </w:tc>
      </w:tr>
      <w:tr w:rsidR="00CA7084" w14:paraId="1D08447F" w14:textId="77777777">
        <w:tc>
          <w:tcPr>
            <w:tcW w:w="993" w:type="dxa"/>
          </w:tcPr>
          <w:p w14:paraId="1D2B9E1F"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XGB     </w:t>
            </w:r>
          </w:p>
        </w:tc>
        <w:tc>
          <w:tcPr>
            <w:tcW w:w="2420" w:type="dxa"/>
          </w:tcPr>
          <w:p w14:paraId="2D5DD83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A1, sans SMOTE                  </w:t>
            </w:r>
          </w:p>
        </w:tc>
        <w:tc>
          <w:tcPr>
            <w:tcW w:w="792" w:type="dxa"/>
          </w:tcPr>
          <w:p w14:paraId="043C7E5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 </w:t>
            </w:r>
          </w:p>
        </w:tc>
        <w:tc>
          <w:tcPr>
            <w:tcW w:w="1136" w:type="dxa"/>
          </w:tcPr>
          <w:p w14:paraId="1FC87B19"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0,835  </w:t>
            </w:r>
          </w:p>
        </w:tc>
        <w:tc>
          <w:tcPr>
            <w:tcW w:w="878" w:type="dxa"/>
          </w:tcPr>
          <w:p w14:paraId="6927223B"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0,093     </w:t>
            </w:r>
          </w:p>
        </w:tc>
        <w:tc>
          <w:tcPr>
            <w:tcW w:w="1110" w:type="dxa"/>
          </w:tcPr>
          <w:p w14:paraId="1D591B76"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0,343        </w:t>
            </w:r>
          </w:p>
        </w:tc>
        <w:tc>
          <w:tcPr>
            <w:tcW w:w="826" w:type="dxa"/>
          </w:tcPr>
          <w:p w14:paraId="7E7F322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0,146  </w:t>
            </w:r>
          </w:p>
        </w:tc>
        <w:tc>
          <w:tcPr>
            <w:tcW w:w="859" w:type="dxa"/>
          </w:tcPr>
          <w:p w14:paraId="70B46D3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0,656  </w:t>
            </w:r>
          </w:p>
        </w:tc>
        <w:tc>
          <w:tcPr>
            <w:tcW w:w="858" w:type="dxa"/>
          </w:tcPr>
          <w:p w14:paraId="54CECFD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0,247</w:t>
            </w:r>
          </w:p>
        </w:tc>
      </w:tr>
      <w:tr w:rsidR="00CA7084" w14:paraId="6B14B126" w14:textId="77777777">
        <w:tc>
          <w:tcPr>
            <w:tcW w:w="993" w:type="dxa"/>
          </w:tcPr>
          <w:p w14:paraId="61388A5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XGB     </w:t>
            </w:r>
          </w:p>
        </w:tc>
        <w:tc>
          <w:tcPr>
            <w:tcW w:w="2420" w:type="dxa"/>
          </w:tcPr>
          <w:p w14:paraId="5120DD89"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A1, sans SMOTE (F1-opt)         </w:t>
            </w:r>
          </w:p>
        </w:tc>
        <w:tc>
          <w:tcPr>
            <w:tcW w:w="792" w:type="dxa"/>
          </w:tcPr>
          <w:p w14:paraId="74DFC31B"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0,09 </w:t>
            </w:r>
          </w:p>
        </w:tc>
        <w:tc>
          <w:tcPr>
            <w:tcW w:w="1136" w:type="dxa"/>
          </w:tcPr>
          <w:p w14:paraId="474CEA0E"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0,528  </w:t>
            </w:r>
          </w:p>
        </w:tc>
        <w:tc>
          <w:tcPr>
            <w:tcW w:w="878" w:type="dxa"/>
          </w:tcPr>
          <w:p w14:paraId="6CBBEFA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0,736     </w:t>
            </w:r>
          </w:p>
        </w:tc>
        <w:tc>
          <w:tcPr>
            <w:tcW w:w="1110" w:type="dxa"/>
          </w:tcPr>
          <w:p w14:paraId="00E6C2D4"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0,206        </w:t>
            </w:r>
          </w:p>
        </w:tc>
        <w:tc>
          <w:tcPr>
            <w:tcW w:w="826" w:type="dxa"/>
          </w:tcPr>
          <w:p w14:paraId="2FCCDF9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0,322  </w:t>
            </w:r>
          </w:p>
        </w:tc>
        <w:tc>
          <w:tcPr>
            <w:tcW w:w="859" w:type="dxa"/>
          </w:tcPr>
          <w:p w14:paraId="61AB3E09"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0,642  </w:t>
            </w:r>
          </w:p>
        </w:tc>
        <w:tc>
          <w:tcPr>
            <w:tcW w:w="858" w:type="dxa"/>
          </w:tcPr>
          <w:p w14:paraId="0177C6D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0,237</w:t>
            </w:r>
          </w:p>
        </w:tc>
      </w:tr>
      <w:tr w:rsidR="00CA7084" w14:paraId="2262B17D" w14:textId="77777777">
        <w:tc>
          <w:tcPr>
            <w:tcW w:w="993" w:type="dxa"/>
          </w:tcPr>
          <w:p w14:paraId="13DCE6B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XGB     </w:t>
            </w:r>
          </w:p>
        </w:tc>
        <w:tc>
          <w:tcPr>
            <w:tcW w:w="2420" w:type="dxa"/>
          </w:tcPr>
          <w:p w14:paraId="1C8C76EB"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B1, SMOTE                       </w:t>
            </w:r>
          </w:p>
        </w:tc>
        <w:tc>
          <w:tcPr>
            <w:tcW w:w="792" w:type="dxa"/>
          </w:tcPr>
          <w:p w14:paraId="53BAC6D3"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 </w:t>
            </w:r>
          </w:p>
        </w:tc>
        <w:tc>
          <w:tcPr>
            <w:tcW w:w="1136" w:type="dxa"/>
          </w:tcPr>
          <w:p w14:paraId="3F6A61FF"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0,807  </w:t>
            </w:r>
          </w:p>
        </w:tc>
        <w:tc>
          <w:tcPr>
            <w:tcW w:w="878" w:type="dxa"/>
          </w:tcPr>
          <w:p w14:paraId="6F3E4934"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0,132     </w:t>
            </w:r>
          </w:p>
        </w:tc>
        <w:tc>
          <w:tcPr>
            <w:tcW w:w="1110" w:type="dxa"/>
          </w:tcPr>
          <w:p w14:paraId="438B3A5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0,246        </w:t>
            </w:r>
          </w:p>
        </w:tc>
        <w:tc>
          <w:tcPr>
            <w:tcW w:w="826" w:type="dxa"/>
          </w:tcPr>
          <w:p w14:paraId="4F4ADFF8"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0,172  </w:t>
            </w:r>
          </w:p>
        </w:tc>
        <w:tc>
          <w:tcPr>
            <w:tcW w:w="859" w:type="dxa"/>
          </w:tcPr>
          <w:p w14:paraId="067F134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0,648  </w:t>
            </w:r>
          </w:p>
        </w:tc>
        <w:tc>
          <w:tcPr>
            <w:tcW w:w="858" w:type="dxa"/>
          </w:tcPr>
          <w:p w14:paraId="54141B28"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0,226</w:t>
            </w:r>
          </w:p>
        </w:tc>
      </w:tr>
    </w:tbl>
    <w:p w14:paraId="3F3FC7BA" w14:textId="77777777" w:rsidR="00CA7084" w:rsidRDefault="005648BA">
      <w:pPr>
        <w:spacing w:beforeAutospacing="1" w:afterAutospacing="1" w:line="240" w:lineRule="auto"/>
        <w:jc w:val="both"/>
        <w:rPr>
          <w:rFonts w:ascii="Times New Roman" w:hAnsi="Times New Roman" w:cs="Times New Roman"/>
        </w:rPr>
      </w:pPr>
      <w:r>
        <w:rPr>
          <w:rStyle w:val="lev"/>
          <w:rFonts w:ascii="Times New Roman" w:hAnsi="Times New Roman" w:cs="Times New Roman"/>
        </w:rPr>
        <w:lastRenderedPageBreak/>
        <w:t>Note :</w:t>
      </w:r>
      <w:r>
        <w:rPr>
          <w:rFonts w:ascii="Times New Roman" w:hAnsi="Times New Roman" w:cs="Times New Roman"/>
        </w:rPr>
        <w:t xml:space="preserve"> Les performances sont calculées sur le jeu de test (N = 848), conservé dans sa distribution naturelle d’environ 15 % d’événements coronariens. La classe positive correspond à la survenue d’un événement à dix ans (risque_chd_10ans = 1). Les modèles dits “F1-opt” sont évalués avec un seuil de probabilité choisi a posteriori pour maximiser le F1-score de la classe 1, tandis que les autres configurations utilisent le seuil conventionnel de 0,50. Les métriques AUC-ROC et AUC-PR sont indépendantes du seuil et reflètent la capacité de discrimination globale du modèle sur l’ensemble des seuils possibles.</w:t>
      </w:r>
    </w:p>
    <w:p w14:paraId="0CDDF0B5" w14:textId="77777777" w:rsidR="00CA7084" w:rsidRDefault="005648BA">
      <w:pPr>
        <w:spacing w:beforeAutospacing="1" w:afterAutospacing="1" w:line="240" w:lineRule="auto"/>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Résultats du modèle final : régression logistique A2 (seuil 0,15)</w:t>
      </w:r>
    </w:p>
    <w:p w14:paraId="396803D4" w14:textId="77777777" w:rsidR="00CA7084" w:rsidRDefault="005648BA">
      <w:pPr>
        <w:spacing w:beforeAutospacing="1" w:afterAutospacing="1" w:line="240" w:lineRule="auto"/>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Performance détaillée sur le jeu de test</w:t>
      </w:r>
    </w:p>
    <w:p w14:paraId="6667BF12"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Le modèle final retenu est la régression logistique standardisée sans SMOTE (LogReg_A2), évaluée avec un seuil de décision de 0,15 sur la probabilité prédite de maladie coronarienne à dix ans. Les performances sur le jeu de test (N = 848, dont 129 événements, soit ≈ 15,2 % de cas) sont résumées dans le tableau ci-dessous. Avec un seuil fixé à 0,15, le modèle final identifie environ 60 % des patients qui présenteront un événement coronarien à dix ans (rappel ≈ 0,60), au prix d’une précision modérée (≈ 0,25), ce qui signifie qu’environ un quart des patients classés “à risque” auront effectivement un événement. Concrètement, sur les 129 événements observés, 76 sont correctement détectés (TP) et 53 manqués (FN), tandis que, parmi les 719 non-événements, 481 sont correctement rassurés (TN) et 238 sont faussement étiquetés “à risque” (FP). Le F1-score de la classe 1 (≈ 0,36) résume ce compromis entre sensibilité et précision dans un contexte de prévalence basse (~15 %). Les aires sous les courbes ROC (≈ 0,70) et Precision–Recall (≈ 0,29), supérieures à la performance d’une stratégie naïve, indiquent une discrimination modérée mais réelle, tandis que le Brier score (de l’ordre de [valeur à insérer]) suggère des probabilités globalement compatibles avec les fréquences observées, point qui sera approfondi dans l’analyse de calibration.Tableau X. Performance du modèle final LogReg_A2 (seuil 0,15) sur le jeu de test (N = 848)</w:t>
      </w:r>
    </w:p>
    <w:tbl>
      <w:tblPr>
        <w:tblStyle w:val="Grilledutableau"/>
        <w:tblW w:w="9016" w:type="dxa"/>
        <w:tblLayout w:type="fixed"/>
        <w:tblLook w:val="04A0" w:firstRow="1" w:lastRow="0" w:firstColumn="1" w:lastColumn="0" w:noHBand="0" w:noVBand="1"/>
      </w:tblPr>
      <w:tblGrid>
        <w:gridCol w:w="770"/>
        <w:gridCol w:w="568"/>
        <w:gridCol w:w="871"/>
        <w:gridCol w:w="1320"/>
        <w:gridCol w:w="1520"/>
        <w:gridCol w:w="1063"/>
        <w:gridCol w:w="1017"/>
        <w:gridCol w:w="872"/>
        <w:gridCol w:w="1015"/>
      </w:tblGrid>
      <w:tr w:rsidR="00CA7084" w14:paraId="2B7F866B" w14:textId="77777777">
        <w:tc>
          <w:tcPr>
            <w:tcW w:w="769" w:type="dxa"/>
          </w:tcPr>
          <w:p w14:paraId="3519F453"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Modèle</w:t>
            </w:r>
          </w:p>
        </w:tc>
        <w:tc>
          <w:tcPr>
            <w:tcW w:w="568" w:type="dxa"/>
          </w:tcPr>
          <w:p w14:paraId="3FBEE560"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Seuil</w:t>
            </w:r>
          </w:p>
        </w:tc>
        <w:tc>
          <w:tcPr>
            <w:tcW w:w="871" w:type="dxa"/>
          </w:tcPr>
          <w:p w14:paraId="197269D2"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Accuracy</w:t>
            </w:r>
          </w:p>
        </w:tc>
        <w:tc>
          <w:tcPr>
            <w:tcW w:w="1320" w:type="dxa"/>
          </w:tcPr>
          <w:p w14:paraId="55525DE0"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Recall_classe_1</w:t>
            </w:r>
          </w:p>
        </w:tc>
        <w:tc>
          <w:tcPr>
            <w:tcW w:w="1520" w:type="dxa"/>
          </w:tcPr>
          <w:p w14:paraId="53E84A3E"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Precision_classe_1</w:t>
            </w:r>
          </w:p>
        </w:tc>
        <w:tc>
          <w:tcPr>
            <w:tcW w:w="1063" w:type="dxa"/>
          </w:tcPr>
          <w:p w14:paraId="11750DA2"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F1_classe_1</w:t>
            </w:r>
          </w:p>
        </w:tc>
        <w:tc>
          <w:tcPr>
            <w:tcW w:w="1017" w:type="dxa"/>
          </w:tcPr>
          <w:p w14:paraId="5298C2E9"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AUC_ROC</w:t>
            </w:r>
          </w:p>
        </w:tc>
        <w:tc>
          <w:tcPr>
            <w:tcW w:w="872" w:type="dxa"/>
          </w:tcPr>
          <w:p w14:paraId="497A544A"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AUC_PR</w:t>
            </w:r>
          </w:p>
        </w:tc>
        <w:tc>
          <w:tcPr>
            <w:tcW w:w="1015" w:type="dxa"/>
          </w:tcPr>
          <w:p w14:paraId="75006715"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Brier_score</w:t>
            </w:r>
          </w:p>
        </w:tc>
      </w:tr>
      <w:tr w:rsidR="00CA7084" w14:paraId="15A8C9A0" w14:textId="77777777">
        <w:tc>
          <w:tcPr>
            <w:tcW w:w="769" w:type="dxa"/>
          </w:tcPr>
          <w:p w14:paraId="56547F07"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LogReg</w:t>
            </w:r>
          </w:p>
        </w:tc>
        <w:tc>
          <w:tcPr>
            <w:tcW w:w="568" w:type="dxa"/>
          </w:tcPr>
          <w:p w14:paraId="029A0650"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0,15</w:t>
            </w:r>
          </w:p>
        </w:tc>
        <w:tc>
          <w:tcPr>
            <w:tcW w:w="871" w:type="dxa"/>
          </w:tcPr>
          <w:p w14:paraId="69F0EB93"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0.667</w:t>
            </w:r>
          </w:p>
        </w:tc>
        <w:tc>
          <w:tcPr>
            <w:tcW w:w="1320" w:type="dxa"/>
          </w:tcPr>
          <w:p w14:paraId="5A8A4F4E"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0.605</w:t>
            </w:r>
          </w:p>
        </w:tc>
        <w:tc>
          <w:tcPr>
            <w:tcW w:w="1520" w:type="dxa"/>
          </w:tcPr>
          <w:p w14:paraId="07113935"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0.252</w:t>
            </w:r>
          </w:p>
        </w:tc>
        <w:tc>
          <w:tcPr>
            <w:tcW w:w="1063" w:type="dxa"/>
          </w:tcPr>
          <w:p w14:paraId="3ACC5FE0"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0.356</w:t>
            </w:r>
          </w:p>
        </w:tc>
        <w:tc>
          <w:tcPr>
            <w:tcW w:w="1017" w:type="dxa"/>
          </w:tcPr>
          <w:p w14:paraId="4D86E200"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0.697</w:t>
            </w:r>
          </w:p>
        </w:tc>
        <w:tc>
          <w:tcPr>
            <w:tcW w:w="872" w:type="dxa"/>
          </w:tcPr>
          <w:p w14:paraId="4A98FABB"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0.290</w:t>
            </w:r>
          </w:p>
        </w:tc>
        <w:tc>
          <w:tcPr>
            <w:tcW w:w="1015" w:type="dxa"/>
          </w:tcPr>
          <w:p w14:paraId="69D7C4E1"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0.332</w:t>
            </w:r>
          </w:p>
        </w:tc>
      </w:tr>
    </w:tbl>
    <w:p w14:paraId="074BC975" w14:textId="77777777" w:rsidR="00CA7084" w:rsidRDefault="005648BA">
      <w:pPr>
        <w:spacing w:beforeAutospacing="1" w:afterAutospacing="1"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Tableau X.</w:t>
      </w:r>
      <w:r>
        <w:rPr>
          <w:rFonts w:ascii="Times New Roman" w:eastAsia="Times New Roman" w:hAnsi="Times New Roman" w:cs="Times New Roman"/>
          <w:kern w:val="0"/>
          <w:lang w:eastAsia="fr-BE"/>
          <w14:ligatures w14:val="none"/>
        </w:rPr>
        <w:t xml:space="preserve"> Matrice de confusion du modèle final LogReg_A2 sur le jeu de test (seuil de décision = 0,15).</w:t>
      </w:r>
    </w:p>
    <w:tbl>
      <w:tblPr>
        <w:tblStyle w:val="Grilledutableau"/>
        <w:tblW w:w="9730" w:type="dxa"/>
        <w:tblInd w:w="-714" w:type="dxa"/>
        <w:tblLayout w:type="fixed"/>
        <w:tblLook w:val="04A0" w:firstRow="1" w:lastRow="0" w:firstColumn="1" w:lastColumn="0" w:noHBand="0" w:noVBand="1"/>
      </w:tblPr>
      <w:tblGrid>
        <w:gridCol w:w="2968"/>
        <w:gridCol w:w="2255"/>
        <w:gridCol w:w="2253"/>
        <w:gridCol w:w="2254"/>
      </w:tblGrid>
      <w:tr w:rsidR="00CA7084" w14:paraId="77D45839" w14:textId="77777777">
        <w:tc>
          <w:tcPr>
            <w:tcW w:w="2967" w:type="dxa"/>
          </w:tcPr>
          <w:p w14:paraId="017C482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Seuil décision                      </w:t>
            </w:r>
          </w:p>
        </w:tc>
        <w:tc>
          <w:tcPr>
            <w:tcW w:w="2255" w:type="dxa"/>
          </w:tcPr>
          <w:p w14:paraId="17E9A271"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 (non-événement)</w:t>
            </w:r>
          </w:p>
        </w:tc>
        <w:tc>
          <w:tcPr>
            <w:tcW w:w="2253" w:type="dxa"/>
          </w:tcPr>
          <w:p w14:paraId="79099673"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(événement)</w:t>
            </w:r>
          </w:p>
        </w:tc>
        <w:tc>
          <w:tcPr>
            <w:tcW w:w="2254" w:type="dxa"/>
          </w:tcPr>
          <w:p w14:paraId="7FDDB777"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Total</w:t>
            </w:r>
          </w:p>
        </w:tc>
      </w:tr>
      <w:tr w:rsidR="00CA7084" w14:paraId="05E6459D" w14:textId="77777777">
        <w:tc>
          <w:tcPr>
            <w:tcW w:w="2967" w:type="dxa"/>
          </w:tcPr>
          <w:p w14:paraId="2849769F"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Prédit 0 (probabilité &lt; 0,15)</w:t>
            </w:r>
          </w:p>
        </w:tc>
        <w:tc>
          <w:tcPr>
            <w:tcW w:w="2255" w:type="dxa"/>
          </w:tcPr>
          <w:p w14:paraId="25588B9A"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TN = 481</w:t>
            </w:r>
          </w:p>
        </w:tc>
        <w:tc>
          <w:tcPr>
            <w:tcW w:w="2253" w:type="dxa"/>
          </w:tcPr>
          <w:p w14:paraId="50F0649E"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FN = 53</w:t>
            </w:r>
          </w:p>
        </w:tc>
        <w:tc>
          <w:tcPr>
            <w:tcW w:w="2254" w:type="dxa"/>
          </w:tcPr>
          <w:p w14:paraId="3150DACA"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534</w:t>
            </w:r>
          </w:p>
        </w:tc>
      </w:tr>
      <w:tr w:rsidR="00CA7084" w14:paraId="2B9E33EF" w14:textId="77777777">
        <w:tc>
          <w:tcPr>
            <w:tcW w:w="2967" w:type="dxa"/>
          </w:tcPr>
          <w:p w14:paraId="6E093D6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Prédit 1 (probabilité ≥ 0,15)</w:t>
            </w:r>
          </w:p>
        </w:tc>
        <w:tc>
          <w:tcPr>
            <w:tcW w:w="2255" w:type="dxa"/>
          </w:tcPr>
          <w:p w14:paraId="73864A92"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FP = 238</w:t>
            </w:r>
          </w:p>
        </w:tc>
        <w:tc>
          <w:tcPr>
            <w:tcW w:w="2253" w:type="dxa"/>
          </w:tcPr>
          <w:p w14:paraId="01E7CA70"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TP = 76</w:t>
            </w:r>
          </w:p>
        </w:tc>
        <w:tc>
          <w:tcPr>
            <w:tcW w:w="2254" w:type="dxa"/>
          </w:tcPr>
          <w:p w14:paraId="344DE6DB"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314</w:t>
            </w:r>
          </w:p>
        </w:tc>
      </w:tr>
      <w:tr w:rsidR="00CA7084" w14:paraId="16519C70" w14:textId="77777777">
        <w:tc>
          <w:tcPr>
            <w:tcW w:w="2967" w:type="dxa"/>
          </w:tcPr>
          <w:p w14:paraId="6F3B102B"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Total                          </w:t>
            </w:r>
          </w:p>
        </w:tc>
        <w:tc>
          <w:tcPr>
            <w:tcW w:w="2255" w:type="dxa"/>
          </w:tcPr>
          <w:p w14:paraId="47E8323D"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719</w:t>
            </w:r>
          </w:p>
        </w:tc>
        <w:tc>
          <w:tcPr>
            <w:tcW w:w="2253" w:type="dxa"/>
          </w:tcPr>
          <w:p w14:paraId="31DC284D"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129</w:t>
            </w:r>
          </w:p>
        </w:tc>
        <w:tc>
          <w:tcPr>
            <w:tcW w:w="2254" w:type="dxa"/>
          </w:tcPr>
          <w:p w14:paraId="6602D927"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848</w:t>
            </w:r>
          </w:p>
        </w:tc>
      </w:tr>
    </w:tbl>
    <w:p w14:paraId="53EB4469" w14:textId="77777777" w:rsidR="00CA7084" w:rsidRDefault="005648BA">
      <w:pPr>
        <w:spacing w:beforeAutospacing="1" w:afterAutospacing="1" w:line="240" w:lineRule="auto"/>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lastRenderedPageBreak/>
        <w:t>Régression logistique et importance SHAP (modèle final LogReg_A2)</w:t>
      </w:r>
    </w:p>
    <w:p w14:paraId="03AC542E"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Interprétation. Dans le modèle final de régression logistique, les variables qui contribuent le plus aux prédictions sont, dans l’ordre, l’âge, le nombre de cigarettes fumées par jour, la tension artérielle systolique et le sexe masculin, qui combinent des coefficients significatifs (OR compris entre 1,26 et 1,78, p &lt; 0,001) et les plus fortes importances SHAP. Le glucose apparaît également comme un prédicteur non négligeable, avec un OR autour de 1,20 et une importance SHAP intermédiaire. À l’inverse, plusieurs facteurs classiquement étudiés (cholestérol total, hypertension connue, traitement antihypertenseur, antécédent d’AVC) montrent des OR légèrement supérieurs à 1 mais des intervalles de confiance plus larges et une contribution SHAP plus modeste, tandis que des variables telles que le diabète, l’IMC, la tension diastolique, la fréquence cardiaque ou le niveau d’éducation présentent des OR proches de 1, non significatifs, avec des importances SHAP très faibles, indiquant un poids beaucoup plus limité dans les prédictions de ce modèle particulier.</w:t>
      </w:r>
    </w:p>
    <w:p w14:paraId="052608A2" w14:textId="77777777" w:rsidR="00CA7084" w:rsidRDefault="005648BA">
      <w:pPr>
        <w:spacing w:beforeAutospacing="1" w:afterAutospacing="1" w:line="360" w:lineRule="auto"/>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Tableau – Régression logistique et importance SHAP (modèle final LogReg_A2)</w:t>
      </w:r>
    </w:p>
    <w:tbl>
      <w:tblPr>
        <w:tblStyle w:val="Grilledutableau"/>
        <w:tblW w:w="9640" w:type="dxa"/>
        <w:tblInd w:w="-856" w:type="dxa"/>
        <w:tblLayout w:type="fixed"/>
        <w:tblLook w:val="04A0" w:firstRow="1" w:lastRow="0" w:firstColumn="1" w:lastColumn="0" w:noHBand="0" w:noVBand="1"/>
      </w:tblPr>
      <w:tblGrid>
        <w:gridCol w:w="2552"/>
        <w:gridCol w:w="993"/>
        <w:gridCol w:w="1276"/>
        <w:gridCol w:w="1559"/>
        <w:gridCol w:w="1417"/>
        <w:gridCol w:w="1843"/>
      </w:tblGrid>
      <w:tr w:rsidR="00CA7084" w14:paraId="49C8006A" w14:textId="77777777">
        <w:tc>
          <w:tcPr>
            <w:tcW w:w="2551" w:type="dxa"/>
          </w:tcPr>
          <w:p w14:paraId="1F25F0DE" w14:textId="77777777" w:rsidR="00CA7084" w:rsidRDefault="005648BA">
            <w:pPr>
              <w:spacing w:beforeAutospacing="1" w:after="0" w:line="240" w:lineRule="auto"/>
              <w:jc w:val="center"/>
              <w:rPr>
                <w:rFonts w:ascii="Times New Roman" w:eastAsia="Times New Roman" w:hAnsi="Times New Roman" w:cs="Times New Roman"/>
                <w:b/>
                <w:bCs/>
                <w:kern w:val="0"/>
                <w:lang w:val="en-US" w:eastAsia="fr-BE"/>
                <w14:ligatures w14:val="none"/>
              </w:rPr>
            </w:pPr>
            <w:r>
              <w:rPr>
                <w:rFonts w:ascii="Times New Roman" w:eastAsia="Times New Roman" w:hAnsi="Times New Roman" w:cs="Times New Roman"/>
                <w:b/>
                <w:bCs/>
                <w:kern w:val="0"/>
                <w:lang w:val="en-US" w:eastAsia="fr-BE"/>
                <w14:ligatures w14:val="none"/>
              </w:rPr>
              <w:t>Variable</w:t>
            </w:r>
          </w:p>
        </w:tc>
        <w:tc>
          <w:tcPr>
            <w:tcW w:w="993" w:type="dxa"/>
          </w:tcPr>
          <w:p w14:paraId="0D96291A" w14:textId="77777777" w:rsidR="00CA7084" w:rsidRDefault="005648BA">
            <w:pPr>
              <w:spacing w:beforeAutospacing="1" w:after="0" w:line="240" w:lineRule="auto"/>
              <w:jc w:val="center"/>
              <w:rPr>
                <w:rFonts w:ascii="Times New Roman" w:eastAsia="Times New Roman" w:hAnsi="Times New Roman" w:cs="Times New Roman"/>
                <w:b/>
                <w:bCs/>
                <w:kern w:val="0"/>
                <w:lang w:val="en-US" w:eastAsia="fr-BE"/>
                <w14:ligatures w14:val="none"/>
              </w:rPr>
            </w:pPr>
            <w:r>
              <w:rPr>
                <w:rFonts w:ascii="Times New Roman" w:eastAsia="Times New Roman" w:hAnsi="Times New Roman" w:cs="Times New Roman"/>
                <w:b/>
                <w:bCs/>
                <w:kern w:val="0"/>
                <w:lang w:eastAsia="fr-BE"/>
                <w14:ligatures w14:val="none"/>
              </w:rPr>
              <w:t>β</w:t>
            </w:r>
          </w:p>
        </w:tc>
        <w:tc>
          <w:tcPr>
            <w:tcW w:w="1276" w:type="dxa"/>
          </w:tcPr>
          <w:p w14:paraId="54B3839D" w14:textId="77777777" w:rsidR="00CA7084" w:rsidRDefault="005648BA">
            <w:pPr>
              <w:spacing w:beforeAutospacing="1" w:after="0" w:line="240" w:lineRule="auto"/>
              <w:jc w:val="center"/>
              <w:rPr>
                <w:rFonts w:ascii="Times New Roman" w:eastAsia="Times New Roman" w:hAnsi="Times New Roman" w:cs="Times New Roman"/>
                <w:b/>
                <w:bCs/>
                <w:kern w:val="0"/>
                <w:lang w:val="en-US" w:eastAsia="fr-BE"/>
                <w14:ligatures w14:val="none"/>
              </w:rPr>
            </w:pPr>
            <w:r>
              <w:rPr>
                <w:rFonts w:ascii="Times New Roman" w:eastAsia="Times New Roman" w:hAnsi="Times New Roman" w:cs="Times New Roman"/>
                <w:b/>
                <w:bCs/>
                <w:kern w:val="0"/>
                <w:lang w:val="en-US" w:eastAsia="fr-BE"/>
                <w14:ligatures w14:val="none"/>
              </w:rPr>
              <w:t>OR</w:t>
            </w:r>
          </w:p>
        </w:tc>
        <w:tc>
          <w:tcPr>
            <w:tcW w:w="1559" w:type="dxa"/>
          </w:tcPr>
          <w:p w14:paraId="05CD0E95" w14:textId="77777777" w:rsidR="00CA7084" w:rsidRDefault="005648BA">
            <w:pPr>
              <w:spacing w:beforeAutospacing="1" w:after="0" w:line="240" w:lineRule="auto"/>
              <w:jc w:val="center"/>
              <w:rPr>
                <w:rFonts w:ascii="Times New Roman" w:eastAsia="Times New Roman" w:hAnsi="Times New Roman" w:cs="Times New Roman"/>
                <w:b/>
                <w:bCs/>
                <w:kern w:val="0"/>
                <w:lang w:val="en-US" w:eastAsia="fr-BE"/>
                <w14:ligatures w14:val="none"/>
              </w:rPr>
            </w:pPr>
            <w:r>
              <w:rPr>
                <w:rFonts w:ascii="Times New Roman" w:eastAsia="Times New Roman" w:hAnsi="Times New Roman" w:cs="Times New Roman"/>
                <w:b/>
                <w:bCs/>
                <w:kern w:val="0"/>
                <w:lang w:val="en-US" w:eastAsia="fr-BE"/>
                <w14:ligatures w14:val="none"/>
              </w:rPr>
              <w:t>IC95%</w:t>
            </w:r>
          </w:p>
        </w:tc>
        <w:tc>
          <w:tcPr>
            <w:tcW w:w="1417" w:type="dxa"/>
          </w:tcPr>
          <w:p w14:paraId="26B516DD" w14:textId="77777777" w:rsidR="00CA7084" w:rsidRDefault="005648BA">
            <w:pPr>
              <w:spacing w:beforeAutospacing="1" w:after="0" w:line="240" w:lineRule="auto"/>
              <w:jc w:val="center"/>
              <w:rPr>
                <w:rFonts w:ascii="Times New Roman" w:eastAsia="Times New Roman" w:hAnsi="Times New Roman" w:cs="Times New Roman"/>
                <w:b/>
                <w:bCs/>
                <w:kern w:val="0"/>
                <w:lang w:val="en-US" w:eastAsia="fr-BE"/>
                <w14:ligatures w14:val="none"/>
              </w:rPr>
            </w:pPr>
            <w:r>
              <w:rPr>
                <w:rFonts w:ascii="Times New Roman" w:eastAsia="Times New Roman" w:hAnsi="Times New Roman" w:cs="Times New Roman"/>
                <w:b/>
                <w:bCs/>
                <w:kern w:val="0"/>
                <w:lang w:val="en-US" w:eastAsia="fr-BE"/>
                <w14:ligatures w14:val="none"/>
              </w:rPr>
              <w:t>p_value</w:t>
            </w:r>
          </w:p>
        </w:tc>
        <w:tc>
          <w:tcPr>
            <w:tcW w:w="1843" w:type="dxa"/>
          </w:tcPr>
          <w:p w14:paraId="0C3AE0A0" w14:textId="77777777" w:rsidR="00CA7084" w:rsidRDefault="005648BA">
            <w:pPr>
              <w:spacing w:beforeAutospacing="1" w:after="0" w:line="240" w:lineRule="auto"/>
              <w:jc w:val="center"/>
              <w:rPr>
                <w:rFonts w:ascii="Times New Roman" w:eastAsia="Times New Roman" w:hAnsi="Times New Roman" w:cs="Times New Roman"/>
                <w:b/>
                <w:bCs/>
                <w:kern w:val="0"/>
                <w:lang w:val="en-US" w:eastAsia="fr-BE"/>
                <w14:ligatures w14:val="none"/>
              </w:rPr>
            </w:pPr>
            <w:r>
              <w:rPr>
                <w:rFonts w:ascii="Times New Roman" w:eastAsia="Times New Roman" w:hAnsi="Times New Roman" w:cs="Times New Roman"/>
                <w:b/>
                <w:bCs/>
                <w:kern w:val="0"/>
                <w:lang w:val="en-US" w:eastAsia="fr-BE"/>
                <w14:ligatures w14:val="none"/>
              </w:rPr>
              <w:t>Importance_SHAP_moy_abs</w:t>
            </w:r>
          </w:p>
        </w:tc>
      </w:tr>
      <w:tr w:rsidR="00CA7084" w14:paraId="7FC4EE92" w14:textId="77777777">
        <w:tc>
          <w:tcPr>
            <w:tcW w:w="2551" w:type="dxa"/>
          </w:tcPr>
          <w:p w14:paraId="18C4B562"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age</w:t>
            </w:r>
          </w:p>
        </w:tc>
        <w:tc>
          <w:tcPr>
            <w:tcW w:w="993" w:type="dxa"/>
          </w:tcPr>
          <w:p w14:paraId="4D6F2008"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0,5740</w:t>
            </w:r>
          </w:p>
        </w:tc>
        <w:tc>
          <w:tcPr>
            <w:tcW w:w="1276" w:type="dxa"/>
          </w:tcPr>
          <w:p w14:paraId="3B2CABE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1,78</w:t>
            </w:r>
          </w:p>
        </w:tc>
        <w:tc>
          <w:tcPr>
            <w:tcW w:w="1559" w:type="dxa"/>
          </w:tcPr>
          <w:p w14:paraId="3BCC4E7B"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1,58 – 2,00</w:t>
            </w:r>
          </w:p>
        </w:tc>
        <w:tc>
          <w:tcPr>
            <w:tcW w:w="1417" w:type="dxa"/>
          </w:tcPr>
          <w:p w14:paraId="27EBA50B"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&lt;0,001</w:t>
            </w:r>
          </w:p>
        </w:tc>
        <w:tc>
          <w:tcPr>
            <w:tcW w:w="1843" w:type="dxa"/>
          </w:tcPr>
          <w:p w14:paraId="1627611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0,4883</w:t>
            </w:r>
          </w:p>
        </w:tc>
      </w:tr>
      <w:tr w:rsidR="00CA7084" w14:paraId="14A50C60" w14:textId="77777777">
        <w:tc>
          <w:tcPr>
            <w:tcW w:w="2551" w:type="dxa"/>
          </w:tcPr>
          <w:p w14:paraId="410145D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cigarettes_par_jour</w:t>
            </w:r>
          </w:p>
        </w:tc>
        <w:tc>
          <w:tcPr>
            <w:tcW w:w="993" w:type="dxa"/>
          </w:tcPr>
          <w:p w14:paraId="68E1D546"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0,3193</w:t>
            </w:r>
          </w:p>
        </w:tc>
        <w:tc>
          <w:tcPr>
            <w:tcW w:w="1276" w:type="dxa"/>
          </w:tcPr>
          <w:p w14:paraId="3ABFBBC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1,38</w:t>
            </w:r>
          </w:p>
        </w:tc>
        <w:tc>
          <w:tcPr>
            <w:tcW w:w="1559" w:type="dxa"/>
          </w:tcPr>
          <w:p w14:paraId="68941AA8"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1,18 – 1,60</w:t>
            </w:r>
          </w:p>
        </w:tc>
        <w:tc>
          <w:tcPr>
            <w:tcW w:w="1417" w:type="dxa"/>
          </w:tcPr>
          <w:p w14:paraId="14CF9CE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&lt;0,001</w:t>
            </w:r>
          </w:p>
        </w:tc>
        <w:tc>
          <w:tcPr>
            <w:tcW w:w="1843" w:type="dxa"/>
          </w:tcPr>
          <w:p w14:paraId="7BC37679"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0,2697</w:t>
            </w:r>
          </w:p>
        </w:tc>
      </w:tr>
      <w:tr w:rsidR="00CA7084" w14:paraId="6076C2BF" w14:textId="77777777">
        <w:tc>
          <w:tcPr>
            <w:tcW w:w="2551" w:type="dxa"/>
          </w:tcPr>
          <w:p w14:paraId="1AD881A4"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tension_systolique</w:t>
            </w:r>
          </w:p>
        </w:tc>
        <w:tc>
          <w:tcPr>
            <w:tcW w:w="993" w:type="dxa"/>
          </w:tcPr>
          <w:p w14:paraId="7EF21DFB"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0,3198</w:t>
            </w:r>
          </w:p>
        </w:tc>
        <w:tc>
          <w:tcPr>
            <w:tcW w:w="1276" w:type="dxa"/>
          </w:tcPr>
          <w:p w14:paraId="2975293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1,38</w:t>
            </w:r>
          </w:p>
        </w:tc>
        <w:tc>
          <w:tcPr>
            <w:tcW w:w="1559" w:type="dxa"/>
          </w:tcPr>
          <w:p w14:paraId="0EBBB0C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1,16 – 1,64</w:t>
            </w:r>
          </w:p>
        </w:tc>
        <w:tc>
          <w:tcPr>
            <w:tcW w:w="1417" w:type="dxa"/>
          </w:tcPr>
          <w:p w14:paraId="517A5F52"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&lt;0,001</w:t>
            </w:r>
          </w:p>
        </w:tc>
        <w:tc>
          <w:tcPr>
            <w:tcW w:w="1843" w:type="dxa"/>
          </w:tcPr>
          <w:p w14:paraId="5EA7A521"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0,2434</w:t>
            </w:r>
          </w:p>
        </w:tc>
      </w:tr>
      <w:tr w:rsidR="00CA7084" w14:paraId="6FC973B8" w14:textId="77777777">
        <w:tc>
          <w:tcPr>
            <w:tcW w:w="2551" w:type="dxa"/>
          </w:tcPr>
          <w:p w14:paraId="4719F878"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sexe_masculin</w:t>
            </w:r>
          </w:p>
        </w:tc>
        <w:tc>
          <w:tcPr>
            <w:tcW w:w="993" w:type="dxa"/>
          </w:tcPr>
          <w:p w14:paraId="4A5E00B0"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0,2276</w:t>
            </w:r>
          </w:p>
        </w:tc>
        <w:tc>
          <w:tcPr>
            <w:tcW w:w="1276" w:type="dxa"/>
          </w:tcPr>
          <w:p w14:paraId="134D4BC3"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1,26</w:t>
            </w:r>
          </w:p>
        </w:tc>
        <w:tc>
          <w:tcPr>
            <w:tcW w:w="1559" w:type="dxa"/>
          </w:tcPr>
          <w:p w14:paraId="176039EE"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1,12 – 1,40</w:t>
            </w:r>
          </w:p>
        </w:tc>
        <w:tc>
          <w:tcPr>
            <w:tcW w:w="1417" w:type="dxa"/>
          </w:tcPr>
          <w:p w14:paraId="619B1AE1"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&lt;0,001</w:t>
            </w:r>
          </w:p>
        </w:tc>
        <w:tc>
          <w:tcPr>
            <w:tcW w:w="1843" w:type="dxa"/>
          </w:tcPr>
          <w:p w14:paraId="1663052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0,2257</w:t>
            </w:r>
          </w:p>
        </w:tc>
      </w:tr>
      <w:tr w:rsidR="00CA7084" w14:paraId="48344412" w14:textId="77777777">
        <w:tc>
          <w:tcPr>
            <w:tcW w:w="2551" w:type="dxa"/>
          </w:tcPr>
          <w:p w14:paraId="1E694FC9"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glucose</w:t>
            </w:r>
          </w:p>
        </w:tc>
        <w:tc>
          <w:tcPr>
            <w:tcW w:w="993" w:type="dxa"/>
          </w:tcPr>
          <w:p w14:paraId="492681E6"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0,1788</w:t>
            </w:r>
          </w:p>
        </w:tc>
        <w:tc>
          <w:tcPr>
            <w:tcW w:w="1276" w:type="dxa"/>
          </w:tcPr>
          <w:p w14:paraId="65523104"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1,20</w:t>
            </w:r>
          </w:p>
        </w:tc>
        <w:tc>
          <w:tcPr>
            <w:tcW w:w="1559" w:type="dxa"/>
          </w:tcPr>
          <w:p w14:paraId="1D2F45D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1,07 – 1,34</w:t>
            </w:r>
          </w:p>
        </w:tc>
        <w:tc>
          <w:tcPr>
            <w:tcW w:w="1417" w:type="dxa"/>
          </w:tcPr>
          <w:p w14:paraId="39970559"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0,0022</w:t>
            </w:r>
          </w:p>
        </w:tc>
        <w:tc>
          <w:tcPr>
            <w:tcW w:w="1843" w:type="dxa"/>
          </w:tcPr>
          <w:p w14:paraId="71B502AB"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0,0872</w:t>
            </w:r>
          </w:p>
        </w:tc>
      </w:tr>
      <w:tr w:rsidR="00CA7084" w14:paraId="4395155D" w14:textId="77777777">
        <w:tc>
          <w:tcPr>
            <w:tcW w:w="2551" w:type="dxa"/>
          </w:tcPr>
          <w:p w14:paraId="18243A63"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cholesterol_total</w:t>
            </w:r>
          </w:p>
        </w:tc>
        <w:tc>
          <w:tcPr>
            <w:tcW w:w="993" w:type="dxa"/>
          </w:tcPr>
          <w:p w14:paraId="40E0A542"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0,0961</w:t>
            </w:r>
          </w:p>
        </w:tc>
        <w:tc>
          <w:tcPr>
            <w:tcW w:w="1276" w:type="dxa"/>
          </w:tcPr>
          <w:p w14:paraId="05309EC9"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1,10</w:t>
            </w:r>
          </w:p>
        </w:tc>
        <w:tc>
          <w:tcPr>
            <w:tcW w:w="1559" w:type="dxa"/>
          </w:tcPr>
          <w:p w14:paraId="35483546"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1,00 – 1,22</w:t>
            </w:r>
          </w:p>
        </w:tc>
        <w:tc>
          <w:tcPr>
            <w:tcW w:w="1417" w:type="dxa"/>
          </w:tcPr>
          <w:p w14:paraId="2E30975F"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0,0622</w:t>
            </w:r>
          </w:p>
        </w:tc>
        <w:tc>
          <w:tcPr>
            <w:tcW w:w="1843" w:type="dxa"/>
          </w:tcPr>
          <w:p w14:paraId="192BE24B"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0,0753</w:t>
            </w:r>
          </w:p>
        </w:tc>
      </w:tr>
      <w:tr w:rsidR="00CA7084" w14:paraId="71F45A6C" w14:textId="77777777">
        <w:tc>
          <w:tcPr>
            <w:tcW w:w="2551" w:type="dxa"/>
          </w:tcPr>
          <w:p w14:paraId="49615A84"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hypertension_connue</w:t>
            </w:r>
          </w:p>
        </w:tc>
        <w:tc>
          <w:tcPr>
            <w:tcW w:w="993" w:type="dxa"/>
          </w:tcPr>
          <w:p w14:paraId="36DA499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0,0815</w:t>
            </w:r>
          </w:p>
        </w:tc>
        <w:tc>
          <w:tcPr>
            <w:tcW w:w="1276" w:type="dxa"/>
          </w:tcPr>
          <w:p w14:paraId="6F467601"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1,08</w:t>
            </w:r>
          </w:p>
        </w:tc>
        <w:tc>
          <w:tcPr>
            <w:tcW w:w="1559" w:type="dxa"/>
          </w:tcPr>
          <w:p w14:paraId="7D29F521"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0,95 – 1,24</w:t>
            </w:r>
          </w:p>
        </w:tc>
        <w:tc>
          <w:tcPr>
            <w:tcW w:w="1417" w:type="dxa"/>
          </w:tcPr>
          <w:p w14:paraId="4DADDB10"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0,2231</w:t>
            </w:r>
          </w:p>
        </w:tc>
        <w:tc>
          <w:tcPr>
            <w:tcW w:w="1843" w:type="dxa"/>
          </w:tcPr>
          <w:p w14:paraId="21B9DA31"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0,0748</w:t>
            </w:r>
          </w:p>
        </w:tc>
      </w:tr>
      <w:tr w:rsidR="00CA7084" w14:paraId="6B9A234C" w14:textId="77777777">
        <w:tc>
          <w:tcPr>
            <w:tcW w:w="2551" w:type="dxa"/>
          </w:tcPr>
          <w:p w14:paraId="463DCC28"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fumeur_actuel</w:t>
            </w:r>
          </w:p>
        </w:tc>
        <w:tc>
          <w:tcPr>
            <w:tcW w:w="993" w:type="dxa"/>
          </w:tcPr>
          <w:p w14:paraId="4BCDFC2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-0,0362</w:t>
            </w:r>
          </w:p>
        </w:tc>
        <w:tc>
          <w:tcPr>
            <w:tcW w:w="1276" w:type="dxa"/>
          </w:tcPr>
          <w:p w14:paraId="384FA4B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0,96</w:t>
            </w:r>
          </w:p>
        </w:tc>
        <w:tc>
          <w:tcPr>
            <w:tcW w:w="1559" w:type="dxa"/>
          </w:tcPr>
          <w:p w14:paraId="626F931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0,82 – 1,13</w:t>
            </w:r>
          </w:p>
        </w:tc>
        <w:tc>
          <w:tcPr>
            <w:tcW w:w="1417" w:type="dxa"/>
          </w:tcPr>
          <w:p w14:paraId="6D6ACE8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0,6628</w:t>
            </w:r>
          </w:p>
        </w:tc>
        <w:tc>
          <w:tcPr>
            <w:tcW w:w="1843" w:type="dxa"/>
          </w:tcPr>
          <w:p w14:paraId="358287A2"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0,0350</w:t>
            </w:r>
          </w:p>
        </w:tc>
      </w:tr>
      <w:tr w:rsidR="00CA7084" w14:paraId="331AE0C2" w14:textId="77777777">
        <w:tc>
          <w:tcPr>
            <w:tcW w:w="2551" w:type="dxa"/>
          </w:tcPr>
          <w:p w14:paraId="13490576"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traitement_hypotenseur</w:t>
            </w:r>
          </w:p>
        </w:tc>
        <w:tc>
          <w:tcPr>
            <w:tcW w:w="993" w:type="dxa"/>
          </w:tcPr>
          <w:p w14:paraId="7363343D"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0,0608</w:t>
            </w:r>
          </w:p>
        </w:tc>
        <w:tc>
          <w:tcPr>
            <w:tcW w:w="1276" w:type="dxa"/>
          </w:tcPr>
          <w:p w14:paraId="3FD8071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1,06</w:t>
            </w:r>
          </w:p>
        </w:tc>
        <w:tc>
          <w:tcPr>
            <w:tcW w:w="1559" w:type="dxa"/>
          </w:tcPr>
          <w:p w14:paraId="5D94CBCE"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0,98 – 1,15</w:t>
            </w:r>
          </w:p>
        </w:tc>
        <w:tc>
          <w:tcPr>
            <w:tcW w:w="1417" w:type="dxa"/>
          </w:tcPr>
          <w:p w14:paraId="305B7E7F"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0,1405</w:t>
            </w:r>
          </w:p>
        </w:tc>
        <w:tc>
          <w:tcPr>
            <w:tcW w:w="1843" w:type="dxa"/>
          </w:tcPr>
          <w:p w14:paraId="41108DC0"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0,0174</w:t>
            </w:r>
          </w:p>
        </w:tc>
      </w:tr>
      <w:tr w:rsidR="00CA7084" w14:paraId="442A0B48" w14:textId="77777777">
        <w:tc>
          <w:tcPr>
            <w:tcW w:w="2551" w:type="dxa"/>
          </w:tcPr>
          <w:p w14:paraId="292D3C6F"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antecedent_avc</w:t>
            </w:r>
          </w:p>
        </w:tc>
        <w:tc>
          <w:tcPr>
            <w:tcW w:w="993" w:type="dxa"/>
          </w:tcPr>
          <w:p w14:paraId="47742C84"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0,0824</w:t>
            </w:r>
          </w:p>
        </w:tc>
        <w:tc>
          <w:tcPr>
            <w:tcW w:w="1276" w:type="dxa"/>
          </w:tcPr>
          <w:p w14:paraId="4EDC94A6"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1,09</w:t>
            </w:r>
          </w:p>
        </w:tc>
        <w:tc>
          <w:tcPr>
            <w:tcW w:w="1559" w:type="dxa"/>
          </w:tcPr>
          <w:p w14:paraId="7F3F9631"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1,01 – 1,17</w:t>
            </w:r>
          </w:p>
        </w:tc>
        <w:tc>
          <w:tcPr>
            <w:tcW w:w="1417" w:type="dxa"/>
          </w:tcPr>
          <w:p w14:paraId="4571D99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0,0307</w:t>
            </w:r>
          </w:p>
        </w:tc>
        <w:tc>
          <w:tcPr>
            <w:tcW w:w="1843" w:type="dxa"/>
          </w:tcPr>
          <w:p w14:paraId="3BB5AFE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0,0167</w:t>
            </w:r>
          </w:p>
        </w:tc>
      </w:tr>
      <w:tr w:rsidR="00CA7084" w14:paraId="6B22A7C8" w14:textId="77777777">
        <w:tc>
          <w:tcPr>
            <w:tcW w:w="2551" w:type="dxa"/>
          </w:tcPr>
          <w:p w14:paraId="1BFFA53F"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frequence_cardiaque</w:t>
            </w:r>
          </w:p>
        </w:tc>
        <w:tc>
          <w:tcPr>
            <w:tcW w:w="993" w:type="dxa"/>
          </w:tcPr>
          <w:p w14:paraId="39731E6E"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-0,0148</w:t>
            </w:r>
          </w:p>
        </w:tc>
        <w:tc>
          <w:tcPr>
            <w:tcW w:w="1276" w:type="dxa"/>
          </w:tcPr>
          <w:p w14:paraId="106332D0"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0,99</w:t>
            </w:r>
          </w:p>
        </w:tc>
        <w:tc>
          <w:tcPr>
            <w:tcW w:w="1559" w:type="dxa"/>
          </w:tcPr>
          <w:p w14:paraId="48A108A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0,89 – 1,09</w:t>
            </w:r>
          </w:p>
        </w:tc>
        <w:tc>
          <w:tcPr>
            <w:tcW w:w="1417" w:type="dxa"/>
          </w:tcPr>
          <w:p w14:paraId="64D636F3"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0,7777</w:t>
            </w:r>
          </w:p>
        </w:tc>
        <w:tc>
          <w:tcPr>
            <w:tcW w:w="1843" w:type="dxa"/>
          </w:tcPr>
          <w:p w14:paraId="0906F64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0,0115</w:t>
            </w:r>
          </w:p>
        </w:tc>
      </w:tr>
      <w:tr w:rsidR="00CA7084" w14:paraId="530046B8" w14:textId="77777777">
        <w:tc>
          <w:tcPr>
            <w:tcW w:w="2551" w:type="dxa"/>
          </w:tcPr>
          <w:p w14:paraId="2B8B8105"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tension_diastolique</w:t>
            </w:r>
          </w:p>
        </w:tc>
        <w:tc>
          <w:tcPr>
            <w:tcW w:w="993" w:type="dxa"/>
          </w:tcPr>
          <w:p w14:paraId="21E15CE2"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-0,0135</w:t>
            </w:r>
          </w:p>
        </w:tc>
        <w:tc>
          <w:tcPr>
            <w:tcW w:w="1276" w:type="dxa"/>
          </w:tcPr>
          <w:p w14:paraId="5DB50931"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0,99</w:t>
            </w:r>
          </w:p>
        </w:tc>
        <w:tc>
          <w:tcPr>
            <w:tcW w:w="1559" w:type="dxa"/>
          </w:tcPr>
          <w:p w14:paraId="052E7465"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0,84 – 1,16</w:t>
            </w:r>
          </w:p>
        </w:tc>
        <w:tc>
          <w:tcPr>
            <w:tcW w:w="1417" w:type="dxa"/>
          </w:tcPr>
          <w:p w14:paraId="62340721"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0,8671</w:t>
            </w:r>
          </w:p>
        </w:tc>
        <w:tc>
          <w:tcPr>
            <w:tcW w:w="1843" w:type="dxa"/>
          </w:tcPr>
          <w:p w14:paraId="01025EEC"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0,0087</w:t>
            </w:r>
          </w:p>
        </w:tc>
      </w:tr>
      <w:tr w:rsidR="00CA7084" w14:paraId="71C92E9A" w14:textId="77777777">
        <w:tc>
          <w:tcPr>
            <w:tcW w:w="2551" w:type="dxa"/>
          </w:tcPr>
          <w:p w14:paraId="4CA5E985"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lastRenderedPageBreak/>
              <w:t xml:space="preserve">        diabete</w:t>
            </w:r>
          </w:p>
        </w:tc>
        <w:tc>
          <w:tcPr>
            <w:tcW w:w="993" w:type="dxa"/>
          </w:tcPr>
          <w:p w14:paraId="13FC6F1B"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0,0102</w:t>
            </w:r>
          </w:p>
        </w:tc>
        <w:tc>
          <w:tcPr>
            <w:tcW w:w="1276" w:type="dxa"/>
          </w:tcPr>
          <w:p w14:paraId="563F25D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1,01</w:t>
            </w:r>
          </w:p>
        </w:tc>
        <w:tc>
          <w:tcPr>
            <w:tcW w:w="1559" w:type="dxa"/>
          </w:tcPr>
          <w:p w14:paraId="4F9B8A70"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0,91 – 1,12</w:t>
            </w:r>
          </w:p>
        </w:tc>
        <w:tc>
          <w:tcPr>
            <w:tcW w:w="1417" w:type="dxa"/>
          </w:tcPr>
          <w:p w14:paraId="1D1AC2A8"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0,8511</w:t>
            </w:r>
          </w:p>
        </w:tc>
        <w:tc>
          <w:tcPr>
            <w:tcW w:w="1843" w:type="dxa"/>
          </w:tcPr>
          <w:p w14:paraId="26AA63F3"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0,0023</w:t>
            </w:r>
          </w:p>
        </w:tc>
      </w:tr>
      <w:tr w:rsidR="00CA7084" w14:paraId="7D755E04" w14:textId="77777777">
        <w:tc>
          <w:tcPr>
            <w:tcW w:w="2551" w:type="dxa"/>
          </w:tcPr>
          <w:p w14:paraId="4E0DB52B"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imc</w:t>
            </w:r>
          </w:p>
        </w:tc>
        <w:tc>
          <w:tcPr>
            <w:tcW w:w="993" w:type="dxa"/>
          </w:tcPr>
          <w:p w14:paraId="7EEC09C2"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-0,0022</w:t>
            </w:r>
          </w:p>
        </w:tc>
        <w:tc>
          <w:tcPr>
            <w:tcW w:w="1276" w:type="dxa"/>
          </w:tcPr>
          <w:p w14:paraId="403F6132"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1,00</w:t>
            </w:r>
          </w:p>
        </w:tc>
        <w:tc>
          <w:tcPr>
            <w:tcW w:w="1559" w:type="dxa"/>
          </w:tcPr>
          <w:p w14:paraId="5A808F9B"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0,90 – 1,11</w:t>
            </w:r>
          </w:p>
        </w:tc>
        <w:tc>
          <w:tcPr>
            <w:tcW w:w="1417" w:type="dxa"/>
          </w:tcPr>
          <w:p w14:paraId="1112225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0,9673</w:t>
            </w:r>
          </w:p>
        </w:tc>
        <w:tc>
          <w:tcPr>
            <w:tcW w:w="1843" w:type="dxa"/>
          </w:tcPr>
          <w:p w14:paraId="7FBC7F87"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0,0019</w:t>
            </w:r>
          </w:p>
        </w:tc>
      </w:tr>
      <w:tr w:rsidR="00CA7084" w14:paraId="7A5D95C8" w14:textId="77777777">
        <w:tc>
          <w:tcPr>
            <w:tcW w:w="2551" w:type="dxa"/>
          </w:tcPr>
          <w:p w14:paraId="1AA4C8F3"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niveau_education</w:t>
            </w:r>
          </w:p>
        </w:tc>
        <w:tc>
          <w:tcPr>
            <w:tcW w:w="993" w:type="dxa"/>
          </w:tcPr>
          <w:p w14:paraId="3EBDD1BE"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0,0017</w:t>
            </w:r>
          </w:p>
        </w:tc>
        <w:tc>
          <w:tcPr>
            <w:tcW w:w="1276" w:type="dxa"/>
          </w:tcPr>
          <w:p w14:paraId="13243A19"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1,00</w:t>
            </w:r>
          </w:p>
        </w:tc>
        <w:tc>
          <w:tcPr>
            <w:tcW w:w="1559" w:type="dxa"/>
          </w:tcPr>
          <w:p w14:paraId="6FD57CEA"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0,90 – 1,11</w:t>
            </w:r>
          </w:p>
        </w:tc>
        <w:tc>
          <w:tcPr>
            <w:tcW w:w="1417" w:type="dxa"/>
          </w:tcPr>
          <w:p w14:paraId="6C2600CF"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0,9748</w:t>
            </w:r>
          </w:p>
        </w:tc>
        <w:tc>
          <w:tcPr>
            <w:tcW w:w="1843" w:type="dxa"/>
          </w:tcPr>
          <w:p w14:paraId="08FA034F" w14:textId="77777777" w:rsidR="00CA7084" w:rsidRDefault="005648BA">
            <w:pPr>
              <w:spacing w:beforeAutospacing="1"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0,0009</w:t>
            </w:r>
          </w:p>
        </w:tc>
      </w:tr>
    </w:tbl>
    <w:p w14:paraId="734820AD" w14:textId="77777777" w:rsidR="00CA7084" w:rsidRDefault="005648BA">
      <w:pPr>
        <w:spacing w:beforeAutospacing="1" w:afterAutospacing="1"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Note :</w:t>
      </w:r>
      <w:r>
        <w:rPr>
          <w:rFonts w:ascii="Times New Roman" w:eastAsia="Times New Roman" w:hAnsi="Times New Roman" w:cs="Times New Roman"/>
          <w:kern w:val="0"/>
          <w:lang w:eastAsia="fr-BE"/>
          <w14:ligatures w14:val="none"/>
        </w:rPr>
        <w:t xml:space="preserve"> Les coefficients β sont exprimés sur l’échelle des log-odds. L’odds ratio (OR) correspond à une augmentation unitaire de la variable continue, ou au passage de 0 à 1 pour les variables binaires. L’“Importance SHAP” représente la contribution moyenne absolue de chaque prédicteur aux scores de risque individuels dans le modèle final.</w:t>
      </w:r>
    </w:p>
    <w:p w14:paraId="311A72FA" w14:textId="77777777" w:rsidR="00CA7084" w:rsidRDefault="005648BA">
      <w:pPr>
        <w:spacing w:beforeAutospacing="1" w:afterAutospacing="1" w:line="240" w:lineRule="auto"/>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 xml:space="preserve"> Courbes ROC, Precision–Recall et calibration</w:t>
      </w:r>
    </w:p>
    <w:p w14:paraId="5EB9AA79"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Trois graphiques complètent l’évaluation du modèle final :</w:t>
      </w:r>
    </w:p>
    <w:p w14:paraId="13CDD301" w14:textId="77777777" w:rsidR="00CA7084" w:rsidRDefault="005648BA">
      <w:pPr>
        <w:numPr>
          <w:ilvl w:val="0"/>
          <w:numId w:val="7"/>
        </w:numPr>
        <w:spacing w:beforeAutospacing="1" w:after="0"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Courbe ROC (Receiver Operating Characteristic)</w:t>
      </w:r>
      <w:r>
        <w:rPr>
          <w:rFonts w:ascii="Times New Roman" w:eastAsia="Times New Roman" w:hAnsi="Times New Roman" w:cs="Times New Roman"/>
          <w:kern w:val="0"/>
          <w:lang w:eastAsia="fr-BE"/>
          <w14:ligatures w14:val="none"/>
        </w:rPr>
        <w:t xml:space="preserve"> : elle illustre la relation entre taux de vrais positifs et taux de faux positifs pour tous les seuils possibles. L’aire sous la courbe, AUC-ROC ≈ 0,70, confirme une </w:t>
      </w:r>
      <w:r>
        <w:rPr>
          <w:rFonts w:ascii="Times New Roman" w:eastAsia="Times New Roman" w:hAnsi="Times New Roman" w:cs="Times New Roman"/>
          <w:b/>
          <w:bCs/>
          <w:kern w:val="0"/>
          <w:lang w:eastAsia="fr-BE"/>
          <w14:ligatures w14:val="none"/>
        </w:rPr>
        <w:t>capacité de discrimination modérée</w:t>
      </w:r>
      <w:r>
        <w:rPr>
          <w:rFonts w:ascii="Times New Roman" w:eastAsia="Times New Roman" w:hAnsi="Times New Roman" w:cs="Times New Roman"/>
          <w:kern w:val="0"/>
          <w:lang w:eastAsia="fr-BE"/>
          <w14:ligatures w14:val="none"/>
        </w:rPr>
        <w:t xml:space="preserve"> : le modèle tend à attribuer, en moyenne, des probabilités plus élevées aux patients qui feront un événement qu’aux autres, sans atteindre les niveaux de performance des grands modèles hospitaliers spécialisés.</w:t>
      </w:r>
    </w:p>
    <w:p w14:paraId="5A24882E" w14:textId="77777777" w:rsidR="00CA7084" w:rsidRDefault="005648BA">
      <w:pPr>
        <w:numPr>
          <w:ilvl w:val="0"/>
          <w:numId w:val="7"/>
        </w:numPr>
        <w:spacing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Courbe Precision–Recall</w:t>
      </w:r>
      <w:r>
        <w:rPr>
          <w:rFonts w:ascii="Times New Roman" w:eastAsia="Times New Roman" w:hAnsi="Times New Roman" w:cs="Times New Roman"/>
          <w:kern w:val="0"/>
          <w:lang w:eastAsia="fr-BE"/>
          <w14:ligatures w14:val="none"/>
        </w:rPr>
        <w:t xml:space="preserve"> : elle se situe au-dessus de la ligne de base correspondant à la prévalence (~0,15) et décroît progressivement lorsque l’on abaisse le seuil. L’AUC-PR ≈ 0,29 signifie qu’en raisonnant sur l’ensemble des seuils, le modèle offre </w:t>
      </w:r>
      <w:r>
        <w:rPr>
          <w:rFonts w:ascii="Times New Roman" w:eastAsia="Times New Roman" w:hAnsi="Times New Roman" w:cs="Times New Roman"/>
          <w:b/>
          <w:bCs/>
          <w:kern w:val="0"/>
          <w:lang w:eastAsia="fr-BE"/>
          <w14:ligatures w14:val="none"/>
        </w:rPr>
        <w:t>un rapport précision/rappel nettement meilleur que le hasard</w:t>
      </w:r>
      <w:r>
        <w:rPr>
          <w:rFonts w:ascii="Times New Roman" w:eastAsia="Times New Roman" w:hAnsi="Times New Roman" w:cs="Times New Roman"/>
          <w:kern w:val="0"/>
          <w:lang w:eastAsia="fr-BE"/>
          <w14:ligatures w14:val="none"/>
        </w:rPr>
        <w:t>, ce qui est particulièrement pertinent dans ce contexte de classe rare, où la courbe PR est plus informative que la courbe ROC.</w:t>
      </w:r>
    </w:p>
    <w:p w14:paraId="46893D1A" w14:textId="553B4D31" w:rsidR="00CA7084" w:rsidRDefault="004513E8">
      <w:pPr>
        <w:numPr>
          <w:ilvl w:val="0"/>
          <w:numId w:val="7"/>
        </w:numPr>
        <w:spacing w:beforeAutospacing="1" w:afterAutospacing="1" w:line="360" w:lineRule="auto"/>
        <w:jc w:val="both"/>
        <w:rPr>
          <w:rFonts w:ascii="Times New Roman" w:eastAsia="Times New Roman" w:hAnsi="Times New Roman" w:cs="Times New Roman"/>
          <w:kern w:val="0"/>
          <w:lang w:eastAsia="fr-BE"/>
          <w14:ligatures w14:val="none"/>
        </w:rPr>
      </w:pPr>
      <w:r>
        <w:rPr>
          <w:noProof/>
        </w:rPr>
        <w:pict w14:anchorId="3A3FDADD">
          <v:rect id="Zone de texte 1" o:spid="_x0000_s1028" style="position:absolute;left:0;text-align:left;margin-left:-49.1pt;margin-top:154.65pt;width:254.25pt;height:198.35pt;z-index:5;visibility:visible;mso-wrap-style:square;mso-wrap-distance-left:0;mso-wrap-distance-top:0;mso-wrap-distance-right:2.25pt;mso-wrap-distance-bottom:1.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" fillcolor="white [3201]" strokeweight=".5pt">
            <v:stroke joinstyle="round"/>
            <v:textbox>
              <w:txbxContent>
                <w:p w14:paraId="376A2DBF" w14:textId="77777777" w:rsidR="00CA7084" w:rsidRDefault="005648BA">
                  <w:pPr>
                    <w:pStyle w:val="Contenudecadre"/>
                  </w:pPr>
                  <w:r>
                    <w:rPr>
                      <w:noProof/>
                    </w:rPr>
                    <w:drawing>
                      <wp:inline distT="0" distB="0" distL="0" distR="0" wp14:anchorId="0B3269FE" wp14:editId="2818D9FD">
                        <wp:extent cx="3039745" cy="2432685"/>
                        <wp:effectExtent l="0" t="0" r="0" b="0"/>
                        <wp:docPr id="6" name="Image5"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Une image contenant texte, ligne, Tracé, diagramme&#10;&#10;Le contenu généré par l’IA peut être incorrect."/>
                                <pic:cNvPicPr>
                                  <a:picLocks noChangeAspect="1" noChangeArrowheads="1"/>
                                </pic:cNvPicPr>
                              </pic:nvPicPr>
                              <pic:blipFill>
                                <a:blip r:embed="rId9"/>
                                <a:stretch>
                                  <a:fillRect/>
                                </a:stretch>
                              </pic:blipFill>
                              <pic:spPr bwMode="auto">
                                <a:xfrm>
                                  <a:off x="0" y="0"/>
                                  <a:ext cx="3039745" cy="2432685"/>
                                </a:xfrm>
                                <a:prstGeom prst="rect">
                                  <a:avLst/>
                                </a:prstGeom>
                              </pic:spPr>
                            </pic:pic>
                          </a:graphicData>
                        </a:graphic>
                      </wp:inline>
                    </w:drawing>
                  </w:r>
                </w:p>
              </w:txbxContent>
            </v:textbox>
          </v:rect>
        </w:pict>
      </w:r>
      <w:r>
        <w:rPr>
          <w:noProof/>
        </w:rPr>
        <w:pict w14:anchorId="78463C96">
          <v:rect id="Zone de texte 2" o:spid="_x0000_s1027" style="position:absolute;left:0;text-align:left;margin-left:222.75pt;margin-top:154.65pt;width:279pt;height:200.65pt;z-index:7;visibility:visible;mso-wrap-style:square;mso-wrap-distance-left:0;mso-wrap-distance-top:0;mso-wrap-distance-right:1.5pt;mso-wrap-distance-bottom:1.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" fillcolor="white [3201]" strokeweight=".5pt">
            <v:stroke joinstyle="round"/>
            <v:textbox>
              <w:txbxContent>
                <w:p w14:paraId="18D85693" w14:textId="77777777" w:rsidR="00CA7084" w:rsidRDefault="005648BA">
                  <w:pPr>
                    <w:pStyle w:val="Contenudecadre"/>
                  </w:pPr>
                  <w:r>
                    <w:rPr>
                      <w:noProof/>
                    </w:rPr>
                    <w:drawing>
                      <wp:inline distT="0" distB="0" distL="0" distR="0" wp14:anchorId="5C6F98E6" wp14:editId="40498F2A">
                        <wp:extent cx="3076575" cy="2459990"/>
                        <wp:effectExtent l="0" t="0" r="0" b="0"/>
                        <wp:docPr id="7" name="Image6" descr="Une image contenant texte, Tracé,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Une image contenant texte, Tracé, diagramme, ligne&#10;&#10;Le contenu généré par l’IA peut être incorrect."/>
                                <pic:cNvPicPr>
                                  <a:picLocks noChangeAspect="1" noChangeArrowheads="1"/>
                                </pic:cNvPicPr>
                              </pic:nvPicPr>
                              <pic:blipFill>
                                <a:blip r:embed="rId10"/>
                                <a:stretch>
                                  <a:fillRect/>
                                </a:stretch>
                              </pic:blipFill>
                              <pic:spPr bwMode="auto">
                                <a:xfrm>
                                  <a:off x="0" y="0"/>
                                  <a:ext cx="3076575" cy="2459990"/>
                                </a:xfrm>
                                <a:prstGeom prst="rect">
                                  <a:avLst/>
                                </a:prstGeom>
                              </pic:spPr>
                            </pic:pic>
                          </a:graphicData>
                        </a:graphic>
                      </wp:inline>
                    </w:drawing>
                  </w:r>
                </w:p>
              </w:txbxContent>
            </v:textbox>
          </v:rect>
        </w:pict>
      </w:r>
      <w:r w:rsidR="005648BA">
        <w:rPr>
          <w:rFonts w:ascii="Times New Roman" w:eastAsia="Times New Roman" w:hAnsi="Times New Roman" w:cs="Times New Roman"/>
          <w:b/>
          <w:bCs/>
          <w:kern w:val="0"/>
          <w:lang w:eastAsia="fr-BE"/>
          <w14:ligatures w14:val="none"/>
        </w:rPr>
        <w:t>Courbe de calibration</w:t>
      </w:r>
      <w:r w:rsidR="005648BA">
        <w:rPr>
          <w:rFonts w:ascii="Times New Roman" w:eastAsia="Times New Roman" w:hAnsi="Times New Roman" w:cs="Times New Roman"/>
          <w:kern w:val="0"/>
          <w:lang w:eastAsia="fr-BE"/>
          <w14:ligatures w14:val="none"/>
        </w:rPr>
        <w:t xml:space="preserve"> : en regroupant les patients par déciles de risque prédit, la proportion observée d’événements reste globalement alignée sur la diagonale idéale, avec quelques écarts aux extrêmes, comme attendu pour une cohorte de cette taille. Combinée au Brier score, cette courbe suggère que la logistique A2 conserve une </w:t>
      </w:r>
      <w:r w:rsidR="005648BA">
        <w:rPr>
          <w:rFonts w:ascii="Times New Roman" w:eastAsia="Times New Roman" w:hAnsi="Times New Roman" w:cs="Times New Roman"/>
          <w:b/>
          <w:bCs/>
          <w:kern w:val="0"/>
          <w:lang w:eastAsia="fr-BE"/>
          <w14:ligatures w14:val="none"/>
        </w:rPr>
        <w:t>calibration globalement acceptable</w:t>
      </w:r>
      <w:r w:rsidR="005648BA">
        <w:rPr>
          <w:rFonts w:ascii="Times New Roman" w:eastAsia="Times New Roman" w:hAnsi="Times New Roman" w:cs="Times New Roman"/>
          <w:kern w:val="0"/>
          <w:lang w:eastAsia="fr-BE"/>
          <w14:ligatures w14:val="none"/>
        </w:rPr>
        <w:t>, ce qui est essentiel si l’on veut utiliser les probabilités produites pour guider des décisions cliniques (seuils de traitement, intensification de la prévention, etc.).</w:t>
      </w:r>
    </w:p>
    <w:p w14:paraId="19F9F9F8" w14:textId="77777777" w:rsidR="00CA7084" w:rsidRDefault="00CA7084">
      <w:pPr>
        <w:spacing w:beforeAutospacing="1" w:afterAutospacing="1" w:line="240" w:lineRule="auto"/>
        <w:ind w:left="360"/>
        <w:jc w:val="both"/>
        <w:rPr>
          <w:rFonts w:ascii="Times New Roman" w:eastAsia="Times New Roman" w:hAnsi="Times New Roman" w:cs="Times New Roman"/>
          <w:b/>
          <w:bCs/>
          <w:kern w:val="0"/>
          <w:lang w:eastAsia="fr-BE"/>
          <w14:ligatures w14:val="none"/>
        </w:rPr>
      </w:pPr>
    </w:p>
    <w:p w14:paraId="25F76BAC" w14:textId="77777777" w:rsidR="00CA7084" w:rsidRDefault="00CA7084">
      <w:pPr>
        <w:spacing w:beforeAutospacing="1" w:afterAutospacing="1" w:line="240" w:lineRule="auto"/>
        <w:ind w:left="360"/>
        <w:jc w:val="both"/>
        <w:rPr>
          <w:rFonts w:ascii="Times New Roman" w:eastAsia="Times New Roman" w:hAnsi="Times New Roman" w:cs="Times New Roman"/>
          <w:b/>
          <w:bCs/>
          <w:kern w:val="0"/>
          <w:lang w:eastAsia="fr-BE"/>
          <w14:ligatures w14:val="none"/>
        </w:rPr>
      </w:pPr>
    </w:p>
    <w:p w14:paraId="1FEA7164" w14:textId="77777777" w:rsidR="00CA7084" w:rsidRDefault="00CA7084">
      <w:pPr>
        <w:spacing w:beforeAutospacing="1" w:afterAutospacing="1" w:line="240" w:lineRule="auto"/>
        <w:ind w:left="360"/>
        <w:jc w:val="both"/>
        <w:rPr>
          <w:rFonts w:ascii="Times New Roman" w:eastAsia="Times New Roman" w:hAnsi="Times New Roman" w:cs="Times New Roman"/>
          <w:b/>
          <w:bCs/>
          <w:kern w:val="0"/>
          <w:lang w:eastAsia="fr-BE"/>
          <w14:ligatures w14:val="none"/>
        </w:rPr>
      </w:pPr>
    </w:p>
    <w:p w14:paraId="000CBCE2" w14:textId="0F1BBD6C" w:rsidR="00CA7084" w:rsidRDefault="004513E8">
      <w:pPr>
        <w:spacing w:beforeAutospacing="1" w:afterAutospacing="1" w:line="240" w:lineRule="auto"/>
        <w:ind w:left="360"/>
        <w:jc w:val="both"/>
        <w:rPr>
          <w:rFonts w:ascii="Times New Roman" w:eastAsia="Times New Roman" w:hAnsi="Times New Roman" w:cs="Times New Roman"/>
          <w:b/>
          <w:bCs/>
          <w:kern w:val="0"/>
          <w:lang w:eastAsia="fr-BE"/>
          <w14:ligatures w14:val="none"/>
        </w:rPr>
      </w:pPr>
      <w:r>
        <w:rPr>
          <w:noProof/>
        </w:rPr>
        <w:pict w14:anchorId="552DF7A1">
          <v:rect id="Zone de texte 3" o:spid="_x0000_s1026" style="position:absolute;left:0;text-align:left;margin-left:30pt;margin-top:25.65pt;width:306.75pt;height:208.9pt;z-index:10;visibility:visible;mso-wrap-style:square;mso-wrap-distance-left:0;mso-wrap-distance-top:0;mso-wrap-distance-right:2.25pt;mso-wrap-distance-bottom:1.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" fillcolor="white [3201]" strokeweight=".5pt">
            <v:stroke joinstyle="round"/>
            <v:textbox>
              <w:txbxContent>
                <w:p w14:paraId="02A79711" w14:textId="77777777" w:rsidR="00CA7084" w:rsidRDefault="005648BA">
                  <w:pPr>
                    <w:pStyle w:val="Contenudecadre"/>
                  </w:pPr>
                  <w:r>
                    <w:rPr>
                      <w:noProof/>
                    </w:rPr>
                    <w:drawing>
                      <wp:inline distT="0" distB="0" distL="0" distR="0" wp14:anchorId="61060F67" wp14:editId="4089D7C2">
                        <wp:extent cx="3148965" cy="2521585"/>
                        <wp:effectExtent l="0" t="0" r="0" b="0"/>
                        <wp:docPr id="8" name="Image7"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Une image contenant texte, ligne, Tracé, diagramme&#10;&#10;Le contenu généré par l’IA peut être incorrect."/>
                                <pic:cNvPicPr>
                                  <a:picLocks noChangeAspect="1" noChangeArrowheads="1"/>
                                </pic:cNvPicPr>
                              </pic:nvPicPr>
                              <pic:blipFill>
                                <a:blip r:embed="rId11"/>
                                <a:stretch>
                                  <a:fillRect/>
                                </a:stretch>
                              </pic:blipFill>
                              <pic:spPr bwMode="auto">
                                <a:xfrm>
                                  <a:off x="0" y="0"/>
                                  <a:ext cx="3148965" cy="2521585"/>
                                </a:xfrm>
                                <a:prstGeom prst="rect">
                                  <a:avLst/>
                                </a:prstGeom>
                              </pic:spPr>
                            </pic:pic>
                          </a:graphicData>
                        </a:graphic>
                      </wp:inline>
                    </w:drawing>
                  </w:r>
                </w:p>
              </w:txbxContent>
            </v:textbox>
          </v:rect>
        </w:pict>
      </w:r>
    </w:p>
    <w:p w14:paraId="03B6DC62" w14:textId="53BA817C" w:rsidR="00CA7084" w:rsidRDefault="00CA7084">
      <w:pPr>
        <w:spacing w:beforeAutospacing="1" w:afterAutospacing="1" w:line="240" w:lineRule="auto"/>
        <w:jc w:val="both"/>
        <w:rPr>
          <w:rFonts w:ascii="Times New Roman" w:eastAsia="Times New Roman" w:hAnsi="Times New Roman" w:cs="Times New Roman"/>
          <w:b/>
          <w:bCs/>
          <w:kern w:val="0"/>
          <w:lang w:eastAsia="fr-BE"/>
          <w14:ligatures w14:val="none"/>
        </w:rPr>
      </w:pPr>
    </w:p>
    <w:p w14:paraId="19314A83" w14:textId="0CAECBAC" w:rsidR="00CA7084" w:rsidRDefault="00CA7084">
      <w:pPr>
        <w:spacing w:beforeAutospacing="1" w:afterAutospacing="1" w:line="240" w:lineRule="auto"/>
        <w:jc w:val="both"/>
        <w:rPr>
          <w:rFonts w:ascii="Times New Roman" w:eastAsia="Times New Roman" w:hAnsi="Times New Roman" w:cs="Times New Roman"/>
          <w:b/>
          <w:bCs/>
          <w:kern w:val="0"/>
          <w:lang w:eastAsia="fr-BE"/>
          <w14:ligatures w14:val="none"/>
        </w:rPr>
      </w:pPr>
    </w:p>
    <w:p w14:paraId="1304397C" w14:textId="66A44E61" w:rsidR="00CA7084" w:rsidRDefault="00CA7084">
      <w:pPr>
        <w:spacing w:beforeAutospacing="1" w:afterAutospacing="1" w:line="240" w:lineRule="auto"/>
        <w:jc w:val="both"/>
        <w:rPr>
          <w:rFonts w:ascii="Times New Roman" w:eastAsia="Times New Roman" w:hAnsi="Times New Roman" w:cs="Times New Roman"/>
          <w:b/>
          <w:bCs/>
          <w:kern w:val="0"/>
          <w:lang w:eastAsia="fr-BE"/>
          <w14:ligatures w14:val="none"/>
        </w:rPr>
      </w:pPr>
    </w:p>
    <w:p w14:paraId="241E0CAE" w14:textId="20804512" w:rsidR="00CA7084" w:rsidRDefault="00CA7084">
      <w:pPr>
        <w:spacing w:beforeAutospacing="1" w:afterAutospacing="1" w:line="240" w:lineRule="auto"/>
        <w:jc w:val="both"/>
        <w:rPr>
          <w:rFonts w:ascii="Times New Roman" w:eastAsia="Times New Roman" w:hAnsi="Times New Roman" w:cs="Times New Roman"/>
          <w:b/>
          <w:bCs/>
          <w:kern w:val="0"/>
          <w:lang w:eastAsia="fr-BE"/>
          <w14:ligatures w14:val="none"/>
        </w:rPr>
      </w:pPr>
    </w:p>
    <w:p w14:paraId="2FD92D32" w14:textId="77777777" w:rsidR="00CA7084" w:rsidRDefault="00CA7084">
      <w:pPr>
        <w:spacing w:beforeAutospacing="1" w:afterAutospacing="1" w:line="240" w:lineRule="auto"/>
        <w:jc w:val="both"/>
        <w:rPr>
          <w:rFonts w:ascii="Times New Roman" w:eastAsia="Times New Roman" w:hAnsi="Times New Roman" w:cs="Times New Roman"/>
          <w:b/>
          <w:bCs/>
          <w:kern w:val="0"/>
          <w:lang w:eastAsia="fr-BE"/>
          <w14:ligatures w14:val="none"/>
        </w:rPr>
      </w:pPr>
    </w:p>
    <w:p w14:paraId="39A7B174" w14:textId="77777777" w:rsidR="00CA7084" w:rsidRDefault="00CA7084">
      <w:pPr>
        <w:spacing w:beforeAutospacing="1" w:afterAutospacing="1" w:line="240" w:lineRule="auto"/>
        <w:jc w:val="both"/>
        <w:rPr>
          <w:rFonts w:ascii="Times New Roman" w:eastAsia="Times New Roman" w:hAnsi="Times New Roman" w:cs="Times New Roman"/>
          <w:b/>
          <w:bCs/>
          <w:kern w:val="0"/>
          <w:lang w:eastAsia="fr-BE"/>
          <w14:ligatures w14:val="none"/>
        </w:rPr>
      </w:pPr>
    </w:p>
    <w:p w14:paraId="714F8442" w14:textId="77777777" w:rsidR="00CA7084" w:rsidRDefault="00CA7084">
      <w:pPr>
        <w:spacing w:beforeAutospacing="1" w:afterAutospacing="1" w:line="240" w:lineRule="auto"/>
        <w:jc w:val="both"/>
        <w:rPr>
          <w:rFonts w:ascii="Times New Roman" w:eastAsia="Times New Roman" w:hAnsi="Times New Roman" w:cs="Times New Roman"/>
          <w:b/>
          <w:bCs/>
          <w:kern w:val="0"/>
          <w:lang w:eastAsia="fr-BE"/>
          <w14:ligatures w14:val="none"/>
        </w:rPr>
      </w:pPr>
    </w:p>
    <w:p w14:paraId="1291BF02" w14:textId="77777777" w:rsidR="00CA7084" w:rsidRDefault="00CA7084">
      <w:pPr>
        <w:spacing w:beforeAutospacing="1" w:afterAutospacing="1" w:line="240" w:lineRule="auto"/>
        <w:jc w:val="both"/>
        <w:rPr>
          <w:rFonts w:ascii="Times New Roman" w:eastAsia="Times New Roman" w:hAnsi="Times New Roman" w:cs="Times New Roman"/>
          <w:b/>
          <w:bCs/>
          <w:kern w:val="0"/>
          <w:lang w:eastAsia="fr-BE"/>
          <w14:ligatures w14:val="none"/>
        </w:rPr>
      </w:pPr>
    </w:p>
    <w:p w14:paraId="7C5959E8" w14:textId="77777777" w:rsidR="00CA7084" w:rsidRDefault="00CA7084">
      <w:pPr>
        <w:spacing w:beforeAutospacing="1" w:afterAutospacing="1" w:line="240" w:lineRule="auto"/>
        <w:jc w:val="both"/>
        <w:rPr>
          <w:rFonts w:ascii="Times New Roman" w:eastAsia="Times New Roman" w:hAnsi="Times New Roman" w:cs="Times New Roman"/>
          <w:b/>
          <w:bCs/>
          <w:kern w:val="0"/>
          <w:lang w:eastAsia="fr-BE"/>
          <w14:ligatures w14:val="none"/>
        </w:rPr>
      </w:pPr>
    </w:p>
    <w:p w14:paraId="0ADB239A" w14:textId="77777777" w:rsidR="00CA7084" w:rsidRDefault="005648BA">
      <w:pPr>
        <w:spacing w:beforeAutospacing="1" w:afterAutospacing="1" w:line="240" w:lineRule="auto"/>
        <w:ind w:left="360"/>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 xml:space="preserve">Résultats quantification de l’incertitude </w:t>
      </w:r>
    </w:p>
    <w:p w14:paraId="13F18A6A" w14:textId="77777777" w:rsidR="00CA7084" w:rsidRDefault="005648BA">
      <w:pPr>
        <w:spacing w:beforeAutospacing="1" w:afterAutospacing="1" w:line="240" w:lineRule="auto"/>
        <w:ind w:left="360"/>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Bootstrap des performances du modèle final (LogReg_A2, seuil 0,15)</w:t>
      </w:r>
    </w:p>
    <w:p w14:paraId="3457B237" w14:textId="77777777" w:rsidR="00CA7084" w:rsidRDefault="005648BA">
      <w:pPr>
        <w:spacing w:beforeAutospacing="1" w:afterAutospacing="1" w:line="360" w:lineRule="auto"/>
        <w:ind w:left="360"/>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L’analyse bootstrap confirme que les performances du modèle final LogReg_A2 avec un seuil de décision fixé à 0,15 sont relativement stables sur le jeu de test. L’accuracy se situe autour de 0,67, avec un intervalle de confiance étroit [0,64–0,70], mais, comme attendu dans un contexte de classes déséquilibrées, ce n’est pas la métrique la plus informative. Le rappel de la classe événement est estimé à 0,61, avec un IC95 % allant d’environ 0,52 à 0,69, suggérant qu’environ la moitié à deux tiers des patients qui feront un événement sont correctement identifiés. La précision de la classe 1 reste modérée (0,25 ; IC95 % [0,20–0,30]), ce qui traduit un nombre non négligeable de faux positifs, cohérent avec le choix d’un seuil plus bas pour privilégier la sensibilité. Le F1-score de la classe 1, autour de 0,36 (IC95 % [0,30–0,41]), résume ce compromis entre rappel et précision. Les mesures de discrimination AUC-ROC (0,70 ; IC95 % [0,65–0,74]) et AUC-PR (0,29 ; IC95 % [0,23–0,37]) restent au-dessus de ce que l’on attendrait d’un classifieur aléatoire, indiquant une capacité de distinction modérée mais robuste entre patients avec et sans événement. Enfin, le Brier score, estimé à 0,122 avec un IC95 % [0,107–0,138], suggère une qualité globalement acceptable des probabilités prédictives dans ce contexte de prévalence basse.</w:t>
      </w:r>
    </w:p>
    <w:p w14:paraId="235CBA2E" w14:textId="77777777" w:rsidR="00CA7084" w:rsidRDefault="005648BA">
      <w:pPr>
        <w:spacing w:beforeAutospacing="1" w:afterAutospacing="1" w:line="240" w:lineRule="auto"/>
        <w:ind w:left="360"/>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lastRenderedPageBreak/>
        <w:t>Tableau  Performances du modèle final LogReg_A2 (seuil 0,15) et intervalles de confiance bootstrap (B = 1000, jeu de test N = 848)</w:t>
      </w:r>
    </w:p>
    <w:tbl>
      <w:tblPr>
        <w:tblStyle w:val="Grilledutableau"/>
        <w:tblW w:w="8656" w:type="dxa"/>
        <w:tblInd w:w="360" w:type="dxa"/>
        <w:tblLayout w:type="fixed"/>
        <w:tblLook w:val="04A0" w:firstRow="1" w:lastRow="0" w:firstColumn="1" w:lastColumn="0" w:noHBand="0" w:noVBand="1"/>
      </w:tblPr>
      <w:tblGrid>
        <w:gridCol w:w="2900"/>
        <w:gridCol w:w="2883"/>
        <w:gridCol w:w="2873"/>
      </w:tblGrid>
      <w:tr w:rsidR="00CA7084" w14:paraId="00343983" w14:textId="77777777">
        <w:tc>
          <w:tcPr>
            <w:tcW w:w="2900" w:type="dxa"/>
          </w:tcPr>
          <w:p w14:paraId="375F3427"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Métrique</w:t>
            </w:r>
          </w:p>
        </w:tc>
        <w:tc>
          <w:tcPr>
            <w:tcW w:w="2883" w:type="dxa"/>
          </w:tcPr>
          <w:p w14:paraId="5A6093E8"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Estimation ponctuelle</w:t>
            </w:r>
          </w:p>
        </w:tc>
        <w:tc>
          <w:tcPr>
            <w:tcW w:w="2873" w:type="dxa"/>
          </w:tcPr>
          <w:p w14:paraId="46172005"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IC95 % bootstrap</w:t>
            </w:r>
          </w:p>
        </w:tc>
      </w:tr>
      <w:tr w:rsidR="00CA7084" w14:paraId="0C13113C" w14:textId="77777777">
        <w:tc>
          <w:tcPr>
            <w:tcW w:w="2900" w:type="dxa"/>
          </w:tcPr>
          <w:p w14:paraId="6E8EF3F6"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Accuracy</w:t>
            </w:r>
          </w:p>
        </w:tc>
        <w:tc>
          <w:tcPr>
            <w:tcW w:w="2883" w:type="dxa"/>
          </w:tcPr>
          <w:p w14:paraId="7D3205FF"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0,667</w:t>
            </w:r>
          </w:p>
        </w:tc>
        <w:tc>
          <w:tcPr>
            <w:tcW w:w="2873" w:type="dxa"/>
          </w:tcPr>
          <w:p w14:paraId="031D09F1"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[0,636 ; 0,697]</w:t>
            </w:r>
          </w:p>
        </w:tc>
      </w:tr>
      <w:tr w:rsidR="00CA7084" w14:paraId="1E975F0C" w14:textId="77777777">
        <w:tc>
          <w:tcPr>
            <w:tcW w:w="2900" w:type="dxa"/>
          </w:tcPr>
          <w:p w14:paraId="5288E47E"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Recall classe 1</w:t>
            </w:r>
          </w:p>
        </w:tc>
        <w:tc>
          <w:tcPr>
            <w:tcW w:w="2883" w:type="dxa"/>
          </w:tcPr>
          <w:p w14:paraId="68B2A15C"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0,605</w:t>
            </w:r>
          </w:p>
        </w:tc>
        <w:tc>
          <w:tcPr>
            <w:tcW w:w="2873" w:type="dxa"/>
          </w:tcPr>
          <w:p w14:paraId="27E5310C"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[0,517 ; 0,688]</w:t>
            </w:r>
          </w:p>
        </w:tc>
      </w:tr>
      <w:tr w:rsidR="00CA7084" w14:paraId="5A309213" w14:textId="77777777">
        <w:tc>
          <w:tcPr>
            <w:tcW w:w="2900" w:type="dxa"/>
          </w:tcPr>
          <w:p w14:paraId="3025FFFD"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Précision classe 1</w:t>
            </w:r>
          </w:p>
        </w:tc>
        <w:tc>
          <w:tcPr>
            <w:tcW w:w="2883" w:type="dxa"/>
          </w:tcPr>
          <w:p w14:paraId="3CDA6254"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0,252</w:t>
            </w:r>
          </w:p>
        </w:tc>
        <w:tc>
          <w:tcPr>
            <w:tcW w:w="2873" w:type="dxa"/>
          </w:tcPr>
          <w:p w14:paraId="20FB0D0E"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[0,204 ; 0,303]</w:t>
            </w:r>
          </w:p>
        </w:tc>
      </w:tr>
      <w:tr w:rsidR="00CA7084" w14:paraId="149AC7E3" w14:textId="77777777">
        <w:tc>
          <w:tcPr>
            <w:tcW w:w="2900" w:type="dxa"/>
          </w:tcPr>
          <w:p w14:paraId="1460C164"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F1 classe 1</w:t>
            </w:r>
          </w:p>
        </w:tc>
        <w:tc>
          <w:tcPr>
            <w:tcW w:w="2883" w:type="dxa"/>
          </w:tcPr>
          <w:p w14:paraId="5EE7CEAD"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0,356</w:t>
            </w:r>
          </w:p>
        </w:tc>
        <w:tc>
          <w:tcPr>
            <w:tcW w:w="2873" w:type="dxa"/>
          </w:tcPr>
          <w:p w14:paraId="7DF0A945"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[0,297 ; 0,413]</w:t>
            </w:r>
          </w:p>
        </w:tc>
      </w:tr>
      <w:tr w:rsidR="00CA7084" w14:paraId="6182CCA1" w14:textId="77777777">
        <w:tc>
          <w:tcPr>
            <w:tcW w:w="2900" w:type="dxa"/>
          </w:tcPr>
          <w:p w14:paraId="10F300D9"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AUC-ROC</w:t>
            </w:r>
          </w:p>
        </w:tc>
        <w:tc>
          <w:tcPr>
            <w:tcW w:w="2883" w:type="dxa"/>
          </w:tcPr>
          <w:p w14:paraId="55742CD8"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0,697</w:t>
            </w:r>
          </w:p>
        </w:tc>
        <w:tc>
          <w:tcPr>
            <w:tcW w:w="2873" w:type="dxa"/>
          </w:tcPr>
          <w:p w14:paraId="64E93428"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[0,652 ; 0,741]</w:t>
            </w:r>
          </w:p>
        </w:tc>
      </w:tr>
      <w:tr w:rsidR="00CA7084" w14:paraId="1796A013" w14:textId="77777777">
        <w:tc>
          <w:tcPr>
            <w:tcW w:w="2900" w:type="dxa"/>
          </w:tcPr>
          <w:p w14:paraId="71F11E1E"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AUC-PR</w:t>
            </w:r>
          </w:p>
        </w:tc>
        <w:tc>
          <w:tcPr>
            <w:tcW w:w="2883" w:type="dxa"/>
          </w:tcPr>
          <w:p w14:paraId="4A1D58BD"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0,290</w:t>
            </w:r>
          </w:p>
        </w:tc>
        <w:tc>
          <w:tcPr>
            <w:tcW w:w="2873" w:type="dxa"/>
          </w:tcPr>
          <w:p w14:paraId="62E21D9B"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[0,227 ; 0,374]</w:t>
            </w:r>
          </w:p>
        </w:tc>
      </w:tr>
      <w:tr w:rsidR="00CA7084" w14:paraId="45C5B41D" w14:textId="77777777">
        <w:tc>
          <w:tcPr>
            <w:tcW w:w="2900" w:type="dxa"/>
          </w:tcPr>
          <w:p w14:paraId="0887A770"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Brier score</w:t>
            </w:r>
          </w:p>
        </w:tc>
        <w:tc>
          <w:tcPr>
            <w:tcW w:w="2883" w:type="dxa"/>
          </w:tcPr>
          <w:p w14:paraId="572F1F72"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0,122</w:t>
            </w:r>
          </w:p>
        </w:tc>
        <w:tc>
          <w:tcPr>
            <w:tcW w:w="2873" w:type="dxa"/>
          </w:tcPr>
          <w:p w14:paraId="45D63540"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[0,107 ; 0,138]</w:t>
            </w:r>
          </w:p>
        </w:tc>
      </w:tr>
    </w:tbl>
    <w:p w14:paraId="4C9B8A89" w14:textId="77777777" w:rsidR="00CA7084" w:rsidRDefault="00CA7084">
      <w:pPr>
        <w:spacing w:beforeAutospacing="1" w:afterAutospacing="1" w:line="240" w:lineRule="auto"/>
        <w:jc w:val="both"/>
        <w:rPr>
          <w:rFonts w:ascii="Times New Roman" w:eastAsia="Times New Roman" w:hAnsi="Times New Roman" w:cs="Times New Roman"/>
          <w:kern w:val="0"/>
          <w:lang w:eastAsia="fr-BE"/>
          <w14:ligatures w14:val="none"/>
        </w:rPr>
      </w:pPr>
    </w:p>
    <w:p w14:paraId="061E86FC" w14:textId="77777777" w:rsidR="00CA7084" w:rsidRDefault="005648BA">
      <w:pPr>
        <w:spacing w:beforeAutospacing="1" w:afterAutospacing="1" w:line="240" w:lineRule="auto"/>
        <w:ind w:left="360"/>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 xml:space="preserve">Conformal Mondrian + sensibilité à (α = 0,10), </w:t>
      </w:r>
    </w:p>
    <w:p w14:paraId="5C2D2386" w14:textId="77777777" w:rsidR="00CA7084" w:rsidRDefault="005648BA">
      <w:pPr>
        <w:spacing w:beforeAutospacing="1" w:afterAutospacing="1" w:line="360" w:lineRule="auto"/>
        <w:ind w:left="360"/>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Dans la configuration principale retenue (α = 0,10), la prédiction conforme Mondrian est appliquée au modèle final de régression logistique (LogReg_A2) en séparant le jeu d’apprentissage imputé et standardisé en un sous-jeu d’entraînement et un sous-jeu de calibration. Sur la base de ce sous-jeu de calibration (n = 678), des scores de non-conformité sont calculés séparément pour la classe 0 (non-événement) et la classe 1 (événement), puis des quantiles spécifiques à chaque classe sont utilisés pour construire, sur le jeu de test (n = 848), des ensembles prédictifs Γ(x) qui vérifient empiriquement une couverture proche de 90 % pour chacune des deux classes. Les résultats montrent une </w:t>
      </w:r>
      <w:r>
        <w:rPr>
          <w:rFonts w:ascii="Times New Roman" w:eastAsia="Times New Roman" w:hAnsi="Times New Roman" w:cs="Times New Roman"/>
          <w:b/>
          <w:bCs/>
          <w:kern w:val="0"/>
          <w:lang w:eastAsia="fr-BE"/>
          <w14:ligatures w14:val="none"/>
        </w:rPr>
        <w:t>couverture globale</w:t>
      </w:r>
      <w:r>
        <w:rPr>
          <w:rFonts w:ascii="Times New Roman" w:eastAsia="Times New Roman" w:hAnsi="Times New Roman" w:cs="Times New Roman"/>
          <w:kern w:val="0"/>
          <w:lang w:eastAsia="fr-BE"/>
          <w14:ligatures w14:val="none"/>
        </w:rPr>
        <w:t xml:space="preserve"> de 0,902, avec une </w:t>
      </w:r>
      <w:r>
        <w:rPr>
          <w:rFonts w:ascii="Times New Roman" w:eastAsia="Times New Roman" w:hAnsi="Times New Roman" w:cs="Times New Roman"/>
          <w:b/>
          <w:bCs/>
          <w:kern w:val="0"/>
          <w:lang w:eastAsia="fr-BE"/>
          <w14:ligatures w14:val="none"/>
        </w:rPr>
        <w:t>couverture de 0,901 pour la classe 0</w:t>
      </w:r>
      <w:r>
        <w:rPr>
          <w:rFonts w:ascii="Times New Roman" w:eastAsia="Times New Roman" w:hAnsi="Times New Roman" w:cs="Times New Roman"/>
          <w:kern w:val="0"/>
          <w:lang w:eastAsia="fr-BE"/>
          <w14:ligatures w14:val="none"/>
        </w:rPr>
        <w:t xml:space="preserve"> et de </w:t>
      </w:r>
      <w:r>
        <w:rPr>
          <w:rFonts w:ascii="Times New Roman" w:eastAsia="Times New Roman" w:hAnsi="Times New Roman" w:cs="Times New Roman"/>
          <w:b/>
          <w:bCs/>
          <w:kern w:val="0"/>
          <w:lang w:eastAsia="fr-BE"/>
          <w14:ligatures w14:val="none"/>
        </w:rPr>
        <w:t>0,907 pour la classe 1</w:t>
      </w:r>
      <w:r>
        <w:rPr>
          <w:rFonts w:ascii="Times New Roman" w:eastAsia="Times New Roman" w:hAnsi="Times New Roman" w:cs="Times New Roman"/>
          <w:kern w:val="0"/>
          <w:lang w:eastAsia="fr-BE"/>
          <w14:ligatures w14:val="none"/>
        </w:rPr>
        <w:t xml:space="preserve">, en accord avec l’objectif de la version Mondrian qui impose un contrôle distinct du risque d’erreur dans chaque classe. Dans cette configuration, environ un tiers des patients reçoivent un ensemble singleton {0}, environ 12 % un singleton {1}, et un peu plus de la moitié un ensemble {0,1} ; la </w:t>
      </w:r>
      <w:r>
        <w:rPr>
          <w:rFonts w:ascii="Times New Roman" w:eastAsia="Times New Roman" w:hAnsi="Times New Roman" w:cs="Times New Roman"/>
          <w:b/>
          <w:bCs/>
          <w:kern w:val="0"/>
          <w:lang w:eastAsia="fr-BE"/>
          <w14:ligatures w14:val="none"/>
        </w:rPr>
        <w:t>taille moyenne des ensembles prédictifs</w:t>
      </w:r>
      <w:r>
        <w:rPr>
          <w:rFonts w:ascii="Times New Roman" w:eastAsia="Times New Roman" w:hAnsi="Times New Roman" w:cs="Times New Roman"/>
          <w:kern w:val="0"/>
          <w:lang w:eastAsia="fr-BE"/>
          <w14:ligatures w14:val="none"/>
        </w:rPr>
        <w:t xml:space="preserve"> est de l’ordre de 1,55. Autrement dit, le modèle assorti de la prédiction conforme Mondrian est “confiant” sur l’absence d’événement ou la survenue d’un événement pour une partie des patients, mais signale explicitement une incertitude (ensemble {0,1}) pour un peu plus d’un cas sur deux, ce qui est cohérent avec la difficulté de la tâche et le déséquilibre de la base.</w:t>
      </w:r>
    </w:p>
    <w:p w14:paraId="4AB8AB70" w14:textId="77777777" w:rsidR="00CA7084" w:rsidRDefault="005648BA">
      <w:pPr>
        <w:spacing w:beforeAutospacing="1" w:afterAutospacing="1" w:line="360" w:lineRule="auto"/>
        <w:ind w:left="360"/>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L’analyse de sensibilité sur le paramètre α met en évidence le </w:t>
      </w:r>
      <w:r>
        <w:rPr>
          <w:rFonts w:ascii="Times New Roman" w:eastAsia="Times New Roman" w:hAnsi="Times New Roman" w:cs="Times New Roman"/>
          <w:b/>
          <w:bCs/>
          <w:kern w:val="0"/>
          <w:lang w:eastAsia="fr-BE"/>
          <w14:ligatures w14:val="none"/>
        </w:rPr>
        <w:t>compromis classique entre niveau de confiance et “précision” des ensembles prédictifs</w:t>
      </w:r>
      <w:r>
        <w:rPr>
          <w:rFonts w:ascii="Times New Roman" w:eastAsia="Times New Roman" w:hAnsi="Times New Roman" w:cs="Times New Roman"/>
          <w:kern w:val="0"/>
          <w:lang w:eastAsia="fr-BE"/>
          <w14:ligatures w14:val="none"/>
        </w:rPr>
        <w:t xml:space="preserve">. Lorsque l’on choisit un niveau de confiance très élevé (α = 0,05, soit 95 % de confiance cible), la couverture empirique atteint environ 0,96 mais la taille moyenne des ensembles prédictifs augmente </w:t>
      </w:r>
      <w:r>
        <w:rPr>
          <w:rFonts w:ascii="Times New Roman" w:eastAsia="Times New Roman" w:hAnsi="Times New Roman" w:cs="Times New Roman"/>
          <w:kern w:val="0"/>
          <w:lang w:eastAsia="fr-BE"/>
          <w14:ligatures w14:val="none"/>
        </w:rPr>
        <w:lastRenderedPageBreak/>
        <w:t xml:space="preserve">à près de 1,8 : près de 80 % des patients se voient attribuer un ensemble {0,1}, et seuls une minorité d’entre eux bénéficient d’un singleton {0} ou {1}. À l’inverse, lorsque l’on relâche la contrainte de couverture (α = 0,25, soit ~75 % de confiance cible), la taille moyenne des ensembles se rapproche de 1,1 et la plupart des patients reçoivent un singleton (plus de 60 % {0} et près de 30 % {1}), mais la couverture globale chute autour de 0,72. La valeur intermédiaire α = 0,10 apparaît ainsi comme un </w:t>
      </w:r>
      <w:r>
        <w:rPr>
          <w:rFonts w:ascii="Times New Roman" w:eastAsia="Times New Roman" w:hAnsi="Times New Roman" w:cs="Times New Roman"/>
          <w:b/>
          <w:bCs/>
          <w:kern w:val="0"/>
          <w:lang w:eastAsia="fr-BE"/>
          <w14:ligatures w14:val="none"/>
        </w:rPr>
        <w:t>compromis pragmatique</w:t>
      </w:r>
      <w:r>
        <w:rPr>
          <w:rFonts w:ascii="Times New Roman" w:eastAsia="Times New Roman" w:hAnsi="Times New Roman" w:cs="Times New Roman"/>
          <w:kern w:val="0"/>
          <w:lang w:eastAsia="fr-BE"/>
          <w14:ligatures w14:val="none"/>
        </w:rPr>
        <w:t xml:space="preserve"> : la couverture globale et par classe reste proche de 90 %, tout en limitant la taille moyenne des ensembles à environ 1,5 et en fournissant des singletons {1} pour une proportion non négligeable de patients à haut risque, au prix d’une proportion substantielle d’ensembles {0,1} qui matérialisent explicitement les situations les plus incertaines.</w:t>
      </w:r>
    </w:p>
    <w:p w14:paraId="2995C6C6" w14:textId="77777777" w:rsidR="00CA7084" w:rsidRDefault="005648BA">
      <w:pPr>
        <w:spacing w:beforeAutospacing="1" w:afterAutospacing="1" w:line="360" w:lineRule="auto"/>
        <w:ind w:left="360"/>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Tableau . Résultats de la prédiction conforme Mondrian (label-conditional) pour le modèle final LogReg_A2 (α = 0,10)</w:t>
      </w:r>
    </w:p>
    <w:tbl>
      <w:tblPr>
        <w:tblStyle w:val="Grilledutableau"/>
        <w:tblW w:w="8656" w:type="dxa"/>
        <w:tblLayout w:type="fixed"/>
        <w:tblLook w:val="04A0" w:firstRow="1" w:lastRow="0" w:firstColumn="1" w:lastColumn="0" w:noHBand="0" w:noVBand="1"/>
      </w:tblPr>
      <w:tblGrid>
        <w:gridCol w:w="4343"/>
        <w:gridCol w:w="4313"/>
      </w:tblGrid>
      <w:tr w:rsidR="00CA7084" w14:paraId="626E6981" w14:textId="77777777">
        <w:tc>
          <w:tcPr>
            <w:tcW w:w="4342" w:type="dxa"/>
          </w:tcPr>
          <w:p w14:paraId="71F760A9"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Indicateur</w:t>
            </w:r>
          </w:p>
        </w:tc>
        <w:tc>
          <w:tcPr>
            <w:tcW w:w="4313" w:type="dxa"/>
          </w:tcPr>
          <w:p w14:paraId="3A441F38"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Valeur</w:t>
            </w:r>
          </w:p>
        </w:tc>
      </w:tr>
      <w:tr w:rsidR="00CA7084" w14:paraId="32CC7972" w14:textId="77777777">
        <w:tc>
          <w:tcPr>
            <w:tcW w:w="4342" w:type="dxa"/>
          </w:tcPr>
          <w:p w14:paraId="40D2629D"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Taille du jeu de calibration</w:t>
            </w:r>
          </w:p>
        </w:tc>
        <w:tc>
          <w:tcPr>
            <w:tcW w:w="4313" w:type="dxa"/>
          </w:tcPr>
          <w:p w14:paraId="621DF853"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678</w:t>
            </w:r>
          </w:p>
        </w:tc>
      </w:tr>
      <w:tr w:rsidR="00CA7084" w14:paraId="3561A507" w14:textId="77777777">
        <w:tc>
          <w:tcPr>
            <w:tcW w:w="4342" w:type="dxa"/>
          </w:tcPr>
          <w:p w14:paraId="695BD677"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Taille du jeu de test</w:t>
            </w:r>
          </w:p>
        </w:tc>
        <w:tc>
          <w:tcPr>
            <w:tcW w:w="4313" w:type="dxa"/>
          </w:tcPr>
          <w:p w14:paraId="033F7B16"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848</w:t>
            </w:r>
          </w:p>
        </w:tc>
      </w:tr>
      <w:tr w:rsidR="00CA7084" w14:paraId="022E62D9" w14:textId="77777777">
        <w:tc>
          <w:tcPr>
            <w:tcW w:w="4342" w:type="dxa"/>
          </w:tcPr>
          <w:p w14:paraId="7E04D38F"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Niveau d’erreur cible (α)</w:t>
            </w:r>
          </w:p>
        </w:tc>
        <w:tc>
          <w:tcPr>
            <w:tcW w:w="4313" w:type="dxa"/>
          </w:tcPr>
          <w:p w14:paraId="1A3519E0"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0,10</w:t>
            </w:r>
          </w:p>
        </w:tc>
      </w:tr>
      <w:tr w:rsidR="00CA7084" w14:paraId="69BAFC31" w14:textId="77777777">
        <w:tc>
          <w:tcPr>
            <w:tcW w:w="4342" w:type="dxa"/>
          </w:tcPr>
          <w:p w14:paraId="4892C259" w14:textId="77777777" w:rsidR="00CA7084" w:rsidRDefault="00CA7084">
            <w:pPr>
              <w:spacing w:beforeAutospacing="1" w:after="0" w:line="240" w:lineRule="auto"/>
              <w:jc w:val="both"/>
              <w:rPr>
                <w:rFonts w:ascii="Times New Roman" w:eastAsia="Times New Roman" w:hAnsi="Times New Roman" w:cs="Times New Roman"/>
                <w:kern w:val="0"/>
                <w:lang w:eastAsia="fr-BE"/>
                <w14:ligatures w14:val="none"/>
              </w:rPr>
            </w:pPr>
          </w:p>
        </w:tc>
        <w:tc>
          <w:tcPr>
            <w:tcW w:w="4313" w:type="dxa"/>
          </w:tcPr>
          <w:p w14:paraId="4136ADEC" w14:textId="77777777" w:rsidR="00CA7084" w:rsidRDefault="00CA7084">
            <w:pPr>
              <w:spacing w:beforeAutospacing="1" w:after="0" w:line="240" w:lineRule="auto"/>
              <w:jc w:val="center"/>
              <w:rPr>
                <w:rFonts w:ascii="Times New Roman" w:eastAsia="Times New Roman" w:hAnsi="Times New Roman" w:cs="Times New Roman"/>
                <w:kern w:val="0"/>
                <w:lang w:eastAsia="fr-BE"/>
                <w14:ligatures w14:val="none"/>
              </w:rPr>
            </w:pPr>
          </w:p>
        </w:tc>
      </w:tr>
      <w:tr w:rsidR="00CA7084" w14:paraId="17DB2F52" w14:textId="77777777">
        <w:tc>
          <w:tcPr>
            <w:tcW w:w="4342" w:type="dxa"/>
          </w:tcPr>
          <w:p w14:paraId="4569CC40"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Couverture globale</w:t>
            </w:r>
          </w:p>
        </w:tc>
        <w:tc>
          <w:tcPr>
            <w:tcW w:w="4313" w:type="dxa"/>
          </w:tcPr>
          <w:p w14:paraId="06CD9509"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0,902</w:t>
            </w:r>
          </w:p>
        </w:tc>
      </w:tr>
      <w:tr w:rsidR="00CA7084" w14:paraId="76E1EC96" w14:textId="77777777">
        <w:tc>
          <w:tcPr>
            <w:tcW w:w="4342" w:type="dxa"/>
          </w:tcPr>
          <w:p w14:paraId="4EB32758"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Couverture classe 0</w:t>
            </w:r>
          </w:p>
        </w:tc>
        <w:tc>
          <w:tcPr>
            <w:tcW w:w="4313" w:type="dxa"/>
          </w:tcPr>
          <w:p w14:paraId="49F92A8B"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0,901</w:t>
            </w:r>
          </w:p>
        </w:tc>
      </w:tr>
      <w:tr w:rsidR="00CA7084" w14:paraId="26547325" w14:textId="77777777">
        <w:tc>
          <w:tcPr>
            <w:tcW w:w="4342" w:type="dxa"/>
          </w:tcPr>
          <w:p w14:paraId="543E2B61"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Couverture classe 1</w:t>
            </w:r>
          </w:p>
        </w:tc>
        <w:tc>
          <w:tcPr>
            <w:tcW w:w="4313" w:type="dxa"/>
          </w:tcPr>
          <w:p w14:paraId="70130FDD"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0,907</w:t>
            </w:r>
          </w:p>
        </w:tc>
      </w:tr>
      <w:tr w:rsidR="00CA7084" w14:paraId="1256ACB5" w14:textId="77777777">
        <w:tc>
          <w:tcPr>
            <w:tcW w:w="4342" w:type="dxa"/>
          </w:tcPr>
          <w:p w14:paraId="10D20E9D" w14:textId="77777777" w:rsidR="00CA7084" w:rsidRDefault="00CA7084">
            <w:pPr>
              <w:spacing w:beforeAutospacing="1" w:after="0" w:line="240" w:lineRule="auto"/>
              <w:jc w:val="both"/>
              <w:rPr>
                <w:rFonts w:ascii="Times New Roman" w:eastAsia="Times New Roman" w:hAnsi="Times New Roman" w:cs="Times New Roman"/>
                <w:kern w:val="0"/>
                <w:lang w:eastAsia="fr-BE"/>
                <w14:ligatures w14:val="none"/>
              </w:rPr>
            </w:pPr>
          </w:p>
        </w:tc>
        <w:tc>
          <w:tcPr>
            <w:tcW w:w="4313" w:type="dxa"/>
          </w:tcPr>
          <w:p w14:paraId="65874B0A" w14:textId="77777777" w:rsidR="00CA7084" w:rsidRDefault="00CA7084">
            <w:pPr>
              <w:spacing w:beforeAutospacing="1" w:after="0" w:line="240" w:lineRule="auto"/>
              <w:jc w:val="center"/>
              <w:rPr>
                <w:rFonts w:ascii="Times New Roman" w:eastAsia="Times New Roman" w:hAnsi="Times New Roman" w:cs="Times New Roman"/>
                <w:kern w:val="0"/>
                <w:lang w:eastAsia="fr-BE"/>
                <w14:ligatures w14:val="none"/>
              </w:rPr>
            </w:pPr>
          </w:p>
        </w:tc>
      </w:tr>
      <w:tr w:rsidR="00CA7084" w14:paraId="2B3454B6" w14:textId="77777777">
        <w:tc>
          <w:tcPr>
            <w:tcW w:w="4342" w:type="dxa"/>
          </w:tcPr>
          <w:p w14:paraId="222C48B7"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Proportion d’ensembles {0}</w:t>
            </w:r>
          </w:p>
        </w:tc>
        <w:tc>
          <w:tcPr>
            <w:tcW w:w="4313" w:type="dxa"/>
          </w:tcPr>
          <w:p w14:paraId="17EE475C"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280 / 848  (33,0 %)</w:t>
            </w:r>
          </w:p>
        </w:tc>
      </w:tr>
      <w:tr w:rsidR="00CA7084" w14:paraId="44E9E5C4" w14:textId="77777777">
        <w:tc>
          <w:tcPr>
            <w:tcW w:w="4342" w:type="dxa"/>
          </w:tcPr>
          <w:p w14:paraId="11A29E1D"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Proportion d’ensembles {1}</w:t>
            </w:r>
          </w:p>
        </w:tc>
        <w:tc>
          <w:tcPr>
            <w:tcW w:w="4313" w:type="dxa"/>
          </w:tcPr>
          <w:p w14:paraId="269889C4"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104 / 848  (12,3 %)</w:t>
            </w:r>
          </w:p>
        </w:tc>
      </w:tr>
      <w:tr w:rsidR="00CA7084" w14:paraId="37B3481F" w14:textId="77777777">
        <w:tc>
          <w:tcPr>
            <w:tcW w:w="4342" w:type="dxa"/>
          </w:tcPr>
          <w:p w14:paraId="5C206791"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Proportion d’ensembles {0,1}</w:t>
            </w:r>
          </w:p>
        </w:tc>
        <w:tc>
          <w:tcPr>
            <w:tcW w:w="4313" w:type="dxa"/>
          </w:tcPr>
          <w:p w14:paraId="62321DEF"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464 / 848  (54,7 %)</w:t>
            </w:r>
          </w:p>
        </w:tc>
      </w:tr>
      <w:tr w:rsidR="00CA7084" w14:paraId="7E89956C" w14:textId="77777777">
        <w:tc>
          <w:tcPr>
            <w:tcW w:w="4342" w:type="dxa"/>
          </w:tcPr>
          <w:p w14:paraId="73E28F1F"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Proportion d’ensembles vides (</w:t>
            </w:r>
            <w:r>
              <w:rPr>
                <w:rFonts w:ascii="Cambria Math" w:eastAsia="Times New Roman" w:hAnsi="Cambria Math" w:cs="Cambria Math"/>
                <w:kern w:val="0"/>
                <w:lang w:eastAsia="fr-BE"/>
                <w14:ligatures w14:val="none"/>
              </w:rPr>
              <w:t>∅</w:t>
            </w:r>
            <w:r>
              <w:rPr>
                <w:rFonts w:ascii="Times New Roman" w:eastAsia="Times New Roman" w:hAnsi="Times New Roman" w:cs="Times New Roman"/>
                <w:kern w:val="0"/>
                <w:lang w:eastAsia="fr-BE"/>
                <w14:ligatures w14:val="none"/>
              </w:rPr>
              <w:t>)</w:t>
            </w:r>
          </w:p>
        </w:tc>
        <w:tc>
          <w:tcPr>
            <w:tcW w:w="4313" w:type="dxa"/>
          </w:tcPr>
          <w:p w14:paraId="55998B80"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 / 848    (0,0 %)</w:t>
            </w:r>
          </w:p>
        </w:tc>
      </w:tr>
      <w:tr w:rsidR="00CA7084" w14:paraId="4D5E7E3C" w14:textId="77777777">
        <w:tc>
          <w:tcPr>
            <w:tcW w:w="4342" w:type="dxa"/>
          </w:tcPr>
          <w:p w14:paraId="7F364DF6" w14:textId="77777777" w:rsidR="00CA7084" w:rsidRDefault="00CA7084">
            <w:pPr>
              <w:spacing w:beforeAutospacing="1" w:after="0" w:line="240" w:lineRule="auto"/>
              <w:jc w:val="both"/>
              <w:rPr>
                <w:rFonts w:ascii="Times New Roman" w:eastAsia="Times New Roman" w:hAnsi="Times New Roman" w:cs="Times New Roman"/>
                <w:kern w:val="0"/>
                <w:lang w:eastAsia="fr-BE"/>
                <w14:ligatures w14:val="none"/>
              </w:rPr>
            </w:pPr>
          </w:p>
        </w:tc>
        <w:tc>
          <w:tcPr>
            <w:tcW w:w="4313" w:type="dxa"/>
          </w:tcPr>
          <w:p w14:paraId="6159CEC6" w14:textId="77777777" w:rsidR="00CA7084" w:rsidRDefault="00CA7084">
            <w:pPr>
              <w:spacing w:beforeAutospacing="1" w:after="0" w:line="240" w:lineRule="auto"/>
              <w:jc w:val="center"/>
              <w:rPr>
                <w:rFonts w:ascii="Times New Roman" w:eastAsia="Times New Roman" w:hAnsi="Times New Roman" w:cs="Times New Roman"/>
                <w:kern w:val="0"/>
                <w:lang w:eastAsia="fr-BE"/>
                <w14:ligatures w14:val="none"/>
              </w:rPr>
            </w:pPr>
          </w:p>
        </w:tc>
      </w:tr>
      <w:tr w:rsidR="00CA7084" w14:paraId="5D360BB8" w14:textId="77777777">
        <w:tc>
          <w:tcPr>
            <w:tcW w:w="4342" w:type="dxa"/>
          </w:tcPr>
          <w:p w14:paraId="3D1DAAC0"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Taille moyenne des ensembles Γ(x)</w:t>
            </w:r>
          </w:p>
        </w:tc>
        <w:tc>
          <w:tcPr>
            <w:tcW w:w="4313" w:type="dxa"/>
          </w:tcPr>
          <w:p w14:paraId="362C5141" w14:textId="77777777" w:rsidR="00CA7084" w:rsidRDefault="005648BA">
            <w:pPr>
              <w:spacing w:beforeAutospacing="1" w:after="0" w:line="240" w:lineRule="auto"/>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1,55</w:t>
            </w:r>
          </w:p>
        </w:tc>
      </w:tr>
    </w:tbl>
    <w:p w14:paraId="7D6C7B44" w14:textId="77777777" w:rsidR="00CA7084" w:rsidRDefault="005648BA">
      <w:pPr>
        <w:spacing w:beforeAutospacing="1" w:afterAutospacing="1" w:line="240" w:lineRule="auto"/>
        <w:ind w:left="360"/>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Analyse de sensibilité selon α (Mondrian)</w:t>
      </w:r>
    </w:p>
    <w:p w14:paraId="45C1CF59" w14:textId="77777777" w:rsidR="00CA7084" w:rsidRDefault="005648BA">
      <w:pPr>
        <w:spacing w:beforeAutospacing="1" w:afterAutospacing="1" w:line="240" w:lineRule="auto"/>
        <w:ind w:left="360"/>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Tableau . Analyse de sensibilité de la prédiction conforme Mondrian selon le niveau d’erreur α</w:t>
      </w:r>
    </w:p>
    <w:tbl>
      <w:tblPr>
        <w:tblStyle w:val="Grilledutableau"/>
        <w:tblW w:w="10490" w:type="dxa"/>
        <w:tblInd w:w="-572" w:type="dxa"/>
        <w:tblLayout w:type="fixed"/>
        <w:tblLook w:val="04A0" w:firstRow="1" w:lastRow="0" w:firstColumn="1" w:lastColumn="0" w:noHBand="0" w:noVBand="1"/>
      </w:tblPr>
      <w:tblGrid>
        <w:gridCol w:w="2165"/>
        <w:gridCol w:w="1208"/>
        <w:gridCol w:w="1297"/>
        <w:gridCol w:w="1178"/>
        <w:gridCol w:w="1247"/>
        <w:gridCol w:w="1246"/>
        <w:gridCol w:w="2149"/>
      </w:tblGrid>
      <w:tr w:rsidR="00CA7084" w14:paraId="5F7F0D99" w14:textId="77777777">
        <w:tc>
          <w:tcPr>
            <w:tcW w:w="2164" w:type="dxa"/>
          </w:tcPr>
          <w:p w14:paraId="373C55AF"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α</w:t>
            </w:r>
          </w:p>
        </w:tc>
        <w:tc>
          <w:tcPr>
            <w:tcW w:w="1208" w:type="dxa"/>
          </w:tcPr>
          <w:p w14:paraId="20AFF7F0"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Niveau de confiance (1–α)</w:t>
            </w:r>
          </w:p>
        </w:tc>
        <w:tc>
          <w:tcPr>
            <w:tcW w:w="1297" w:type="dxa"/>
          </w:tcPr>
          <w:p w14:paraId="19C7721B"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Couverture globale</w:t>
            </w:r>
          </w:p>
        </w:tc>
        <w:tc>
          <w:tcPr>
            <w:tcW w:w="1178" w:type="dxa"/>
          </w:tcPr>
          <w:p w14:paraId="137126F7"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Taille moyenne Γ(x)</w:t>
            </w:r>
          </w:p>
        </w:tc>
        <w:tc>
          <w:tcPr>
            <w:tcW w:w="1247" w:type="dxa"/>
          </w:tcPr>
          <w:p w14:paraId="76F08B33"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ensembles {0}</w:t>
            </w:r>
          </w:p>
        </w:tc>
        <w:tc>
          <w:tcPr>
            <w:tcW w:w="1246" w:type="dxa"/>
          </w:tcPr>
          <w:p w14:paraId="05190995"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ensembles {1}</w:t>
            </w:r>
          </w:p>
        </w:tc>
        <w:tc>
          <w:tcPr>
            <w:tcW w:w="2149" w:type="dxa"/>
          </w:tcPr>
          <w:p w14:paraId="2C915BE4"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ensembles {0,1}</w:t>
            </w:r>
          </w:p>
        </w:tc>
      </w:tr>
      <w:tr w:rsidR="00CA7084" w14:paraId="79E5FF1A" w14:textId="77777777">
        <w:tc>
          <w:tcPr>
            <w:tcW w:w="2164" w:type="dxa"/>
          </w:tcPr>
          <w:p w14:paraId="28398345"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0,05</w:t>
            </w:r>
          </w:p>
        </w:tc>
        <w:tc>
          <w:tcPr>
            <w:tcW w:w="1208" w:type="dxa"/>
          </w:tcPr>
          <w:p w14:paraId="416DBBFE"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95 %</w:t>
            </w:r>
          </w:p>
        </w:tc>
        <w:tc>
          <w:tcPr>
            <w:tcW w:w="1297" w:type="dxa"/>
          </w:tcPr>
          <w:p w14:paraId="29D1D585"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0,958</w:t>
            </w:r>
          </w:p>
        </w:tc>
        <w:tc>
          <w:tcPr>
            <w:tcW w:w="1178" w:type="dxa"/>
          </w:tcPr>
          <w:p w14:paraId="71F90569"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1,79</w:t>
            </w:r>
          </w:p>
        </w:tc>
        <w:tc>
          <w:tcPr>
            <w:tcW w:w="1247" w:type="dxa"/>
          </w:tcPr>
          <w:p w14:paraId="795192E3"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15,4 % (131)</w:t>
            </w:r>
          </w:p>
        </w:tc>
        <w:tc>
          <w:tcPr>
            <w:tcW w:w="1246" w:type="dxa"/>
          </w:tcPr>
          <w:p w14:paraId="497D1782"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5,4 % (46)</w:t>
            </w:r>
          </w:p>
        </w:tc>
        <w:tc>
          <w:tcPr>
            <w:tcW w:w="2149" w:type="dxa"/>
          </w:tcPr>
          <w:p w14:paraId="5EFBB89B"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79,1 % (671)</w:t>
            </w:r>
          </w:p>
        </w:tc>
      </w:tr>
      <w:tr w:rsidR="00CA7084" w14:paraId="58FE3354" w14:textId="77777777">
        <w:tc>
          <w:tcPr>
            <w:tcW w:w="2164" w:type="dxa"/>
          </w:tcPr>
          <w:p w14:paraId="07787EC3"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0,10</w:t>
            </w:r>
          </w:p>
        </w:tc>
        <w:tc>
          <w:tcPr>
            <w:tcW w:w="1208" w:type="dxa"/>
          </w:tcPr>
          <w:p w14:paraId="34A3AB20"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90 %</w:t>
            </w:r>
          </w:p>
        </w:tc>
        <w:tc>
          <w:tcPr>
            <w:tcW w:w="1297" w:type="dxa"/>
          </w:tcPr>
          <w:p w14:paraId="05E8AB84"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r>
              <w:rPr>
                <w:rFonts w:ascii="Times New Roman" w:eastAsia="Times New Roman" w:hAnsi="Times New Roman" w:cs="Times New Roman"/>
                <w:kern w:val="0"/>
                <w:lang w:eastAsia="fr-BE"/>
                <w14:ligatures w14:val="none"/>
              </w:rPr>
              <w:lastRenderedPageBreak/>
              <w:t>0,902</w:t>
            </w:r>
          </w:p>
        </w:tc>
        <w:tc>
          <w:tcPr>
            <w:tcW w:w="1178" w:type="dxa"/>
          </w:tcPr>
          <w:p w14:paraId="4A08A5F8"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lastRenderedPageBreak/>
              <w:t xml:space="preserve">                </w:t>
            </w:r>
            <w:r>
              <w:rPr>
                <w:rFonts w:ascii="Times New Roman" w:eastAsia="Times New Roman" w:hAnsi="Times New Roman" w:cs="Times New Roman"/>
                <w:kern w:val="0"/>
                <w:lang w:eastAsia="fr-BE"/>
                <w14:ligatures w14:val="none"/>
              </w:rPr>
              <w:lastRenderedPageBreak/>
              <w:t>1,55</w:t>
            </w:r>
          </w:p>
        </w:tc>
        <w:tc>
          <w:tcPr>
            <w:tcW w:w="1247" w:type="dxa"/>
          </w:tcPr>
          <w:p w14:paraId="48D3EBB7"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lastRenderedPageBreak/>
              <w:t xml:space="preserve">                </w:t>
            </w:r>
            <w:r>
              <w:rPr>
                <w:rFonts w:ascii="Times New Roman" w:eastAsia="Times New Roman" w:hAnsi="Times New Roman" w:cs="Times New Roman"/>
                <w:kern w:val="0"/>
                <w:lang w:eastAsia="fr-BE"/>
                <w14:ligatures w14:val="none"/>
              </w:rPr>
              <w:lastRenderedPageBreak/>
              <w:t>33,0 % (280)</w:t>
            </w:r>
          </w:p>
        </w:tc>
        <w:tc>
          <w:tcPr>
            <w:tcW w:w="1246" w:type="dxa"/>
          </w:tcPr>
          <w:p w14:paraId="0506B668"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lastRenderedPageBreak/>
              <w:t xml:space="preserve">    12,3 % </w:t>
            </w:r>
            <w:r>
              <w:rPr>
                <w:rFonts w:ascii="Times New Roman" w:eastAsia="Times New Roman" w:hAnsi="Times New Roman" w:cs="Times New Roman"/>
                <w:kern w:val="0"/>
                <w:lang w:eastAsia="fr-BE"/>
                <w14:ligatures w14:val="none"/>
              </w:rPr>
              <w:lastRenderedPageBreak/>
              <w:t>(104)</w:t>
            </w:r>
          </w:p>
        </w:tc>
        <w:tc>
          <w:tcPr>
            <w:tcW w:w="2149" w:type="dxa"/>
          </w:tcPr>
          <w:p w14:paraId="6D906EF9"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lastRenderedPageBreak/>
              <w:t xml:space="preserve">    54,7 % (464)</w:t>
            </w:r>
          </w:p>
        </w:tc>
      </w:tr>
      <w:tr w:rsidR="00CA7084" w14:paraId="2BA6CBF6" w14:textId="77777777">
        <w:tc>
          <w:tcPr>
            <w:tcW w:w="2164" w:type="dxa"/>
          </w:tcPr>
          <w:p w14:paraId="2B03F482"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0,20</w:t>
            </w:r>
          </w:p>
        </w:tc>
        <w:tc>
          <w:tcPr>
            <w:tcW w:w="1208" w:type="dxa"/>
          </w:tcPr>
          <w:p w14:paraId="51C7F4A5"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80 %</w:t>
            </w:r>
          </w:p>
        </w:tc>
        <w:tc>
          <w:tcPr>
            <w:tcW w:w="1297" w:type="dxa"/>
          </w:tcPr>
          <w:p w14:paraId="7F013A79"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0,777</w:t>
            </w:r>
          </w:p>
        </w:tc>
        <w:tc>
          <w:tcPr>
            <w:tcW w:w="1178" w:type="dxa"/>
          </w:tcPr>
          <w:p w14:paraId="6D2D40AC"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1,25</w:t>
            </w:r>
          </w:p>
        </w:tc>
        <w:tc>
          <w:tcPr>
            <w:tcW w:w="1247" w:type="dxa"/>
          </w:tcPr>
          <w:p w14:paraId="7C16E51E"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50,5 % (428)</w:t>
            </w:r>
          </w:p>
        </w:tc>
        <w:tc>
          <w:tcPr>
            <w:tcW w:w="1246" w:type="dxa"/>
          </w:tcPr>
          <w:p w14:paraId="156099A0"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24,4 % (207)</w:t>
            </w:r>
          </w:p>
        </w:tc>
        <w:tc>
          <w:tcPr>
            <w:tcW w:w="2149" w:type="dxa"/>
          </w:tcPr>
          <w:p w14:paraId="35F24DFE"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25,1 % (213)</w:t>
            </w:r>
          </w:p>
        </w:tc>
      </w:tr>
      <w:tr w:rsidR="00CA7084" w14:paraId="4193B222" w14:textId="77777777">
        <w:tc>
          <w:tcPr>
            <w:tcW w:w="2164" w:type="dxa"/>
          </w:tcPr>
          <w:p w14:paraId="38EB692B"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0,25</w:t>
            </w:r>
          </w:p>
        </w:tc>
        <w:tc>
          <w:tcPr>
            <w:tcW w:w="1208" w:type="dxa"/>
          </w:tcPr>
          <w:p w14:paraId="3A2E776E"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75 %</w:t>
            </w:r>
          </w:p>
        </w:tc>
        <w:tc>
          <w:tcPr>
            <w:tcW w:w="1297" w:type="dxa"/>
          </w:tcPr>
          <w:p w14:paraId="23A88484"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0,724</w:t>
            </w:r>
          </w:p>
        </w:tc>
        <w:tc>
          <w:tcPr>
            <w:tcW w:w="1178" w:type="dxa"/>
          </w:tcPr>
          <w:p w14:paraId="12F06F5B"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1,10</w:t>
            </w:r>
          </w:p>
        </w:tc>
        <w:tc>
          <w:tcPr>
            <w:tcW w:w="1247" w:type="dxa"/>
          </w:tcPr>
          <w:p w14:paraId="2CECC0C3"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61,1 % (518)</w:t>
            </w:r>
          </w:p>
        </w:tc>
        <w:tc>
          <w:tcPr>
            <w:tcW w:w="1246" w:type="dxa"/>
          </w:tcPr>
          <w:p w14:paraId="11ABD65A"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29,2 % (248)</w:t>
            </w:r>
          </w:p>
        </w:tc>
        <w:tc>
          <w:tcPr>
            <w:tcW w:w="2149" w:type="dxa"/>
          </w:tcPr>
          <w:p w14:paraId="084B088D" w14:textId="77777777" w:rsidR="00CA7084" w:rsidRDefault="005648BA">
            <w:pPr>
              <w:spacing w:beforeAutospacing="1" w:after="0" w:line="24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9,7 % (82)</w:t>
            </w:r>
          </w:p>
        </w:tc>
      </w:tr>
    </w:tbl>
    <w:p w14:paraId="5A25A2EF" w14:textId="77777777" w:rsidR="00CA7084" w:rsidRDefault="00CA7084">
      <w:pPr>
        <w:spacing w:beforeAutospacing="1" w:afterAutospacing="1" w:line="240" w:lineRule="auto"/>
        <w:ind w:left="720"/>
        <w:jc w:val="both"/>
        <w:rPr>
          <w:rFonts w:ascii="Times New Roman" w:eastAsia="Times New Roman" w:hAnsi="Times New Roman" w:cs="Times New Roman"/>
          <w:b/>
          <w:bCs/>
          <w:kern w:val="0"/>
          <w:lang w:eastAsia="fr-BE"/>
          <w14:ligatures w14:val="none"/>
        </w:rPr>
      </w:pPr>
    </w:p>
    <w:p w14:paraId="70E889D5" w14:textId="77777777" w:rsidR="00CA7084" w:rsidRDefault="00CA7084">
      <w:pPr>
        <w:spacing w:beforeAutospacing="1" w:afterAutospacing="1" w:line="240" w:lineRule="auto"/>
        <w:ind w:left="720"/>
        <w:jc w:val="both"/>
        <w:rPr>
          <w:rFonts w:ascii="Times New Roman" w:eastAsia="Times New Roman" w:hAnsi="Times New Roman" w:cs="Times New Roman"/>
          <w:b/>
          <w:bCs/>
          <w:kern w:val="0"/>
          <w:lang w:eastAsia="fr-BE"/>
          <w14:ligatures w14:val="none"/>
        </w:rPr>
      </w:pPr>
    </w:p>
    <w:p w14:paraId="23FC9682" w14:textId="77777777" w:rsidR="00CA7084" w:rsidRDefault="00CA7084">
      <w:pPr>
        <w:spacing w:beforeAutospacing="1" w:afterAutospacing="1" w:line="240" w:lineRule="auto"/>
        <w:ind w:left="720"/>
        <w:jc w:val="both"/>
        <w:rPr>
          <w:rFonts w:ascii="Times New Roman" w:eastAsia="Times New Roman" w:hAnsi="Times New Roman" w:cs="Times New Roman"/>
          <w:b/>
          <w:bCs/>
          <w:kern w:val="0"/>
          <w:lang w:eastAsia="fr-BE"/>
          <w14:ligatures w14:val="none"/>
        </w:rPr>
      </w:pPr>
    </w:p>
    <w:p w14:paraId="2C26C2E2" w14:textId="77777777" w:rsidR="00CA7084" w:rsidRDefault="00CA7084">
      <w:pPr>
        <w:spacing w:beforeAutospacing="1" w:afterAutospacing="1" w:line="240" w:lineRule="auto"/>
        <w:ind w:left="720"/>
        <w:jc w:val="both"/>
        <w:rPr>
          <w:rFonts w:ascii="Times New Roman" w:eastAsia="Times New Roman" w:hAnsi="Times New Roman" w:cs="Times New Roman"/>
          <w:b/>
          <w:bCs/>
          <w:kern w:val="0"/>
          <w:lang w:eastAsia="fr-BE"/>
          <w14:ligatures w14:val="none"/>
        </w:rPr>
      </w:pPr>
    </w:p>
    <w:p w14:paraId="660F20C8" w14:textId="77777777" w:rsidR="00CA7084" w:rsidRDefault="00CA7084">
      <w:pPr>
        <w:spacing w:beforeAutospacing="1" w:afterAutospacing="1" w:line="240" w:lineRule="auto"/>
        <w:ind w:left="720"/>
        <w:jc w:val="both"/>
        <w:rPr>
          <w:rFonts w:ascii="Times New Roman" w:eastAsia="Times New Roman" w:hAnsi="Times New Roman" w:cs="Times New Roman"/>
          <w:b/>
          <w:bCs/>
          <w:kern w:val="0"/>
          <w:lang w:eastAsia="fr-BE"/>
          <w14:ligatures w14:val="none"/>
        </w:rPr>
      </w:pPr>
    </w:p>
    <w:p w14:paraId="6D6979D6" w14:textId="77777777" w:rsidR="00CA7084" w:rsidRDefault="00CA7084">
      <w:pPr>
        <w:spacing w:beforeAutospacing="1" w:afterAutospacing="1" w:line="240" w:lineRule="auto"/>
        <w:ind w:left="720"/>
        <w:jc w:val="both"/>
        <w:rPr>
          <w:rFonts w:ascii="Times New Roman" w:eastAsia="Times New Roman" w:hAnsi="Times New Roman" w:cs="Times New Roman"/>
          <w:b/>
          <w:bCs/>
          <w:kern w:val="0"/>
          <w:lang w:eastAsia="fr-BE"/>
          <w14:ligatures w14:val="none"/>
        </w:rPr>
      </w:pPr>
    </w:p>
    <w:p w14:paraId="0273F724" w14:textId="77777777" w:rsidR="00CA7084" w:rsidRDefault="00CA7084">
      <w:pPr>
        <w:spacing w:beforeAutospacing="1" w:afterAutospacing="1" w:line="240" w:lineRule="auto"/>
        <w:ind w:left="720"/>
        <w:jc w:val="both"/>
        <w:rPr>
          <w:rFonts w:ascii="Times New Roman" w:eastAsia="Times New Roman" w:hAnsi="Times New Roman" w:cs="Times New Roman"/>
          <w:b/>
          <w:bCs/>
          <w:kern w:val="0"/>
          <w:lang w:eastAsia="fr-BE"/>
          <w14:ligatures w14:val="none"/>
        </w:rPr>
      </w:pPr>
    </w:p>
    <w:p w14:paraId="35DCBEE0" w14:textId="77777777" w:rsidR="00CA7084" w:rsidRDefault="00CA7084">
      <w:pPr>
        <w:spacing w:beforeAutospacing="1" w:afterAutospacing="1"/>
        <w:jc w:val="both"/>
        <w:rPr>
          <w:rFonts w:ascii="Times New Roman" w:eastAsia="Times New Roman" w:hAnsi="Times New Roman" w:cs="Times New Roman"/>
          <w:kern w:val="0"/>
          <w:lang w:eastAsia="fr-BE"/>
          <w14:ligatures w14:val="none"/>
        </w:rPr>
      </w:pPr>
    </w:p>
    <w:p w14:paraId="709363F4" w14:textId="77777777" w:rsidR="00CA7084" w:rsidRDefault="005648BA">
      <w:pPr>
        <w:spacing w:beforeAutospacing="1" w:afterAutospacing="1" w:line="240" w:lineRule="auto"/>
        <w:outlineLvl w:val="1"/>
        <w:rPr>
          <w:rFonts w:ascii="Times New Roman" w:eastAsia="Times New Roman" w:hAnsi="Times New Roman" w:cs="Times New Roman"/>
          <w:b/>
          <w:bCs/>
          <w:color w:val="45B0E1" w:themeColor="accent1" w:themeTint="99"/>
          <w:kern w:val="0"/>
          <w:sz w:val="28"/>
          <w:szCs w:val="28"/>
          <w:lang w:eastAsia="fr-BE"/>
          <w14:ligatures w14:val="none"/>
        </w:rPr>
      </w:pPr>
      <w:r>
        <w:rPr>
          <w:rFonts w:ascii="Times New Roman" w:eastAsia="Times New Roman" w:hAnsi="Times New Roman" w:cs="Times New Roman"/>
          <w:b/>
          <w:bCs/>
          <w:color w:val="45B0E1" w:themeColor="accent1" w:themeTint="99"/>
          <w:kern w:val="0"/>
          <w:sz w:val="28"/>
          <w:szCs w:val="28"/>
          <w:lang w:eastAsia="fr-BE"/>
          <w14:ligatures w14:val="none"/>
        </w:rPr>
        <w:t>Discussions et conclusion</w:t>
      </w:r>
    </w:p>
    <w:p w14:paraId="616E6A8B" w14:textId="77777777" w:rsidR="00CA7084" w:rsidRDefault="005648BA">
      <w:pPr>
        <w:spacing w:beforeAutospacing="1" w:afterAutospacing="1" w:line="360" w:lineRule="auto"/>
        <w:jc w:val="both"/>
        <w:rPr>
          <w:rFonts w:ascii="Times New Roman" w:eastAsia="Times New Roman" w:hAnsi="Times New Roman" w:cs="Times New Roman"/>
          <w:b/>
          <w:bCs/>
          <w:color w:val="45B0E1" w:themeColor="accent1" w:themeTint="99"/>
          <w:kern w:val="0"/>
          <w:lang w:eastAsia="fr-BE"/>
          <w14:ligatures w14:val="none"/>
        </w:rPr>
      </w:pPr>
      <w:r>
        <w:rPr>
          <w:rFonts w:ascii="Times New Roman" w:eastAsia="Times New Roman" w:hAnsi="Times New Roman" w:cs="Times New Roman"/>
          <w:b/>
          <w:bCs/>
          <w:color w:val="45B0E1" w:themeColor="accent1" w:themeTint="99"/>
          <w:kern w:val="0"/>
          <w:lang w:eastAsia="fr-BE"/>
          <w14:ligatures w14:val="none"/>
        </w:rPr>
        <w:t>Synthèse des principaux résultats</w:t>
      </w:r>
    </w:p>
    <w:p w14:paraId="63FA4DB5"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Ce travail avait pour objectif de comparer plusieurs stratégies de modélisation du risque de maladie coronarienne à 10 ans à partir de la base Framingham, en articulant trois dimensions méthodologiques majeures : gestion des données manquantes, traitement du déséquilibre de classes et quantification de l’incertitude. Dans cette cohorte de 4 239 sujets, la prévalence des événements coronariens est d’environ 15 %, configuration typique des études de prévention cardiovasculaire où les cas restent minoritaires. Sur le plan du prétraitement, la comparaison structurée de trois approches d’imputation (médiane/mode, KNN, MICE) montre que l’imputation simple, bien que facile à implémenter, tend à lisser les distributions, tandis que le KNN réduit de manière excessive la variance de plusieurs variables continues. À l’inverse, l’imputation multivariée par équations en chaîne (MICE) préserve mieux la distribution, la variance et les corrélations entre prédicteurs, en accord avec le rôle désormais central de cette méthode dans la gestion des données manquantes en épidémiologie et en modélisation prédictive </w:t>
      </w:r>
      <w:r>
        <w:fldChar w:fldCharType="begin"/>
      </w:r>
      <w:r>
        <w:rPr>
          <w:rFonts w:ascii="Times New Roman" w:eastAsia="Times New Roman" w:hAnsi="Times New Roman" w:cs="Times New Roman"/>
          <w:kern w:val="0"/>
          <w:lang w:eastAsia="fr-BE"/>
        </w:rPr>
        <w:instrText>ADDIN ZOTERO_ITEM CSL_CITATION {"citationID":"0H0fdqMc","properties":{"formattedCitation":"(34)","plainCitation":"(34)","noteIndex":0},"citationItems":[{"id":690,"uris":["http://zotero.org/users/11240916/items/4LFT2KIH"],"itemData":{"id":690,"type":"article-journal","container-title":"Journal of statistical software","ISSN":"1548-7660","issue":"3","journalAbbreviation":"J STAT SOFTW","language":"Undefined","publisher":"University of California at Los Angeles","source":"research.utwente.nl","title":"mice: Multivariate Imputation by Chained Equations in R","title-short":"mice","URL":"https://research.utwente.nl/en/publications/mice-multivariate-imputation-by-chained-equations-in-r/","volume":"45","author":[{"family":"Buuren","given":"Stef","dropping-particle":"van"},{"family":"Groothuis-Oudshoorn","given":"Catharina Gerarda Maria"}],"accessed":{"date-parts":[["2026",1,16]]},"issued":{"date-parts":[["2011"]]}}}],"schema":"https://github.com/citation-style-language/schema/raw/master/csl-citation.json"}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(34)</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 xml:space="preserve">. En l’absence de rééquilibrage, les modèles entraînés sur les jeux A1/A2 </w:t>
      </w:r>
      <w:r>
        <w:rPr>
          <w:rFonts w:ascii="Times New Roman" w:eastAsia="Times New Roman" w:hAnsi="Times New Roman" w:cs="Times New Roman"/>
          <w:kern w:val="0"/>
          <w:lang w:eastAsia="fr-BE"/>
          <w14:ligatures w14:val="none"/>
        </w:rPr>
        <w:lastRenderedPageBreak/>
        <w:t xml:space="preserve">présentent une exactitude globale (accuracy) et une AUC-ROC correctes, mais un rappel extrêmement faible pour la classe événement, ce qui revient, en pratique, à manquer la majorité des patients qui feront un événement. L’introduction de SMOTE sur le jeu d’apprentissage (B1/B2) augmente systématiquement le rappel et le F1 de la classe 1, au prix d’une baisse modérée de l’accuracy, ce qui est conforme aux effets attendus du sur-échantillonnage dans les contextes de données fortement déséquilibrées </w:t>
      </w:r>
      <w:r>
        <w:fldChar w:fldCharType="begin"/>
      </w:r>
      <w:r>
        <w:rPr>
          <w:rFonts w:ascii="Times New Roman" w:eastAsia="Times New Roman" w:hAnsi="Times New Roman" w:cs="Times New Roman"/>
          <w:kern w:val="0"/>
          <w:lang w:eastAsia="fr-BE"/>
        </w:rPr>
        <w:instrText>ADDIN ZOTERO_ITEM CSL_CITATION {"citationID":"OsioJxNk","properties":{"formattedCitation":"(35)","plainCitation":"(35)","noteIndex":0},"citationItems":[{"id":691,"uris":["http://zotero.org/users/11240916/items/PPBNJC7M"],"itemData":{"id":691,"type":"article-journal","abstract":"With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data.","container-title":"IEEE Trans. on Knowl. and Data Eng.","DOI":"10.1109/TKDE.2008.239","ISSN":"1041-4347","issue":"9","page":"1263–1284","source":"ACM Digital Library","title":"Learning from Imbalanced Data","volume":"21","author":[{"family":"He","given":"Haibo"},{"family":"Garcia","given":"Edwardo A."}],"issued":{"date-parts":[["2009",9,1]]}}}],"schema":"https://github.com/citation-style-language/schema/raw/master/csl-citation.json"}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(35)</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r>
        <w:rPr>
          <w:rFonts w:ascii="Times New Roman" w:hAnsi="Times New Roman" w:cs="Times New Roman"/>
        </w:rPr>
        <w:t xml:space="preserve"> </w:t>
      </w:r>
      <w:r>
        <w:rPr>
          <w:rFonts w:ascii="Times New Roman" w:eastAsia="Times New Roman" w:hAnsi="Times New Roman" w:cs="Times New Roman"/>
          <w:kern w:val="0"/>
          <w:lang w:eastAsia="fr-BE"/>
          <w14:ligatures w14:val="none"/>
        </w:rPr>
        <w:t xml:space="preserve">  L’analyse détaillée montre qu’un modèle de régression logistique entraîné sur données MICE standardisées, sans SMOTE (LogReg_A2), mais associé à un </w:t>
      </w:r>
      <w:r>
        <w:rPr>
          <w:rFonts w:ascii="Times New Roman" w:eastAsia="Times New Roman" w:hAnsi="Times New Roman" w:cs="Times New Roman"/>
          <w:b/>
          <w:bCs/>
          <w:kern w:val="0"/>
          <w:lang w:eastAsia="fr-BE"/>
          <w14:ligatures w14:val="none"/>
        </w:rPr>
        <w:t>seuil de décision optimisé à 0,15</w:t>
      </w:r>
      <w:r>
        <w:rPr>
          <w:rFonts w:ascii="Times New Roman" w:eastAsia="Times New Roman" w:hAnsi="Times New Roman" w:cs="Times New Roman"/>
          <w:kern w:val="0"/>
          <w:lang w:eastAsia="fr-BE"/>
          <w14:ligatures w14:val="none"/>
        </w:rPr>
        <w:t>, offre un compromis particulièrement intéressant : amélioration nette du rappel (≈ 60 %) et du F1 de la classe 1, au prix d’une baisse acceptable de l’accuracy, tout en conservant une discrimination modérée mais réelle (AUC-ROC ≈ 0,70 ; AUC-PR ≈ 0,29) et un Brier score compatible avec une calibration globalement satisfaisante. Les analyses par Bootstrap confirment la stabilité de ces métriques, avec des intervalles de confiance relativement resserrés, et la prédiction conforme Mondrian fournit des ensembles prédictifs respectant globalement le niveau de couverture cible (~90 %), tout en signalant explicitement les situations d’incertitude élevée.</w:t>
      </w:r>
    </w:p>
    <w:p w14:paraId="1483F239" w14:textId="77777777" w:rsidR="00CA7084" w:rsidRDefault="005648BA">
      <w:pPr>
        <w:spacing w:beforeAutospacing="1" w:afterAutospacing="1" w:line="360" w:lineRule="auto"/>
        <w:jc w:val="both"/>
        <w:rPr>
          <w:rFonts w:ascii="Times New Roman" w:eastAsia="Times New Roman" w:hAnsi="Times New Roman" w:cs="Times New Roman"/>
          <w:b/>
          <w:bCs/>
          <w:color w:val="45B0E1" w:themeColor="accent1" w:themeTint="99"/>
          <w:kern w:val="0"/>
          <w:lang w:eastAsia="fr-BE"/>
          <w14:ligatures w14:val="none"/>
        </w:rPr>
      </w:pPr>
      <w:r>
        <w:rPr>
          <w:rFonts w:ascii="Times New Roman" w:eastAsia="Times New Roman" w:hAnsi="Times New Roman" w:cs="Times New Roman"/>
          <w:b/>
          <w:bCs/>
          <w:color w:val="45B0E1" w:themeColor="accent1" w:themeTint="99"/>
          <w:kern w:val="0"/>
          <w:lang w:eastAsia="fr-BE"/>
          <w14:ligatures w14:val="none"/>
        </w:rPr>
        <w:t>Comparaison avec la littérature et place de la régression logistique</w:t>
      </w:r>
    </w:p>
    <w:p w14:paraId="24F0238A"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Historiquement, les scores de risque dérivés de la Framingham Heart Study reposent sur des modèles de régression multivariée (logistique ou de Cox) intégrant les facteurs de risque classiques (âge, sexe, pression artérielle, profil lipidique, tabac, diabète). Ces fonctions de risque constituent toujours une référence dans les recommandations de prévention cardiovasculaire, même si plusieurs travaux ont souligné leurs limites de transportabilité et la nécessité de recalibrages locaux </w:t>
      </w:r>
      <w:r>
        <w:fldChar w:fldCharType="begin"/>
      </w:r>
      <w:r>
        <w:rPr>
          <w:rFonts w:ascii="Times New Roman" w:eastAsia="Times New Roman" w:hAnsi="Times New Roman" w:cs="Times New Roman"/>
          <w:kern w:val="0"/>
          <w:lang w:eastAsia="fr-BE"/>
        </w:rPr>
        <w:instrText>ADDIN ZOTERO_ITEM CSL_CITATION {"citationID":"2BEKjYBX","properties":{"formattedCitation":"(36)","plainCitation":"(36)","noteIndex":0},"citationItems":[{"id":692,"uris":["http://zotero.org/users/11240916/items/BD42BTNJ"],"itemData":{"id":692,"type":"webpage","title":"Clinical Prediction Models: A Practical Approach to Development, Validation, and Updating | Springer Nature Link","URL":"https://link.springer.com/book/10.1007/978-0-387-77244-8?referer=www.springeronline.com&amp;utm_source=chatgpt.com","accessed":{"date-parts":[["2026",1,16]]}}}],"schema":"https://github.com/citation-style-language/schema/raw/master/csl-citation.json"}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(36)</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r>
        <w:rPr>
          <w:rFonts w:ascii="Times New Roman" w:hAnsi="Times New Roman" w:cs="Times New Roman"/>
        </w:rPr>
        <w:t xml:space="preserve"> </w:t>
      </w:r>
      <w:r>
        <w:rPr>
          <w:rFonts w:ascii="Times New Roman" w:eastAsia="Times New Roman" w:hAnsi="Times New Roman" w:cs="Times New Roman"/>
          <w:kern w:val="0"/>
          <w:lang w:eastAsia="fr-BE"/>
          <w14:ligatures w14:val="none"/>
        </w:rPr>
        <w:t xml:space="preserve"> Le profil des coefficients du modèle LogReg_A2 (effet dominant de l’âge, sur-risque masculin, rôle de la pression systolique, du nombre de cigarettes, du cholestérol et de la glycémie) est cohérent avec les déterminants décrits dans les études fondatrices de Framingham et dans les ouvrages de référence sur les modèles de prédiction clinique.  Dans la littérature récente, plusieurs analyses comparatives suggèrent que, sur des données cardiovasculaires structurées et moyennement dimensionnelles, une régression logistique bien spécifiée, correctement imputée et validée, peut atteindre des performances proches de celles de méthodes plus complexes (forêts aléatoires, gradient boosting, XGBoost, SVM), tout en offrant une meilleure transparence et un contrôle plus fin de la calibration </w:t>
      </w:r>
      <w:r>
        <w:fldChar w:fldCharType="begin"/>
      </w:r>
      <w:r>
        <w:rPr>
          <w:rFonts w:ascii="Times New Roman" w:eastAsia="Times New Roman" w:hAnsi="Times New Roman" w:cs="Times New Roman"/>
          <w:kern w:val="0"/>
          <w:lang w:eastAsia="fr-BE"/>
        </w:rPr>
        <w:instrText>ADDIN ZOTERO_ITEM CSL_CITATION {"citationID":"mvXZD5E7","properties":{"formattedCitation":"(37)","plainCitation":"(37)","noteIndex":0},"citationItems":[{"id":694,"uris":["http://zotero.org/users/11240916/items/SCWKZ65G"],"itemData":{"id":694,"type":"article","abstract":"Coronary heart disease, which is a form of cardiovascular disease (CVD), is the leading cause of death worldwide. The odds of survival are good if it is found or diagnosed early. The current report discusses a comparative approach to the classification of coronary heart disease datasets using machine learning (ML) algorithms. The current study created and tested several machine-learning-based classification models. The dataset was subjected to Smote to handle unbalanced classes and feature selection technique in order to assess the impact on two distinct performance metrics. The results show that logistic regression produced the highest performance score on the original dataset compared to the other algorithms employed. In conclusion, this study suggests that LR on a well-processed and standardized dataset can predict coronary heart disease with greater accuracy than the other algorithms.","DOI":"10.48550/arXiv.2112.01503","note":"arXiv:2112.01503 [cs]","number":"arXiv:2112.01503","publisher":"arXiv","source":"arXiv.org","title":"Machine Learning-Based Classification Algorithms for the Prediction of Coronary Heart Diseases","URL":"http://arxiv.org/abs/2112.01503","author":[{"family":"Kwakye","given":"Kelvin"},{"family":"Dadzie","given":"Emmanuel"}],"accessed":{"date-parts":[["2026",1,16]]},"issued":{"date-parts":[["2021",12,2]]}}}],"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(37)</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r>
        <w:rPr>
          <w:rFonts w:ascii="Times New Roman" w:hAnsi="Times New Roman" w:cs="Times New Roman"/>
        </w:rPr>
        <w:t xml:space="preserve"> </w:t>
      </w:r>
    </w:p>
    <w:p w14:paraId="2B902CC4"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lastRenderedPageBreak/>
        <w:t xml:space="preserve">Nos résultats s’inscrivent dans cette ligne : les modèles d’arbres et d’ensembles montrent parfois des performances élevées en validation croisée sur le train, en particulier lorsqu’ils sont combinés à SMOTE, mais leur avantage en termes d’AUC sur le test réel reste limité, tandis que le risque de sur-apprentissage augmente dans le contexte de sur-échantillonnage. À l’inverse, la régression logistique appliquée au jeu A2, associée à un ajustement explicite du seuil de décision, apparaît comme un </w:t>
      </w:r>
      <w:r>
        <w:rPr>
          <w:rFonts w:ascii="Times New Roman" w:eastAsia="Times New Roman" w:hAnsi="Times New Roman" w:cs="Times New Roman"/>
          <w:b/>
          <w:bCs/>
          <w:kern w:val="0"/>
          <w:lang w:eastAsia="fr-BE"/>
          <w14:ligatures w14:val="none"/>
        </w:rPr>
        <w:t>compromis robuste</w:t>
      </w:r>
      <w:r>
        <w:rPr>
          <w:rFonts w:ascii="Times New Roman" w:eastAsia="Times New Roman" w:hAnsi="Times New Roman" w:cs="Times New Roman"/>
          <w:kern w:val="0"/>
          <w:lang w:eastAsia="fr-BE"/>
          <w14:ligatures w14:val="none"/>
        </w:rPr>
        <w:t xml:space="preserve"> : discrimination et rappel cliniquement pertinents, structure paramétrique interprétable, et compatibilité avec les approches classiques de score de risque. Il ne s’agit pas de conclure que la régression logistique serait “universellement supérieure” aux méthodes d’apprentissage automatique, mais plutôt de montrer que, dans un cadre rigoureusement préparé, elle demeure un candidat très compétitif et scientifiquement défendable </w:t>
      </w:r>
      <w:r>
        <w:fldChar w:fldCharType="begin"/>
      </w:r>
      <w:r>
        <w:rPr>
          <w:rFonts w:ascii="Times New Roman" w:eastAsia="Times New Roman" w:hAnsi="Times New Roman" w:cs="Times New Roman"/>
          <w:kern w:val="0"/>
          <w:lang w:eastAsia="fr-BE"/>
        </w:rPr>
        <w:instrText>ADDIN ZOTERO_ITEM CSL_CITATION {"citationID":"GfdJSkAB","properties":{"formattedCitation":"(38)","plainCitation":"(38)","noteIndex":0},"citationItems":[{"id":697,"uris":["http://zotero.org/users/11240916/items/WFDL9N7E"],"itemData":{"id":697,"type":"article-journal","abstract":"OBJECTIVE: Methods to correct class imbalance (imbalance between the frequency of outcome events and nonevents) are receiving increasing interest for developing prediction models. We examined the effect of imbalance correction on the performance of logistic regression models.\nMATERIAL AND METHODS: Prediction models were developed using standard and penalized (ridge) logistic regression under 4 methods to address class imbalance: no correction, random undersampling, random oversampling, and SMOTE. Model performance was evaluated in terms of discrimination, calibration, and classification. Using Monte Carlo simulations, we studied the impact of training set size, number of predictors, and the outcome event fraction. A case study on prediction modeling for ovarian cancer diagnosis is presented.\nRESULTS: The use of random undersampling, random oversampling, or SMOTE yielded poorly calibrated models: the probability to belong to the minority class was strongly overestimated. These methods did not result in higher areas under the ROC curve when compared with models developed without correction for class imbalance. Although imbalance correction improved the balance between sensitivity and specificity, similar results were obtained by shifting the probability threshold instead.\nDISCUSSION: Imbalance correction led to models with strong miscalibration without better ability to distinguish between patients with and without the outcome event. The inaccurate probability estimates reduce the clinical utility of the model, because decisions about treatment are ill-informed.\nCONCLUSION: Outcome imbalance is not a problem in itself, imbalance correction may even worsen model performance.","container-title":"Journal of the American Medical Informatics Association: JAMIA","DOI":"10.1093/jamia/ocac093","ISSN":"1527-974X","issue":"9","journalAbbreviation":"J Am Med Inform Assoc","language":"eng","page":"1525-1534","PMID":"35686364","PMCID":"PMC9382395","source":"PubMed","title":"The harm of class imbalance corrections for risk prediction models: illustration and simulation using logistic regression","title-short":"The harm of class imbalance corrections for risk prediction models","volume":"29","author":[{"family":"Goorbergh","given":"Ruben","non-dropping-particle":"van den"},{"family":"Smeden","given":"Maarten","non-dropping-particle":"van"},{"family":"Timmerman","given":"Dirk"},{"family":"Van Calster","given":"Ben"}],"issued":{"date-parts":[["2022",8,16]]}}}],"schema":"https://github.com/citation-style-language/schema/raw/master/csl-citation.json"}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(38)</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p>
    <w:p w14:paraId="5512278E" w14:textId="77777777" w:rsidR="00CA7084" w:rsidRDefault="005648BA">
      <w:pPr>
        <w:spacing w:beforeAutospacing="1" w:afterAutospacing="1" w:line="360" w:lineRule="auto"/>
        <w:jc w:val="both"/>
        <w:rPr>
          <w:rFonts w:ascii="Times New Roman" w:eastAsia="Times New Roman" w:hAnsi="Times New Roman" w:cs="Times New Roman"/>
          <w:color w:val="45B0E1" w:themeColor="accent1" w:themeTint="99"/>
          <w:kern w:val="0"/>
          <w:lang w:eastAsia="fr-BE"/>
          <w14:ligatures w14:val="none"/>
        </w:rPr>
      </w:pPr>
      <w:r>
        <w:rPr>
          <w:rFonts w:ascii="Times New Roman" w:eastAsia="Times New Roman" w:hAnsi="Times New Roman" w:cs="Times New Roman"/>
          <w:b/>
          <w:bCs/>
          <w:color w:val="45B0E1" w:themeColor="accent1" w:themeTint="99"/>
          <w:kern w:val="0"/>
          <w:lang w:eastAsia="fr-BE"/>
          <w14:ligatures w14:val="none"/>
        </w:rPr>
        <w:t>Forces méthodologiques et apport de la quantification de l’incertitude</w:t>
      </w:r>
    </w:p>
    <w:p w14:paraId="34844FF3"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Plusieurs éléments méthodologiques renforcent la robustesse de ce travail. D’abord, la gestion des valeurs manquantes repose sur une comparaison formalisée de trois méthodes d’imputation, incluant diagnostics graphiques, tests (Kolmogorov–Smirnov, Levene), évaluation de la variance par Bootstrap et vérification de l’impact sur la capacité prédictive. Cette démarche est en phase avec les recommandations de van Buuren, Steyerberg et d’autres auteurs qui insistent sur l’importance de considérer la stratégie d’imputation comme une composante à part entière du développement des modèles de prédiction.  Ensuite, la séparation stricte apprentissage/test avant toute opération de prétraitement, l’usage d’une validation croisée stratifiée et la quantification de l’incertitude par Bootstrap s’inscrivent dans l’esprit des lignes directrices TRIPOD et TRIPOD+AI, qui visent à améliorer la transparence, la reproductibilité et la qualité méthodologique des études de modèles prédictifs, qu’elles reposent sur des régressions classiques ou sur des méthodes d’apprentissage automatique</w:t>
      </w:r>
      <w:r>
        <w:fldChar w:fldCharType="begin"/>
      </w:r>
      <w:r>
        <w:rPr>
          <w:rFonts w:ascii="Times New Roman" w:eastAsia="Times New Roman" w:hAnsi="Times New Roman" w:cs="Times New Roman"/>
          <w:kern w:val="0"/>
          <w:lang w:eastAsia="fr-BE"/>
        </w:rPr>
        <w:instrText>ADDIN ZOTERO_ITEM CSL_CITATION {"citationID":"SGFUl2Xm","properties":{"formattedCitation":"(39)","plainCitation":"(39)","noteIndex":0},"citationItems":[{"id":700,"uris":["http://zotero.org/users/11240916/items/ZEMXPJ5D"],"itemData":{"id":700,"type":"article-journal","abstract":"Prediction models are developed to aid health care providers in estimating the probability or risk that a specific disease or condition is present (diagnostic models) or that a specific event will occur in the future (prognostic models), to inform their decision making. However, the overwhelming evidence shows that the quality of reporting of prediction model studies is poor. Only with full and clear reporting of information on all aspects of a prediction model can risk of bias and potential usefulness of prediction models be adequately assessed. The Transparent Reporting of a multivariable prediction model for Individual Prognosis Or Diagnosis (TRIPOD) Initiative developed a set of recommendations for the reporting of studies developing, validating, or updating a prediction model, whether for diagnostic or prognostic purposes. This article describes how the TRIPOD Statement was developed. An extensive list of items based on a review of the literature was created, which was reduced after a Web based survey and revised during a three day meeting in June 2011 with methodologists, health care professionals, and journal editors. The list was refined during several meetings of the steering group and in e-mail discussions with the wider group of TRIPOD contributors. The resulting TRIPOD Statement is a checklist of 22 items, deemed essential for transparent reporting of a prediction model study. The TRIPOD Statement aims to improve the transparency of the reporting of a prediction model study regardless of the study methods used. The TRIPOD Statement is best used in conjunction with the TRIPOD explanation and elaboration document. To aid the editorial process and readers of prediction model studies, it is recommended that authors include a completed checklist in their submission (also available at www.tripod-statement.org).To encourage dissemination of the TRIPOD Statement, this article is freely accessible on the Annals of Internal Medicine Web site (www.annals.org) and will be also published in BJOG, British Journal of Cancer, British Journal of Surgery, BMC Medicine, The BMJ, Circulation, Diabetic Medicine, European Journal of Clinical Investigation, European Urology, and Journal of Clinical Epidemiology. The authors jointly hold the copyright of this article. An accompanying explanation and elaboration article is freely available only on www.annals.org; Annals of Internal Medicine holds copyright for that article.","container-title":"BMJ (Clinical research ed.)","DOI":"10.1136/bmj.g7594","ISSN":"1756-1833","journalAbbreviation":"BMJ","language":"eng","page":"g7594","PMID":"25569120","source":"PubMed","title":"Transparent reporting of a multivariable prediction model for individual prognosis or diagnosis (TRIPOD): the TRIPOD statement","title-short":"Transparent reporting of a multivariable prediction model for individual prognosis or diagnosis (TRIPOD)","volume":"350","author":[{"family":"Collins","given":"Gary S."},{"family":"Reitsma","given":"Johannes B."},{"family":"Altman","given":"Douglas G."},{"family":"Moons","given":"Karel G. M."}],"issued":{"date-parts":[["2015",1,7]]}}}],"schema":"https://github.com/citation-style-language/schema/raw/master/csl-citation.json"}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(39)</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r>
        <w:rPr>
          <w:rFonts w:ascii="Times New Roman" w:hAnsi="Times New Roman" w:cs="Times New Roman"/>
        </w:rPr>
        <w:t xml:space="preserve"> </w:t>
      </w:r>
      <w:r>
        <w:rPr>
          <w:rFonts w:ascii="Times New Roman" w:eastAsia="Times New Roman" w:hAnsi="Times New Roman" w:cs="Times New Roman"/>
          <w:kern w:val="0"/>
          <w:lang w:eastAsia="fr-BE"/>
          <w14:ligatures w14:val="none"/>
        </w:rPr>
        <w:t>Ces lignes directrices recommandent notamment (i) de documenter le flux de données (split, imputation, rééchantillonnage), (ii) de distinguer clairement validation interne et externe, et (iii) de rapporter des mesures d’incertitude sur les performances, ce qui est fait ici via le bootstrap.</w:t>
      </w:r>
    </w:p>
    <w:p w14:paraId="52FBDD31"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Enfin, l’intégration d’une prédiction conforme Mondrian autour du modèle final constitue un apport original. Cette approche fournit des ensembles prédictifs assortis de garanties de couverture finie, conditionnellement aux classes, sans hypothèse forte sur la forme du modèle.</w:t>
      </w:r>
      <w:r>
        <w:rPr>
          <w:rFonts w:ascii="Times New Roman" w:hAnsi="Times New Roman" w:cs="Times New Roman"/>
        </w:rPr>
        <w:t xml:space="preserve"> </w:t>
      </w:r>
    </w:p>
    <w:p w14:paraId="23617852"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lastRenderedPageBreak/>
        <w:t xml:space="preserve"> Dans notre application, un niveau de confiance cible de 90 % conduit à une couverture empirique proche de l’objectif, avec un compromis intéressant entre singletons (prédictions “sûres”) et ensembles {0,1} (cas explicitement signalés comme incertains). Cette capacité à signaler les situations où le modèle “hésite” est particulièrement pertinente dans une optique d’aide à la décision clinique, où l’acceptation d’une sortie “incertaine” peut être plus sûr que l’illusion d’une classification binaire certaine </w:t>
      </w:r>
      <w:r>
        <w:fldChar w:fldCharType="begin"/>
      </w:r>
      <w:r>
        <w:rPr>
          <w:rFonts w:ascii="Times New Roman" w:eastAsia="Times New Roman" w:hAnsi="Times New Roman" w:cs="Times New Roman"/>
          <w:kern w:val="0"/>
          <w:lang w:eastAsia="fr-BE"/>
        </w:rPr>
        <w:instrText>ADDIN ZOTERO_ITEM CSL_CITATION {"citationID":"DQ6o2ttk","properties":{"formattedCitation":"(40)","plainCitation":"(40)","noteIndex":0},"citationItems":[{"id":706,"uris":["http://zotero.org/users/11240916/items/MUUMJT44"],"itemData":{"id":706,"type":"webpage","title":"Impact of random oversampling and random undersampling on the performance of prediction models developed using observational health data | Journal of Big Data | Springer Nature Link","URL":"https://link.springer.com/article/10.1186/s40537-023-00857-7?utm_source=chatgpt.com","accessed":{"date-parts":[["2026",1,16]]}}}],"schema":"https://github.com/citation-style-language/schema/raw/master/csl-citation.json"}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(40)</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p>
    <w:p w14:paraId="6D519B42" w14:textId="77777777" w:rsidR="00CA7084" w:rsidRDefault="005648BA">
      <w:pPr>
        <w:spacing w:beforeAutospacing="1" w:afterAutospacing="1" w:line="360" w:lineRule="auto"/>
        <w:jc w:val="both"/>
        <w:rPr>
          <w:rFonts w:ascii="Times New Roman" w:eastAsia="Times New Roman" w:hAnsi="Times New Roman" w:cs="Times New Roman"/>
          <w:b/>
          <w:bCs/>
          <w:color w:val="45B0E1" w:themeColor="accent1" w:themeTint="99"/>
          <w:kern w:val="0"/>
          <w:lang w:eastAsia="fr-BE"/>
          <w14:ligatures w14:val="none"/>
        </w:rPr>
      </w:pPr>
      <w:r>
        <w:rPr>
          <w:rFonts w:ascii="Times New Roman" w:eastAsia="Times New Roman" w:hAnsi="Times New Roman" w:cs="Times New Roman"/>
          <w:b/>
          <w:bCs/>
          <w:color w:val="45B0E1" w:themeColor="accent1" w:themeTint="99"/>
          <w:kern w:val="0"/>
          <w:lang w:eastAsia="fr-BE"/>
          <w14:ligatures w14:val="none"/>
        </w:rPr>
        <w:t>Limites et incertitudes persistantes</w:t>
      </w:r>
    </w:p>
    <w:p w14:paraId="6EBE1907"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Ce projet présente toutefois plusieurs limites importantes. Sur le plan des données, la base Framingham utilisée correspond à une cohorte historique, majoritairement issue d’une population nord-américaine blanche, ce qui limite d’emblée la généralisable à d’autres contextes géographiques, ethniques ou de prise en charge. De nombreuses études ont montré que les scores dérivés de Framingham peuvent être mal calibrés lorsqu’ils sont appliqués à d’autres populations, nécessitant un recalibrage local voire un redéveloppement du modèle. </w:t>
      </w:r>
    </w:p>
    <w:p w14:paraId="0DD30AAC"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Dans ce travail, seule une </w:t>
      </w:r>
      <w:r>
        <w:rPr>
          <w:rFonts w:ascii="Times New Roman" w:eastAsia="Times New Roman" w:hAnsi="Times New Roman" w:cs="Times New Roman"/>
          <w:b/>
          <w:bCs/>
          <w:kern w:val="0"/>
          <w:lang w:eastAsia="fr-BE"/>
          <w14:ligatures w14:val="none"/>
        </w:rPr>
        <w:t>validation interne</w:t>
      </w:r>
      <w:r>
        <w:rPr>
          <w:rFonts w:ascii="Times New Roman" w:eastAsia="Times New Roman" w:hAnsi="Times New Roman" w:cs="Times New Roman"/>
          <w:kern w:val="0"/>
          <w:lang w:eastAsia="fr-BE"/>
          <w14:ligatures w14:val="none"/>
        </w:rPr>
        <w:t xml:space="preserve"> (split apprentissage/test, validation croisée, bootstrap) a été réalisée ; aucune validation externe n’a pu être conduite, ce qui empêche toute conclusion directe sur la transportabilité et la calibration hors de la cohorte d’origine.</w:t>
      </w:r>
    </w:p>
    <w:p w14:paraId="744D15F7"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Par ailleurs, le choix de SMOTE comme principal outil de gestion du déséquilibre de classes ne couvre qu’une partie des stratégies disponibles. D’autres approches – variantes de SMOTE combinées à des méthodes de nettoyage (SMOTE-ENN, SMOTETomek), sous-échantillonnage de la classe majoritaire, pondération de la fonction de coût – pourraient produire des compromis différents entre rappel, précision, AUC et calibration </w:t>
      </w:r>
      <w:r>
        <w:fldChar w:fldCharType="begin"/>
      </w:r>
      <w:r>
        <w:rPr>
          <w:rFonts w:ascii="Times New Roman" w:eastAsia="Times New Roman" w:hAnsi="Times New Roman" w:cs="Times New Roman"/>
          <w:kern w:val="0"/>
          <w:lang w:eastAsia="fr-BE"/>
        </w:rPr>
        <w:instrText>ADDIN ZOTERO_ITEM CSL_CITATION {"citationID":"1O8UM4NV","properties":{"formattedCitation":"(35)","plainCitation":"(35)","noteIndex":0},"citationItems":[{"id":691,"uris":["http://zotero.org/users/11240916/items/PPBNJC7M"],"itemData":{"id":691,"type":"article-journal","abstract":"With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data.","container-title":"IEEE Trans. on Knowl. and Data Eng.","DOI":"10.1109/TKDE.2008.239","ISSN":"1041-4347","issue":"9","page":"1263–1284","source":"ACM Digital Library","title":"Learning from Imbalanced Data","volume":"21","author":[{"family":"He","given":"Haibo"},{"family":"Garcia","given":"Edwardo A."}],"issued":{"date-parts":[["2009",9,1]]}}}],"schema":"https://github.com/citation-style-language/schema/raw/master/csl-citation.json"}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(35)</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p>
    <w:p w14:paraId="4C508862"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De plus, nos résultats montrent que certains modèles d’arbres ou d’ensembles sur-apprennent facilement lorsqu’ils sont entraînés sur des données sur-échantillonnées, ce qui invite à la prudence dans l’interprétation des performances élevées observées en validation croisée sur le train. </w:t>
      </w:r>
    </w:p>
    <w:p w14:paraId="488D07EB"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Enfin, la quantification de l’incertitude proposée ici, bien que plus riche que dans de nombreux travaux (bootstrap des métriques, prédiction conforme des sorties individuelles), demeure partielle. Elle ne capture pas l’incertitude liée au choix de l’algorithme, aux décisions de prétraitement (par exemple, choix du schéma d’imputation ou de la stratégie de </w:t>
      </w:r>
      <w:r>
        <w:rPr>
          <w:rFonts w:ascii="Times New Roman" w:eastAsia="Times New Roman" w:hAnsi="Times New Roman" w:cs="Times New Roman"/>
          <w:kern w:val="0"/>
          <w:lang w:eastAsia="fr-BE"/>
          <w14:ligatures w14:val="none"/>
        </w:rPr>
        <w:lastRenderedPageBreak/>
        <w:t xml:space="preserve">rééquilibrage), ni les effets potentiels d’un décalage de distribution entre la population de Framingham et la population cible réelle. La littérature récente sur les modèles “uncertainty-aware” insiste sur la nécessité de combiner plusieurs sources d’incertitude (données, modèle, scénario d’application) et de les communiquer de manière intelligible aux cliniciens </w:t>
      </w:r>
      <w:r>
        <w:fldChar w:fldCharType="begin"/>
      </w:r>
      <w:r>
        <w:rPr>
          <w:rFonts w:ascii="Times New Roman" w:eastAsia="Times New Roman" w:hAnsi="Times New Roman" w:cs="Times New Roman"/>
          <w:kern w:val="0"/>
          <w:lang w:eastAsia="fr-BE"/>
        </w:rPr>
        <w:instrText>ADDIN ZOTERO_ITEM CSL_CITATION {"citationID":"cdVzCzsF","properties":{"formattedCitation":"(41,42)","plainCitation":"(41,42)","noteIndex":0},"citationItems":[{"id":709,"uris":["http://zotero.org/users/11240916/items/85BVI5JN"],"itemData":{"id":709,"type":"article-journal","language":"en","source":"Zotero","title":"An Uncertainty Quantification Method Based on Evidence theory and Conformal Prediction","author":[{"family":"Hoblos","given":"Rouaa"},{"family":"Dridi","given":"Noura"},{"family":"Zerhouni","given":"Noureddine"},{"family":"Masry","given":"Zeina AL"}]},"label":"page"},{"id":710,"uris":["http://zotero.org/users/11240916/items/RP2GHPSB"],"itemData":{"id":710,"type":"article-journal","abstract":"OBJECTIVES: To estimate the uncertainty of a deep learning (DL)-based prostate segmentation algorithm through conformal prediction (CP) and to assess its effect on the calculation of the prostate volume (PV) in patients at risk of prostate cancer (PC).\nMETHODS: Three-hundred seventy-seven multi-center 3-Tesla axial T2-weighted exams from biopsied males (66.64  ±  7.47 years) at risk of PC were retrospectively included in the study. Assessment of PV based on PI-RADS 2.1 ellipsoid formula (  PV r e f   ) was available for included patients. Prostate segmentations were obtained from a DL model and used to calculate the PV (  PV D L   ). CP was applied at a confidence level of 85% to flag unreliable pixel segmentations of the DL model. Subsequently, the PV (  PV C P   ) was calculated when disregarding uncertain pixel segmentations. Agreement between  PV D L   and  PV C P   was evaluated against the reference standard  PV r e f   . Intraclass correlation coefficient (ICC) and Bland-Altman plots were used to assess the agreement. The relative volume difference (RVD) was used to evaluate the PV calculation accuracy, and the Wilcoxon Signed-Rank Test was used to assess statistical differences. A p-value &lt; 0.05 was considered statistically significant.\nRESULTS: Conformal prediction significantly reduced RVD when compared to the DL algorithm (RVD = - 2.81  ±  8.85 and RVD = -8.01  ±  11.50).  PV C P   showed a significantly larger agreement than  PV D L   when using the reference standard  PV r e f   (mean difference (95% limits of agreement)  PV C P   : 1.27 mL (- 13.64; 16.17 mL)  PV D L   : 6.07 mL (- 14.29; 26.42 mL)), with an excellent ICC (  PV C P   : 0.97 (95% CI: 0.97 to 0.98)).\nCONCLUSION: Uncertainty quantification through CP increases the accuracy and reliability of DL-based PV assessment in patients at risk of PC.\nCRITICAL RELEVANCE STATEMENT: Conformal prediction can flag uncertain pixel predictions of DL-based prostate MRI segmentation at a desired confidence level, increasing the reliability and safety of prostate volume assessment in patients at risk of prostate cancer.\nKEY POINTS: Conformal prediction can flag uncertain pixel predictions of prostate segmentations at a user-defined confidence level. Deep learning with conformal prediction shows high accuracy in prostate volumetric assessment. Agreement between automatic and ellipsoid-derived volume was significantly larger with conformal prediction.","container-title":"Insights into Imaging","DOI":"10.1186/s13244-024-01863-w","ISSN":"1869-4101","issue":"1","journalAbbreviation":"Insights Imaging","language":"eng","page":"286","PMID":"39613981","PMCID":"PMC11607187","source":"PubMed","title":"Impact of uncertainty quantification through conformal prediction on volume assessment from deep learning-based MRI prostate segmentation","volume":"15","author":[{"family":"Gade","given":"Marius"},{"family":"Nguyen","given":"Kevin Mekhaphan"},{"family":"Gedde","given":"Sol"},{"family":"Fernandez-Quilez","given":"Alvaro"}],"issued":{"date-parts":[["2024",11,29]]}},"label":"page"}],"schema":"https://github.com/citation-style-language/schema/raw/master/csl-citation.json"}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(41,42)</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r>
        <w:rPr>
          <w:rFonts w:ascii="Times New Roman" w:hAnsi="Times New Roman" w:cs="Times New Roman"/>
        </w:rPr>
        <w:t xml:space="preserve"> </w:t>
      </w:r>
    </w:p>
    <w:p w14:paraId="6575A6EC" w14:textId="77777777" w:rsidR="00CA7084" w:rsidRDefault="005648BA">
      <w:pPr>
        <w:spacing w:beforeAutospacing="1" w:afterAutospacing="1" w:line="360" w:lineRule="auto"/>
        <w:jc w:val="both"/>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Implications cliniques et perspectives de recherche</w:t>
      </w:r>
    </w:p>
    <w:p w14:paraId="6D91A2CB"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Sur le plan clinique, les résultats suggèrent qu’un modèle de type Framingham ré-estimé et modernisé – basé sur une régression logistique multivariée, entraînée après imputation MICE, standardisation et prise en compte explicite du déséquilibre via le choix du seuil – pourrait constituer un score de risque opérationnel pour la prévention cardiovasculaire. Ce modèle reste conceptuellement proche des outils actuellement utilisés (Framingham, SCORE2), tout en intégrant des standards méthodologiques plus récents en matière de gestion des données manquantes, de validation interne et de reporting.</w:t>
      </w:r>
      <w:r>
        <w:rPr>
          <w:rFonts w:ascii="Times New Roman" w:hAnsi="Times New Roman" w:cs="Times New Roman"/>
        </w:rPr>
        <w:t xml:space="preserve"> </w:t>
      </w:r>
      <w:r>
        <w:rPr>
          <w:rFonts w:ascii="Times New Roman" w:eastAsia="Times New Roman" w:hAnsi="Times New Roman" w:cs="Times New Roman"/>
          <w:kern w:val="0"/>
          <w:lang w:eastAsia="fr-BE"/>
          <w14:ligatures w14:val="none"/>
        </w:rPr>
        <w:t xml:space="preserve"> Le compromis observé (légère baisse d’accuracy globale mais gain substantiel de rappel) est cohérent avec une logique clinique où l’on préfère détecter davantage de patients à haut risque, quitte à accepter davantage de faux positifs qui pourront être re-classés lors d’une évaluation clinique approfondie. La prédiction conforme offre, en complément, un moyen explicite de distinguer les cas pour lesquels le modèle est relativement confiant (ensembles {0} ou {1}) de ceux pour lesquels l’incertitude est élevée (ensembles {0,1}). À terme, cette information pourrait être intégrée à une interface clinique de type “feu tricolore” (vert = faible risque, rouge = haut risque, orange = incertitude élevée), conformément aux appels récents en faveur de modèles prédictifs capables de rendre compte de leur propre incertitude plutôt que de fournir des scores “muets” </w:t>
      </w:r>
      <w:r>
        <w:fldChar w:fldCharType="begin"/>
      </w:r>
      <w:r>
        <w:rPr>
          <w:rFonts w:ascii="Times New Roman" w:eastAsia="Times New Roman" w:hAnsi="Times New Roman" w:cs="Times New Roman"/>
          <w:kern w:val="0"/>
          <w:lang w:eastAsia="fr-BE"/>
        </w:rPr>
        <w:instrText>ADDIN ZOTERO_ITEM CSL_CITATION {"citationID":"6juEPvMC","properties":{"formattedCitation":"(43)","plainCitation":"(43)","noteIndex":0},"citationItems":[{"id":713,"uris":["http://zotero.org/users/11240916/items/RJS2UCSN"],"itemData":{"id":713,"type":"article-journal","abstract":"The TRIPOD (Transparent Reporting of a multivariable prediction model for Individual Prognosis Or Diagnosis) statement was published in 2015 to provide the minimum reporting recommendations for studies developing or evaluating the performance of a prediction model. Methodological advances in the field of prediction have since included the widespread use of artificial intelligence (AI) powered by machine learning methods to develop prediction models. An update to the TRIPOD statement is thus needed. TRIPOD+AI provides harmonised guidance for reporting prediction model studies, irrespective of whether regression modelling or machine learning methods have been used. The new checklist supersedes the TRIPOD 2015 checklist, which should no longer be used. This article describes the development of TRIPOD+AI and presents the expanded 27 item checklist with more detailed explanation of each reporting recommendation, and the TRIPOD+AI for Abstracts checklist. TRIPOD+AI aims to promote the complete, accurate, and transparent reporting of studies that develop a prediction model or evaluate its performance. Complete reporting will facilitate study appraisal, model evaluation, and model implementation.","container-title":"BMJ (Clinical research ed.)","DOI":"10.1136/bmj-2023-078378","ISSN":"1756-1833","journalAbbreviation":"BMJ","language":"eng","page":"e078378","PMID":"38626948","PMCID":"PMC11019967","source":"PubMed","title":"TRIPOD+AI statement: updated guidance for reporting clinical prediction models that use regression or machine learning methods","title-short":"TRIPOD+AI statement","volume":"385","author":[{"family":"Collins","given":"Gary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(43)</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 xml:space="preserve">.  Plusieurs prolongements de recherche apparaissent naturels. D’un point de vue méthodologique, il serait pertinent de comparer systématiquement différentes stratégies de rééquilibrage (SMOTE-ENN, SMOTETomek, pondération des classes, méthodes focales) dans le même cadre, en évaluant conjointement discrimination, calibration et impact clinique potentiel </w:t>
      </w:r>
      <w:r>
        <w:fldChar w:fldCharType="begin"/>
      </w:r>
      <w:r>
        <w:rPr>
          <w:rFonts w:ascii="Times New Roman" w:eastAsia="Times New Roman" w:hAnsi="Times New Roman" w:cs="Times New Roman"/>
          <w:kern w:val="0"/>
          <w:lang w:eastAsia="fr-BE"/>
        </w:rPr>
        <w:instrText>ADDIN ZOTERO_ITEM CSL_CITATION {"citationID":"VSWXXoeL","properties":{"formattedCitation":"(35,37)","plainCitation":"(35,37)","noteIndex":0},"citationItems":[{"id":691,"uris":["http://zotero.org/users/11240916/items/PPBNJC7M"],"itemData":{"id":691,"type":"article-journal","abstract":"With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data.","container-title":"IEEE Trans. on Knowl. and Data Eng.","DOI":"10.1109/TKDE.2008.239","ISSN":"1041-4347","issue":"9","page":"1263–1284","source":"ACM Digital Library","title":"Learning from Imbalanced Data","volume":"21","author":[{"family":"He","given":"Haibo"},{"family":"Garcia","given":"Edwardo A."}],"issued":{"date-parts":[["2009",9,1]]}},"label":"page"},{"id":694,"uris":["http://zotero.org/users/11240916/items/SCWKZ65G"],"itemData":{"id":694,"type":"article","abstract":"Coronary heart disease, which is a form of cardiovascular disease (CVD), is the leading cause of death worldwide. The odds of survival are good if it is found or diagnosed early. The current report discusses a comparative approach to the classification of coronary heart disease datasets using machine learning (ML) algorithms. The current study created and tested several machine-learning-based classification models. The dataset was subjected to Smote to handle unbalanced classes and feature selection technique in order to assess the impact on two distinct performance metrics. The results show that logistic regression produced the highest performance score on the original dataset compared to the other algorithms employed. In conclusion, this study suggests that LR on a well-processed and standardized dataset can predict coronary heart disease with greater accuracy than the other algorithms.","DOI":"10.48550/arXiv.2112.01503","note":"arXiv:2112.01503 [cs]","number":"arXiv:2112.01503","publisher":"arXiv","source":"arXiv.org","title":"Machine Learning-Based Classification Algorithms for the Prediction of Coronary Heart Diseases","URL":"http://arxiv.org/abs/2112.01503","author":[{"family":"Kwakye","given":"Kelvin"},{"family":"Dadzie","given":"Emmanuel"}],"accessed":{"date-parts":[["2026",1,16]]},"issued":{"date-parts":[["2021",12,2]]}},"label":"page"}],"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(35,37)</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 xml:space="preserve">. D’un point de vue applicatif, une validation externe sur des cohortes plus diverses, idéalement en suivant les recommandations TRIPOD/TRIPOD+AI pour le développement, la validation et le reporting, constitue une étape indispensable avant toute implémentation opérationnelle </w:t>
      </w:r>
      <w:r>
        <w:fldChar w:fldCharType="begin"/>
      </w:r>
      <w:r>
        <w:rPr>
          <w:rFonts w:ascii="Times New Roman" w:eastAsia="Times New Roman" w:hAnsi="Times New Roman" w:cs="Times New Roman"/>
          <w:kern w:val="0"/>
          <w:lang w:eastAsia="fr-BE"/>
        </w:rPr>
        <w:instrText>ADDIN ZOTERO_ITEM CSL_CITATION {"citationID":"CxxynSbU","properties":{"formattedCitation":"(44)","plainCitation":"(44)","noteIndex":0},"citationItems":[{"id":716,"uris":["http://zotero.org/users/11240916/items/5GWG2VX9"],"itemData":{"id":716,"type":"article-journal","abstract":"Prediction models are developed to aid health care providers in estimating the probability or risk that a specific disease or condition is present (diagnostic models) or that a specific event will occur in the future (prognostic models), to inform their decision making. However, the overwhelming evidence shows that the quality of reporting of prediction model studies is poor. Only with full and clear reporting of information on all aspects of a prediction model can risk of bias and potential usefulness of prediction models be adequately assessed. The Transparent Reporting of a multivariable prediction model for Individual Prognosis Or Diagnosis (TRIPOD) Initiative developed a set of recommendations for the reporting of studies developing, validating, or updating a prediction model, whether for diagnostic or prognostic purposes. This article describes how the TRIPOD Statement was developed. An extensive list of items based on a review of the literature was created, which was reduced after a Web based survey and revised during a three day meeting in June 2011 with methodologists, health care professionals, and journal editors. The list was refined during several meetings of the steering group and in e-mail discussions with the wider group of TRIPOD contributors. The resulting TRIPOD Statement is a checklist of 22 items, deemed essential for transparent reporting of a prediction model study. The TRIPOD Statement aims to improve the transparency of the reporting of a prediction model study regardless of the study methods used. The TRIPOD Statement is best used in conjunction with the TRIPOD explanation and elaboration document. To aid the editorial process and readers of prediction model studies, it is recommended that authors include a completed checklist in their submission (also available at www.tripod-statement.org).To encourage dissemination of the TRIPOD Statement, this article is freely accessible on the Annals of Internal Medicine Web site (www.annals.org) and will be also published in BJOG, British Journal of Cancer, British Journal of Surgery, BMC Medicine, The BMJ, Circulation, Diabetic Medicine, European Journal of Clinical Investigation, European Urology, and Journal of Clinical Epidemiology. The authors jointly hold the copyright of this article. An accompanying explanation and elaboration article is freely available only on www.annals.org; Annals of Internal Medicine holds copyright for that article.","container-title":"BMJ (Clinical research ed.)","DOI":"10.1136/bmj.g7594","ISSN":"1756-1833","journalAbbreviation":"BMJ","language":"eng","page":"g7594","PMID":"25569120","source":"PubMed","title":"Transparent reporting of a multivariable prediction model for individual prognosis or diagnosis (TRIPOD): the TRIPOD statement","title-short":"Transparent reporting of a multivariable prediction model for individual prognosis or diagnosis (TRIPOD)","volume":"350","author":[{"family":"Collins","given":"Gary S."},{"family":"Reitsma","given":"Johannes B."},{"family":"Altman","given":"Douglas G."},{"family":"Moons","given":"Karel G. M."}],"issued":{"date-parts":[["2015",1,7]]}}}],"schema":"https://github.com/citation-style-language/schema/raw/master/csl-citation.json"}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(44)</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 Enfin, l’intégration plus large de méthodes d’incertitude (approches bayésiennes, ensembles de modèles, combinaisons avec la conformal prediction) pourrait être explorée afin d’aligner au mieux les sorties des modèles avec les besoins de la décision partagée entre clinicien et patient.</w:t>
      </w:r>
    </w:p>
    <w:p w14:paraId="071F37A4" w14:textId="77777777" w:rsidR="00CA7084" w:rsidRDefault="005648BA">
      <w:pPr>
        <w:spacing w:beforeAutospacing="1" w:afterAutospacing="1" w:line="360" w:lineRule="auto"/>
        <w:jc w:val="both"/>
        <w:rPr>
          <w:rFonts w:ascii="Times New Roman" w:eastAsia="Times New Roman" w:hAnsi="Times New Roman" w:cs="Times New Roman"/>
          <w:b/>
          <w:bCs/>
          <w:color w:val="45B0E1" w:themeColor="accent1" w:themeTint="99"/>
          <w:kern w:val="0"/>
          <w:lang w:eastAsia="fr-BE"/>
          <w14:ligatures w14:val="none"/>
        </w:rPr>
      </w:pPr>
      <w:r>
        <w:rPr>
          <w:rFonts w:ascii="Times New Roman" w:eastAsia="Times New Roman" w:hAnsi="Times New Roman" w:cs="Times New Roman"/>
          <w:b/>
          <w:bCs/>
          <w:color w:val="45B0E1" w:themeColor="accent1" w:themeTint="99"/>
          <w:kern w:val="0"/>
          <w:lang w:eastAsia="fr-BE"/>
          <w14:ligatures w14:val="none"/>
        </w:rPr>
        <w:lastRenderedPageBreak/>
        <w:t>Conclusion</w:t>
      </w:r>
    </w:p>
    <w:p w14:paraId="53A645A6"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Ce travail avait pour objectif de développer et comparer plusieurs modèles de prédiction du risque de maladie coronarienne à 10 ans à partir de la base Framingham, en accordant une attention particulière à trois dimensions souvent critiques mais parfois insuffisamment explicitées dans la pratique : la gestion des valeurs manquantes, le déséquilibre de classes et la quantification de l’incertitude. Sur le plan du prétraitement, l’imputation multivariée par MICE s’est imposée comme la stratégie la plus satisfaisante pour préserver les distributions, la variance et les corrélations entre prédicteurs, justifiant son adoption comme méthode de référence pour la constitution des jeux d’apprentissage et de test </w:t>
      </w:r>
      <w:r>
        <w:fldChar w:fldCharType="begin"/>
      </w:r>
      <w:r>
        <w:rPr>
          <w:rFonts w:ascii="Times New Roman" w:eastAsia="Times New Roman" w:hAnsi="Times New Roman" w:cs="Times New Roman"/>
          <w:kern w:val="0"/>
          <w:lang w:eastAsia="fr-BE"/>
        </w:rPr>
        <w:instrText>ADDIN ZOTERO_ITEM CSL_CITATION {"citationID":"qcx5nLIz","properties":{"formattedCitation":"(45)","plainCitation":"(45)","noteIndex":0},"citationItems":[{"id":719,"uris":["http://zotero.org/users/11240916/items/WYZXVBLT"],"itemData":{"id":719,"type":"article-journal","container-title":"Journal of statistical software","ISSN":"1548-7660","issue":"3","journalAbbreviation":"J STAT SOFTW","language":"Undefined","publisher":"University of California at Los Angeles","source":"research.utwente.nl","title":"mice: Multivariate Imputation by Chained Equations in R","title-short":"mice","URL":"https://research.utwente.nl/en/publications/mice-multivariate-imputation-by-chained-equations-in-r/","volume":"45","author":[{"family":"Buuren","given":"Stef","dropping-particle":"van"},{"family":"Groothuis-Oudshoorn","given":"Catharina Gerarda Maria"}],"accessed":{"date-parts":[["2026",1,16]]},"issued":{"date-parts":[["2011"]]}}}],"schema":"https://github.com/citation-style-language/schema/raw/master/csl-citation.json"}</w:instrText>
      </w:r>
      <w:r>
        <w:rPr>
          <w:rFonts w:ascii="Times New Roman" w:eastAsia="Times New Roman" w:hAnsi="Times New Roman" w:cs="Times New Roman"/>
          <w:kern w:val="0"/>
          <w:lang w:eastAsia="fr-BE"/>
        </w:rPr>
        <w:fldChar w:fldCharType="separate"/>
      </w:r>
      <w:r>
        <w:rPr>
          <w:rFonts w:ascii="Times New Roman" w:hAnsi="Times New Roman" w:cs="Times New Roman"/>
          <w:lang w:eastAsia="fr-BE"/>
        </w:rPr>
        <w:t>(45)</w:t>
      </w:r>
      <w:r>
        <w:rPr>
          <w:rFonts w:ascii="Times New Roman" w:eastAsia="Times New Roman" w:hAnsi="Times New Roman" w:cs="Times New Roman"/>
          <w:kern w:val="0"/>
          <w:lang w:eastAsia="fr-BE"/>
        </w:rPr>
        <w:fldChar w:fldCharType="end"/>
      </w:r>
      <w:r>
        <w:rPr>
          <w:rFonts w:ascii="Times New Roman" w:eastAsia="Times New Roman" w:hAnsi="Times New Roman" w:cs="Times New Roman"/>
          <w:kern w:val="0"/>
          <w:lang w:eastAsia="fr-BE"/>
          <w14:ligatures w14:val="none"/>
        </w:rPr>
        <w:t>.</w:t>
      </w:r>
      <w:r>
        <w:rPr>
          <w:rFonts w:ascii="Times New Roman" w:hAnsi="Times New Roman" w:cs="Times New Roman"/>
        </w:rPr>
        <w:t xml:space="preserve"> </w:t>
      </w:r>
      <w:r>
        <w:rPr>
          <w:rFonts w:ascii="Times New Roman" w:eastAsia="Times New Roman" w:hAnsi="Times New Roman" w:cs="Times New Roman"/>
          <w:kern w:val="0"/>
          <w:lang w:eastAsia="fr-BE"/>
          <w14:ligatures w14:val="none"/>
        </w:rPr>
        <w:t xml:space="preserve"> L’analyse des modèles a montré que, sans rééquilibrage des classes, les performances globales peuvent paraître correctes (accuracy, AUC-ROC), tout en masquant une sensibilité très insuffisante pour la classe événement, ce qui limite fortement l’intérêt clinique. L’utilisation de SMOTE sur le jeu d’apprentissage améliore nettement le rappel et le F1 de la classe 1 pour l’ensemble des algorithmes, en illustrant le compromis classique entre détection des cas et exactitude globale dans des données fortement déséquilibrées.</w:t>
      </w:r>
      <w:r>
        <w:rPr>
          <w:rFonts w:ascii="Times New Roman" w:hAnsi="Times New Roman" w:cs="Times New Roman"/>
        </w:rPr>
        <w:t xml:space="preserve"> </w:t>
      </w:r>
    </w:p>
    <w:p w14:paraId="2CCADE8D" w14:textId="77777777" w:rsidR="00CA7084" w:rsidRDefault="00CA7084">
      <w:pPr>
        <w:spacing w:beforeAutospacing="1" w:afterAutospacing="1" w:line="360" w:lineRule="auto"/>
        <w:jc w:val="both"/>
        <w:rPr>
          <w:rFonts w:ascii="Times New Roman" w:eastAsia="Times New Roman" w:hAnsi="Times New Roman" w:cs="Times New Roman"/>
          <w:kern w:val="0"/>
          <w:lang w:eastAsia="fr-BE"/>
          <w14:ligatures w14:val="none"/>
        </w:rPr>
      </w:pPr>
    </w:p>
    <w:p w14:paraId="7DC89A9D"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Dans ce cadre, une régression logistique multivariée entraînée sur données imputées et standardisées, sans SMOTE mais avec un seuil de décision optimisé (LogReg_A2, seuil 0,15), apparaît comme un modèle de compromis : elle offre une sensibilité accrue pour les événements, une discrimination comparable aux modèles d’arbres et d’ensembles, et conserve une structure interprétable, en continuité avec les approches classiques de score de risque en épidémiologie clinique. La quantification de l’incertitude par bootstrap et prédiction conforme montre que ces performances sont relativement robustes aux fluctuations d’échantillonnage et permet d’associer à chaque prédiction un niveau de confiance explicite, élément important en vue d’une possible intégration dans un système d’aide à la décision.</w:t>
      </w:r>
      <w:r>
        <w:rPr>
          <w:rFonts w:ascii="Times New Roman" w:hAnsi="Times New Roman" w:cs="Times New Roman"/>
        </w:rPr>
        <w:t xml:space="preserve"> </w:t>
      </w:r>
    </w:p>
    <w:p w14:paraId="13E07F9C" w14:textId="77777777" w:rsidR="00CA7084" w:rsidRDefault="005648BA">
      <w:pPr>
        <w:spacing w:beforeAutospacing="1" w:afterAutospacing="1" w:line="360"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Ce travail doit toutefois être envisagé comme une étape exploratoire : il repose sur une seule cohorte historique, n’intègre qu’une validation interne et n’épuise ni l’espace des stratégies de rééquilibrage, ni celui des méthodes de quantification de l’incertitude. Une validation externe sur des populations plus diverses, un recalibrage éventuel et une comparaison élargie des approches de gestion du déséquilibre seront indispensables avant toute utilisation clinique. Néanmoins, il illustre qu’un pipeline rigoureux combinant analyse exploratoire, </w:t>
      </w:r>
      <w:r>
        <w:rPr>
          <w:rFonts w:ascii="Times New Roman" w:eastAsia="Times New Roman" w:hAnsi="Times New Roman" w:cs="Times New Roman"/>
          <w:kern w:val="0"/>
          <w:lang w:eastAsia="fr-BE"/>
          <w14:ligatures w14:val="none"/>
        </w:rPr>
        <w:lastRenderedPageBreak/>
        <w:t>imputation multivariée, gestion structurée du déséquilibre, validation conforme aux recommandations TRIPOD/TRIPOD+AI et outils modernes d’incertitude – permet d’articuler de manière cohérente méthodes d’apprentissage automatique et exigences de transparence, dans la perspective d’une prédiction du risque cardiovasculaire réellement utile à la décision médicale.</w:t>
      </w:r>
    </w:p>
    <w:p w14:paraId="268C3FD7" w14:textId="77777777" w:rsidR="00CA7084" w:rsidRDefault="00CA7084">
      <w:pPr>
        <w:spacing w:beforeAutospacing="1" w:afterAutospacing="1"/>
        <w:jc w:val="both"/>
        <w:rPr>
          <w:rFonts w:ascii="Times New Roman" w:eastAsia="Times New Roman" w:hAnsi="Times New Roman" w:cs="Times New Roman"/>
          <w:kern w:val="0"/>
          <w:sz w:val="27"/>
          <w:szCs w:val="27"/>
          <w:lang w:eastAsia="fr-BE"/>
          <w14:ligatures w14:val="none"/>
        </w:rPr>
      </w:pPr>
    </w:p>
    <w:p w14:paraId="6D79EF79" w14:textId="77777777" w:rsidR="00CA7084" w:rsidRDefault="00CA7084">
      <w:pPr>
        <w:spacing w:beforeAutospacing="1" w:afterAutospacing="1"/>
        <w:jc w:val="both"/>
        <w:rPr>
          <w:rFonts w:ascii="Times New Roman" w:eastAsia="Times New Roman" w:hAnsi="Times New Roman" w:cs="Times New Roman"/>
          <w:kern w:val="0"/>
          <w:sz w:val="27"/>
          <w:szCs w:val="27"/>
          <w:lang w:eastAsia="fr-BE"/>
          <w14:ligatures w14:val="none"/>
        </w:rPr>
      </w:pPr>
    </w:p>
    <w:p w14:paraId="79E4E306" w14:textId="77777777" w:rsidR="00CA7084" w:rsidRDefault="00CA7084">
      <w:pPr>
        <w:spacing w:beforeAutospacing="1" w:afterAutospacing="1"/>
        <w:jc w:val="both"/>
        <w:rPr>
          <w:rFonts w:ascii="Times New Roman" w:eastAsia="Times New Roman" w:hAnsi="Times New Roman" w:cs="Times New Roman"/>
          <w:kern w:val="0"/>
          <w:sz w:val="27"/>
          <w:szCs w:val="27"/>
          <w:lang w:eastAsia="fr-BE"/>
          <w14:ligatures w14:val="none"/>
        </w:rPr>
      </w:pPr>
    </w:p>
    <w:p w14:paraId="5CE656F0" w14:textId="77777777" w:rsidR="00CA7084" w:rsidRDefault="00CA7084">
      <w:pPr>
        <w:spacing w:beforeAutospacing="1" w:afterAutospacing="1"/>
        <w:jc w:val="both"/>
        <w:rPr>
          <w:rFonts w:ascii="Times New Roman" w:eastAsia="Times New Roman" w:hAnsi="Times New Roman" w:cs="Times New Roman"/>
          <w:kern w:val="0"/>
          <w:sz w:val="27"/>
          <w:szCs w:val="27"/>
          <w:lang w:eastAsia="fr-BE"/>
          <w14:ligatures w14:val="none"/>
        </w:rPr>
      </w:pPr>
    </w:p>
    <w:p w14:paraId="0BA21579" w14:textId="77777777" w:rsidR="00CA7084" w:rsidRDefault="00CA7084">
      <w:pPr>
        <w:spacing w:beforeAutospacing="1" w:afterAutospacing="1"/>
        <w:jc w:val="both"/>
        <w:rPr>
          <w:rFonts w:ascii="Times New Roman" w:eastAsia="Times New Roman" w:hAnsi="Times New Roman" w:cs="Times New Roman"/>
          <w:kern w:val="0"/>
          <w:sz w:val="27"/>
          <w:szCs w:val="27"/>
          <w:lang w:eastAsia="fr-BE"/>
          <w14:ligatures w14:val="none"/>
        </w:rPr>
      </w:pPr>
    </w:p>
    <w:p w14:paraId="641E8617" w14:textId="77777777" w:rsidR="00CA7084" w:rsidRDefault="00CA7084">
      <w:pPr>
        <w:spacing w:beforeAutospacing="1" w:afterAutospacing="1"/>
        <w:jc w:val="both"/>
        <w:rPr>
          <w:rFonts w:ascii="Times New Roman" w:eastAsia="Times New Roman" w:hAnsi="Times New Roman" w:cs="Times New Roman"/>
          <w:kern w:val="0"/>
          <w:sz w:val="27"/>
          <w:szCs w:val="27"/>
          <w:lang w:eastAsia="fr-BE"/>
          <w14:ligatures w14:val="none"/>
        </w:rPr>
      </w:pPr>
    </w:p>
    <w:p w14:paraId="020B16F9" w14:textId="77777777" w:rsidR="00CA7084" w:rsidRDefault="00CA7084">
      <w:pPr>
        <w:spacing w:beforeAutospacing="1" w:afterAutospacing="1"/>
        <w:jc w:val="both"/>
        <w:rPr>
          <w:rFonts w:ascii="Times New Roman" w:eastAsia="Times New Roman" w:hAnsi="Times New Roman" w:cs="Times New Roman"/>
          <w:b/>
          <w:bCs/>
          <w:kern w:val="0"/>
          <w:sz w:val="27"/>
          <w:szCs w:val="27"/>
          <w:lang w:eastAsia="fr-BE"/>
          <w14:ligatures w14:val="none"/>
        </w:rPr>
      </w:pPr>
    </w:p>
    <w:p w14:paraId="7E7CF02C" w14:textId="77777777" w:rsidR="00CA7084" w:rsidRDefault="00CA7084">
      <w:pPr>
        <w:spacing w:beforeAutospacing="1" w:afterAutospacing="1"/>
        <w:jc w:val="both"/>
        <w:rPr>
          <w:rFonts w:ascii="Times New Roman" w:eastAsia="Times New Roman" w:hAnsi="Times New Roman" w:cs="Times New Roman"/>
          <w:kern w:val="0"/>
          <w:lang w:eastAsia="fr-BE"/>
          <w14:ligatures w14:val="none"/>
        </w:rPr>
      </w:pPr>
    </w:p>
    <w:p w14:paraId="1A16BE27" w14:textId="77777777" w:rsidR="00CA7084" w:rsidRDefault="00CA7084">
      <w:pPr>
        <w:spacing w:beforeAutospacing="1" w:afterAutospacing="1"/>
        <w:jc w:val="both"/>
        <w:rPr>
          <w:rFonts w:ascii="Times New Roman" w:eastAsia="Times New Roman" w:hAnsi="Times New Roman" w:cs="Times New Roman"/>
          <w:kern w:val="0"/>
          <w:lang w:eastAsia="fr-BE"/>
          <w14:ligatures w14:val="none"/>
        </w:rPr>
      </w:pPr>
    </w:p>
    <w:p w14:paraId="75899370" w14:textId="77777777" w:rsidR="00CA7084" w:rsidRDefault="005648BA">
      <w:pPr>
        <w:spacing w:beforeAutospacing="1" w:afterAutospacing="1"/>
        <w:jc w:val="both"/>
        <w:rPr>
          <w:rFonts w:ascii="Times New Roman" w:eastAsia="Times New Roman" w:hAnsi="Times New Roman" w:cs="Times New Roman"/>
          <w:b/>
          <w:bCs/>
          <w:color w:val="45B0E1" w:themeColor="accent1" w:themeTint="99"/>
          <w:kern w:val="0"/>
          <w:lang w:eastAsia="fr-BE"/>
          <w14:ligatures w14:val="none"/>
        </w:rPr>
      </w:pPr>
      <w:r>
        <w:rPr>
          <w:rFonts w:ascii="Times New Roman" w:eastAsia="Times New Roman" w:hAnsi="Times New Roman" w:cs="Times New Roman"/>
          <w:b/>
          <w:bCs/>
          <w:color w:val="45B0E1" w:themeColor="accent1" w:themeTint="99"/>
          <w:kern w:val="0"/>
          <w:lang w:eastAsia="fr-BE"/>
          <w14:ligatures w14:val="none"/>
        </w:rPr>
        <w:t xml:space="preserve">Références  biographiques </w:t>
      </w:r>
    </w:p>
    <w:p w14:paraId="39EA3583" w14:textId="77777777" w:rsidR="00CA7084" w:rsidRDefault="005648BA">
      <w:pPr>
        <w:pStyle w:val="Bibliographie"/>
        <w:rPr>
          <w:rFonts w:ascii="Times New Roman" w:hAnsi="Times New Roman" w:cs="Times New Roman"/>
        </w:rPr>
      </w:pPr>
      <w:r>
        <w:fldChar w:fldCharType="begin"/>
      </w:r>
      <w:r>
        <w:rPr>
          <w:rFonts w:eastAsia="Times New Roman"/>
          <w:b/>
          <w:bCs/>
          <w:lang w:eastAsia="fr-BE"/>
        </w:rPr>
        <w:instrText>ADDIN ZOTERO_BIBL {"uncited":[],"omitted":[],"custom":[]} CSL_BIBLIOGRAPHY</w:instrText>
      </w:r>
      <w:r>
        <w:rPr>
          <w:rFonts w:eastAsia="Times New Roman"/>
          <w:b/>
          <w:bCs/>
          <w:lang w:eastAsia="fr-BE"/>
        </w:rPr>
        <w:fldChar w:fldCharType="separate"/>
      </w:r>
      <w:r>
        <w:rPr>
          <w:rFonts w:ascii="Times New Roman" w:hAnsi="Times New Roman" w:cs="Times New Roman"/>
        </w:rPr>
        <w:t>1.</w:t>
      </w:r>
      <w:r>
        <w:rPr>
          <w:rFonts w:ascii="Times New Roman" w:hAnsi="Times New Roman" w:cs="Times New Roman"/>
        </w:rPr>
        <w:tab/>
        <w:t>Cardiovascular diseases (CVDs) [Internet]. [cité 16 janv 2026]. Disponible sur: https://www.who.int/news-room/fact-sheets/detail/cardiovascular-diseases-(cvds)</w:t>
      </w:r>
    </w:p>
    <w:p w14:paraId="6913A5F3" w14:textId="77777777" w:rsidR="00CA7084" w:rsidRDefault="005648BA">
      <w:pPr>
        <w:pStyle w:val="Bibliographie"/>
        <w:rPr>
          <w:rFonts w:ascii="Times New Roman" w:hAnsi="Times New Roman" w:cs="Times New Roman"/>
        </w:rPr>
      </w:pPr>
      <w:r>
        <w:rPr>
          <w:rFonts w:ascii="Times New Roman" w:hAnsi="Times New Roman" w:cs="Times New Roman"/>
        </w:rPr>
        <w:t>2.</w:t>
      </w:r>
      <w:r>
        <w:rPr>
          <w:rFonts w:ascii="Times New Roman" w:hAnsi="Times New Roman" w:cs="Times New Roman"/>
        </w:rPr>
        <w:tab/>
        <w:t>Charge mondiale de morbidité liée aux cardiopathies ischémiques de 2022 à 2050 : projections de l’incidence, de la prévalence, de la mortalité et des années de vie corrigées de l’incapacité | European Heart Journal - Quality of Care and Clinical Outcomes | Oxford Academic [Internet]. [cité 16 janv 2026]. Disponible sur: https://academic.oup.com/ehjqcco/article/11/4/355/7699087?utm_source=chatgpt.com</w:t>
      </w:r>
    </w:p>
    <w:p w14:paraId="31D2406F" w14:textId="77777777" w:rsidR="00CA7084" w:rsidRDefault="005648BA">
      <w:pPr>
        <w:pStyle w:val="Bibliographie"/>
        <w:rPr>
          <w:rFonts w:ascii="Times New Roman" w:hAnsi="Times New Roman" w:cs="Times New Roman"/>
        </w:rPr>
      </w:pPr>
      <w:r>
        <w:rPr>
          <w:rFonts w:ascii="Times New Roman" w:hAnsi="Times New Roman" w:cs="Times New Roman"/>
        </w:rPr>
        <w:t>3.</w:t>
      </w:r>
      <w:r>
        <w:rPr>
          <w:rFonts w:ascii="Times New Roman" w:hAnsi="Times New Roman" w:cs="Times New Roman"/>
        </w:rPr>
        <w:tab/>
        <w:t>Maladies cardiovasculaires (risque à 10 ans) | Étude de Framingham sur le cœur [Internet]. [cité 16 janv 2026]. Disponible sur: https://www.framinghamheartstudy.org/fhs-risk-functions/cardiovascular-disease-10-year-risk/?utm_source=chatgpt.com</w:t>
      </w:r>
    </w:p>
    <w:p w14:paraId="69FE9E0A"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4.</w:t>
      </w:r>
      <w:r>
        <w:rPr>
          <w:rFonts w:ascii="Times New Roman" w:hAnsi="Times New Roman" w:cs="Times New Roman"/>
          <w:lang w:val="en-US"/>
        </w:rPr>
        <w:tab/>
        <w:t xml:space="preserve">Collins GS, Reitsma JB, Altman DG, Moons KGM. Transparent reporting of a multivariable prediction model for individual prognosis or diagnosis (TRIPOD): the TRIPOD statement. BMJ. 7 janv 2015;350:g7594. </w:t>
      </w:r>
    </w:p>
    <w:p w14:paraId="6801DCEB"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lastRenderedPageBreak/>
        <w:t>5.</w:t>
      </w:r>
      <w:r>
        <w:rPr>
          <w:rFonts w:ascii="Times New Roman" w:hAnsi="Times New Roman" w:cs="Times New Roman"/>
          <w:lang w:val="en-US"/>
        </w:rPr>
        <w:tab/>
        <w:t xml:space="preserve">Dehghan A, Jahangiry L, Khezri R, Jafari A, Pezeshki B, Rezaei F, et al. Framingham risk scores for determination the 10-year risk of cardiovascular disease in participants with and without the metabolic syndrome: results of the Fasa Persian cohort study. BMC Endocr Disord. 24 juin 2024;24:95. </w:t>
      </w:r>
    </w:p>
    <w:p w14:paraId="2A8503CE" w14:textId="77777777" w:rsidR="00CA7084" w:rsidRDefault="005648BA">
      <w:pPr>
        <w:pStyle w:val="Bibliographie"/>
        <w:rPr>
          <w:rFonts w:ascii="Times New Roman" w:hAnsi="Times New Roman" w:cs="Times New Roman"/>
        </w:rPr>
      </w:pPr>
      <w:r>
        <w:rPr>
          <w:rFonts w:ascii="Times New Roman" w:hAnsi="Times New Roman" w:cs="Times New Roman"/>
          <w:lang w:val="en-US"/>
        </w:rPr>
        <w:t>6.</w:t>
      </w:r>
      <w:r>
        <w:rPr>
          <w:rFonts w:ascii="Times New Roman" w:hAnsi="Times New Roman" w:cs="Times New Roman"/>
          <w:lang w:val="en-US"/>
        </w:rPr>
        <w:tab/>
        <w:t xml:space="preserve">Papangelou C, Kyriakidis K, Natsiavas P, Chouvarda I, Malousi A. Reliable machine learning models in genomic medicine using conformal prediction. </w:t>
      </w:r>
      <w:r>
        <w:rPr>
          <w:rFonts w:ascii="Times New Roman" w:hAnsi="Times New Roman" w:cs="Times New Roman"/>
        </w:rPr>
        <w:t xml:space="preserve">Front Bioinforma. 24 févr 2025;5:1507448. </w:t>
      </w:r>
    </w:p>
    <w:p w14:paraId="4BEFC6E8" w14:textId="77777777" w:rsidR="00CA7084" w:rsidRDefault="005648BA">
      <w:pPr>
        <w:pStyle w:val="Bibliographie"/>
        <w:rPr>
          <w:rFonts w:ascii="Times New Roman" w:hAnsi="Times New Roman" w:cs="Times New Roman"/>
          <w:lang w:val="en-US"/>
        </w:rPr>
      </w:pPr>
      <w:r>
        <w:rPr>
          <w:rFonts w:ascii="Times New Roman" w:hAnsi="Times New Roman" w:cs="Times New Roman"/>
        </w:rPr>
        <w:t>7.</w:t>
      </w:r>
      <w:r>
        <w:rPr>
          <w:rFonts w:ascii="Times New Roman" w:hAnsi="Times New Roman" w:cs="Times New Roman"/>
        </w:rPr>
        <w:tab/>
        <w:t xml:space="preserve">Jaber E, Blot V, Brunel NJB, Chabridon V, Remy E, Iooss B, et al. </w:t>
      </w:r>
      <w:r>
        <w:rPr>
          <w:rFonts w:ascii="Times New Roman" w:hAnsi="Times New Roman" w:cs="Times New Roman"/>
          <w:lang w:val="en-US"/>
        </w:rPr>
        <w:t xml:space="preserve">CONFORMAL APPROACH TO GAUSSIAN PROCESS SURROGATE EVALUATION WITH MARGINAL COVERAGE GUARANTEES. 2025;6(3). </w:t>
      </w:r>
    </w:p>
    <w:p w14:paraId="48AEA0A7"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8.</w:t>
      </w:r>
      <w:r>
        <w:rPr>
          <w:rFonts w:ascii="Times New Roman" w:hAnsi="Times New Roman" w:cs="Times New Roman"/>
          <w:lang w:val="en-US"/>
        </w:rPr>
        <w:tab/>
        <w:t>Royston P, White IR. Multiple Imputation by Chained Equations (MICE): Implementation in Stata. J Stat Softw. 12 déc 2011;45:1</w:t>
      </w:r>
      <w:r>
        <w:rPr>
          <w:rFonts w:ascii="Times New Roman" w:hAnsi="Times New Roman" w:cs="Times New Roman"/>
          <w:lang w:val="en-US"/>
        </w:rPr>
        <w:noBreakHyphen/>
        <w:t xml:space="preserve">20. </w:t>
      </w:r>
    </w:p>
    <w:p w14:paraId="6E55EF7F"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9.</w:t>
      </w:r>
      <w:r>
        <w:rPr>
          <w:rFonts w:ascii="Times New Roman" w:hAnsi="Times New Roman" w:cs="Times New Roman"/>
          <w:lang w:val="en-US"/>
        </w:rPr>
        <w:tab/>
        <w:t>Moons KGM, Altman DG, Reitsma JB, Ioannidis JPA, Macaskill P, Steyerberg EW, et al. Transparent Reporting of a multivariable prediction model for Individual Prognosis Or Diagnosis (TRIPOD): Explanation and Elaboration. Ann Intern Med. 6 janv 2015;162(1):W1</w:t>
      </w:r>
      <w:r>
        <w:rPr>
          <w:rFonts w:ascii="Times New Roman" w:hAnsi="Times New Roman" w:cs="Times New Roman"/>
          <w:lang w:val="en-US"/>
        </w:rPr>
        <w:noBreakHyphen/>
        <w:t xml:space="preserve">73. </w:t>
      </w:r>
    </w:p>
    <w:p w14:paraId="71D1CA41"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10.</w:t>
      </w:r>
      <w:r>
        <w:rPr>
          <w:rFonts w:ascii="Times New Roman" w:hAnsi="Times New Roman" w:cs="Times New Roman"/>
          <w:lang w:val="en-US"/>
        </w:rPr>
        <w:tab/>
        <w:t xml:space="preserve">Papangelou C, Kyriakidis K, Natsiavas P, Chouvarda I, Malousi A. Reliable machine learning models in genomic medicine using conformal prediction. Front Bioinforma. 24 févr 2025;5:1507448. </w:t>
      </w:r>
    </w:p>
    <w:p w14:paraId="184907D7" w14:textId="77777777" w:rsidR="00CA7084" w:rsidRDefault="005648BA">
      <w:pPr>
        <w:pStyle w:val="Bibliographie"/>
        <w:rPr>
          <w:rFonts w:ascii="Times New Roman" w:hAnsi="Times New Roman" w:cs="Times New Roman"/>
        </w:rPr>
      </w:pPr>
      <w:r>
        <w:rPr>
          <w:rFonts w:ascii="Times New Roman" w:hAnsi="Times New Roman" w:cs="Times New Roman"/>
          <w:lang w:val="en-US"/>
        </w:rPr>
        <w:t>11.</w:t>
      </w:r>
      <w:r>
        <w:rPr>
          <w:rFonts w:ascii="Times New Roman" w:hAnsi="Times New Roman" w:cs="Times New Roman"/>
          <w:lang w:val="en-US"/>
        </w:rPr>
        <w:tab/>
        <w:t xml:space="preserve">Clinical Prediction Models: A Practical Approach to Development, Validation, and Updating (Statistics for Biology and Health): 9783030163983: Medicine &amp; Health Science Books @ Amazon.com [Internet]. </w:t>
      </w:r>
      <w:r>
        <w:rPr>
          <w:rFonts w:ascii="Times New Roman" w:hAnsi="Times New Roman" w:cs="Times New Roman"/>
        </w:rPr>
        <w:t>[cité 16 janv 2026]. Disponible sur: https://www.amazon.com/Clinical-Prediction-Models-Development-Validation/dp/3030163989?utm_source=chatgpt.com</w:t>
      </w:r>
    </w:p>
    <w:p w14:paraId="44BE900F"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12.</w:t>
      </w:r>
      <w:r>
        <w:rPr>
          <w:rFonts w:ascii="Times New Roman" w:hAnsi="Times New Roman" w:cs="Times New Roman"/>
          <w:lang w:val="en-US"/>
        </w:rPr>
        <w:tab/>
        <w:t>Cardiovascular Risk Factors. Insights From Framingham Heart Study. Rev Esp Cardiol Engl Ed. 1 mars 2008;61(3):299</w:t>
      </w:r>
      <w:r>
        <w:rPr>
          <w:rFonts w:ascii="Times New Roman" w:hAnsi="Times New Roman" w:cs="Times New Roman"/>
          <w:lang w:val="en-US"/>
        </w:rPr>
        <w:noBreakHyphen/>
        <w:t xml:space="preserve">310. </w:t>
      </w:r>
    </w:p>
    <w:p w14:paraId="5DA957D4"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13.</w:t>
      </w:r>
      <w:r>
        <w:rPr>
          <w:rFonts w:ascii="Times New Roman" w:hAnsi="Times New Roman" w:cs="Times New Roman"/>
          <w:lang w:val="en-US"/>
        </w:rPr>
        <w:tab/>
        <w:t>Steyerberg EW. Validation of Prediction Models. In: Steyerberg EW, éditeur. Clinical Prediction Models: A Practical Approach to Development, Validation, and Updating [Internet]. Cham: Springer International Publishing; 2019 [cité 16 janv 2026]. p. 329</w:t>
      </w:r>
      <w:r>
        <w:rPr>
          <w:rFonts w:ascii="Times New Roman" w:hAnsi="Times New Roman" w:cs="Times New Roman"/>
          <w:lang w:val="en-US"/>
        </w:rPr>
        <w:noBreakHyphen/>
        <w:t>44. Disponible sur: https://doi.org/10.1007/978-3-030-16399-0_17</w:t>
      </w:r>
    </w:p>
    <w:p w14:paraId="449B4BB0"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14.</w:t>
      </w:r>
      <w:r>
        <w:rPr>
          <w:rFonts w:ascii="Times New Roman" w:hAnsi="Times New Roman" w:cs="Times New Roman"/>
          <w:lang w:val="en-US"/>
        </w:rPr>
        <w:tab/>
        <w:t>Zhang Z. Prediction of heart disease based on logistic regression. Theor Nat Sci. 31 août 2024;51:1</w:t>
      </w:r>
      <w:r>
        <w:rPr>
          <w:rFonts w:ascii="Times New Roman" w:hAnsi="Times New Roman" w:cs="Times New Roman"/>
          <w:lang w:val="en-US"/>
        </w:rPr>
        <w:noBreakHyphen/>
        <w:t xml:space="preserve">7. </w:t>
      </w:r>
    </w:p>
    <w:p w14:paraId="14B37974" w14:textId="77777777" w:rsidR="00CA7084" w:rsidRDefault="005648BA">
      <w:pPr>
        <w:pStyle w:val="Bibliographie"/>
        <w:rPr>
          <w:rFonts w:ascii="Times New Roman" w:hAnsi="Times New Roman" w:cs="Times New Roman"/>
        </w:rPr>
      </w:pPr>
      <w:r>
        <w:rPr>
          <w:rFonts w:ascii="Times New Roman" w:hAnsi="Times New Roman" w:cs="Times New Roman"/>
          <w:lang w:val="en-US"/>
        </w:rPr>
        <w:t>15.</w:t>
      </w:r>
      <w:r>
        <w:rPr>
          <w:rFonts w:ascii="Times New Roman" w:hAnsi="Times New Roman" w:cs="Times New Roman"/>
          <w:lang w:val="en-US"/>
        </w:rPr>
        <w:tab/>
        <w:t xml:space="preserve">Steyerberg EW. Statistical Models for Prediction. In: Steyerberg EW, éditeur. Clinical Prediction Models: A Practical Approach to Development, Validation, and Updating [Internet]. </w:t>
      </w:r>
      <w:r>
        <w:rPr>
          <w:rFonts w:ascii="Times New Roman" w:hAnsi="Times New Roman" w:cs="Times New Roman"/>
        </w:rPr>
        <w:t>Cham: Springer International Publishing; 2019 [cité 16 janv 2026]. p. 59</w:t>
      </w:r>
      <w:r>
        <w:rPr>
          <w:rFonts w:ascii="Times New Roman" w:hAnsi="Times New Roman" w:cs="Times New Roman"/>
        </w:rPr>
        <w:noBreakHyphen/>
        <w:t>93. Disponible sur: https://doi.org/10.1007/978-3-030-16399-0_4</w:t>
      </w:r>
    </w:p>
    <w:p w14:paraId="44471ACD" w14:textId="77777777" w:rsidR="00CA7084" w:rsidRDefault="005648BA">
      <w:pPr>
        <w:pStyle w:val="Bibliographie"/>
        <w:rPr>
          <w:rFonts w:ascii="Times New Roman" w:hAnsi="Times New Roman" w:cs="Times New Roman"/>
        </w:rPr>
      </w:pPr>
      <w:r>
        <w:rPr>
          <w:rFonts w:ascii="Times New Roman" w:hAnsi="Times New Roman" w:cs="Times New Roman"/>
        </w:rPr>
        <w:t>16.</w:t>
      </w:r>
      <w:r>
        <w:rPr>
          <w:rFonts w:ascii="Times New Roman" w:hAnsi="Times New Roman" w:cs="Times New Roman"/>
        </w:rPr>
        <w:tab/>
        <w:t>https://stefvanbuuren.name/fimd/index.html [Internet]. [cité 16 janv 2026]. Disponible sur: https://stefvanbuuren.name/fimd/index.html</w:t>
      </w:r>
    </w:p>
    <w:p w14:paraId="76DC0522"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17.</w:t>
      </w:r>
      <w:r>
        <w:rPr>
          <w:rFonts w:ascii="Times New Roman" w:hAnsi="Times New Roman" w:cs="Times New Roman"/>
          <w:lang w:val="en-US"/>
        </w:rPr>
        <w:tab/>
        <w:t>Buuren S van, Groothuis-Oudshoorn K. mice: Multivariate Imputation by Chained Equations in R. J Stat Softw. 12 déc 2011;45:1</w:t>
      </w:r>
      <w:r>
        <w:rPr>
          <w:rFonts w:ascii="Times New Roman" w:hAnsi="Times New Roman" w:cs="Times New Roman"/>
          <w:lang w:val="en-US"/>
        </w:rPr>
        <w:noBreakHyphen/>
        <w:t xml:space="preserve">67. </w:t>
      </w:r>
    </w:p>
    <w:p w14:paraId="71BDE14F"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lastRenderedPageBreak/>
        <w:t>18.</w:t>
      </w:r>
      <w:r>
        <w:rPr>
          <w:rFonts w:ascii="Times New Roman" w:hAnsi="Times New Roman" w:cs="Times New Roman"/>
          <w:lang w:val="en-US"/>
        </w:rPr>
        <w:tab/>
        <w:t>Multiple imputation using chained equations: Issues and guidance for practice. Stat Med. 20 févr 2011;30(4):377</w:t>
      </w:r>
      <w:r>
        <w:rPr>
          <w:rFonts w:ascii="Times New Roman" w:hAnsi="Times New Roman" w:cs="Times New Roman"/>
          <w:lang w:val="en-US"/>
        </w:rPr>
        <w:noBreakHyphen/>
        <w:t xml:space="preserve">99. </w:t>
      </w:r>
    </w:p>
    <w:p w14:paraId="1C798C90"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19.</w:t>
      </w:r>
      <w:r>
        <w:rPr>
          <w:rFonts w:ascii="Times New Roman" w:hAnsi="Times New Roman" w:cs="Times New Roman"/>
          <w:lang w:val="en-US"/>
        </w:rPr>
        <w:tab/>
        <w:t xml:space="preserve">Little RJA, Rubin DB. Statistical Analysis with Missing Data. John Wiley &amp; Sons; 2019. 462 p. </w:t>
      </w:r>
    </w:p>
    <w:p w14:paraId="7E122356"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20.</w:t>
      </w:r>
      <w:r>
        <w:rPr>
          <w:rFonts w:ascii="Times New Roman" w:hAnsi="Times New Roman" w:cs="Times New Roman"/>
          <w:lang w:val="en-US"/>
        </w:rPr>
        <w:tab/>
        <w:t xml:space="preserve">Efthimiou O, Seo M, Chalkou K, Debray T, Egger M, Salanti G. Developing clinical prediction models: a step-by-step guide. BMJ. 3 sept 2024;386:e078276. </w:t>
      </w:r>
    </w:p>
    <w:p w14:paraId="18E28ED5"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21.</w:t>
      </w:r>
      <w:r>
        <w:rPr>
          <w:rFonts w:ascii="Times New Roman" w:hAnsi="Times New Roman" w:cs="Times New Roman"/>
          <w:lang w:val="en-US"/>
        </w:rPr>
        <w:tab/>
        <w:t>He H, Garcia EA. Learning from Imbalanced Data. Knowl Data Eng IEEE Trans On. 1 oct 2009;21:1263</w:t>
      </w:r>
      <w:r>
        <w:rPr>
          <w:rFonts w:ascii="Times New Roman" w:hAnsi="Times New Roman" w:cs="Times New Roman"/>
          <w:lang w:val="en-US"/>
        </w:rPr>
        <w:noBreakHyphen/>
        <w:t xml:space="preserve">84. </w:t>
      </w:r>
    </w:p>
    <w:p w14:paraId="468E4D22"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22.</w:t>
      </w:r>
      <w:r>
        <w:rPr>
          <w:rFonts w:ascii="Times New Roman" w:hAnsi="Times New Roman" w:cs="Times New Roman"/>
          <w:lang w:val="en-US"/>
        </w:rPr>
        <w:tab/>
        <w:t>Chawla NV, Bowyer KW, Hall LO, Kegelmeyer WP. SMOTE: Synthetic Minority Over-sampling Technique. J Artif Intell Res. 1 juin 2002;16:321</w:t>
      </w:r>
      <w:r>
        <w:rPr>
          <w:rFonts w:ascii="Times New Roman" w:hAnsi="Times New Roman" w:cs="Times New Roman"/>
          <w:lang w:val="en-US"/>
        </w:rPr>
        <w:noBreakHyphen/>
        <w:t xml:space="preserve">57. </w:t>
      </w:r>
    </w:p>
    <w:p w14:paraId="5C31DD54"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23.</w:t>
      </w:r>
      <w:r>
        <w:rPr>
          <w:rFonts w:ascii="Times New Roman" w:hAnsi="Times New Roman" w:cs="Times New Roman"/>
          <w:lang w:val="en-US"/>
        </w:rPr>
        <w:tab/>
        <w:t xml:space="preserve">Steyerberg E. Clinical Prediction Models: A Practical Approach to Development, Validation, and Updating. Vol. 19. 2009. </w:t>
      </w:r>
    </w:p>
    <w:p w14:paraId="0004C067"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24.</w:t>
      </w:r>
      <w:r>
        <w:rPr>
          <w:rFonts w:ascii="Times New Roman" w:hAnsi="Times New Roman" w:cs="Times New Roman"/>
          <w:lang w:val="en-US"/>
        </w:rPr>
        <w:tab/>
        <w:t>Breiman L. Random Forests. Mach Learn. 1 oct 2001;45(1):5</w:t>
      </w:r>
      <w:r>
        <w:rPr>
          <w:rFonts w:ascii="Times New Roman" w:hAnsi="Times New Roman" w:cs="Times New Roman"/>
          <w:lang w:val="en-US"/>
        </w:rPr>
        <w:noBreakHyphen/>
        <w:t xml:space="preserve">32. </w:t>
      </w:r>
    </w:p>
    <w:p w14:paraId="5155DD93"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25.</w:t>
      </w:r>
      <w:r>
        <w:rPr>
          <w:rFonts w:ascii="Times New Roman" w:hAnsi="Times New Roman" w:cs="Times New Roman"/>
          <w:lang w:val="en-US"/>
        </w:rPr>
        <w:tab/>
        <w:t>Chen T, Guestrin C. XGBoost: A Scalable Tree Boosting System. In: Proceedings of the 22nd ACM SIGKDD International Conference on Knowledge Discovery and Data Mining [Internet]. New York, NY, USA: Association for Computing Machinery; 2016 [cité 16 janv 2026]. p. 785</w:t>
      </w:r>
      <w:r>
        <w:rPr>
          <w:rFonts w:ascii="Times New Roman" w:hAnsi="Times New Roman" w:cs="Times New Roman"/>
          <w:lang w:val="en-US"/>
        </w:rPr>
        <w:noBreakHyphen/>
        <w:t>94. (KDD ’16). Disponible sur: https://dl.acm.org/doi/10.1145/2939672.2939785</w:t>
      </w:r>
    </w:p>
    <w:p w14:paraId="6622260B"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26.</w:t>
      </w:r>
      <w:r>
        <w:rPr>
          <w:rFonts w:ascii="Times New Roman" w:hAnsi="Times New Roman" w:cs="Times New Roman"/>
          <w:lang w:val="en-US"/>
        </w:rPr>
        <w:tab/>
        <w:t xml:space="preserve">Saito T, Rehmsmeier M. The Precision-Recall Plot Is More Informative than the ROC Plot When Evaluating Binary Classifiers on Imbalanced Datasets. PLOS ONE. 4 mars 2015;10(3):e0118432. </w:t>
      </w:r>
    </w:p>
    <w:p w14:paraId="471A734D"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27.</w:t>
      </w:r>
      <w:r>
        <w:rPr>
          <w:rFonts w:ascii="Times New Roman" w:hAnsi="Times New Roman" w:cs="Times New Roman"/>
          <w:lang w:val="en-US"/>
        </w:rPr>
        <w:tab/>
        <w:t>Brier GW. VERIFICATION OF FORECASTS EXPRESSED IN TERMS OF PROBABILITY. Mon Weather Rev. 1 janv 1950;78(1):1</w:t>
      </w:r>
      <w:r>
        <w:rPr>
          <w:rFonts w:ascii="Times New Roman" w:hAnsi="Times New Roman" w:cs="Times New Roman"/>
          <w:lang w:val="en-US"/>
        </w:rPr>
        <w:noBreakHyphen/>
        <w:t xml:space="preserve">3. </w:t>
      </w:r>
    </w:p>
    <w:p w14:paraId="5CC61BC0" w14:textId="77777777" w:rsidR="00CA7084" w:rsidRDefault="005648BA">
      <w:pPr>
        <w:pStyle w:val="Bibliographie"/>
        <w:rPr>
          <w:rFonts w:ascii="Times New Roman" w:hAnsi="Times New Roman" w:cs="Times New Roman"/>
        </w:rPr>
      </w:pPr>
      <w:r>
        <w:rPr>
          <w:rFonts w:ascii="Times New Roman" w:hAnsi="Times New Roman" w:cs="Times New Roman"/>
          <w:lang w:val="en-US"/>
        </w:rPr>
        <w:t>28.</w:t>
      </w:r>
      <w:r>
        <w:rPr>
          <w:rFonts w:ascii="Times New Roman" w:hAnsi="Times New Roman" w:cs="Times New Roman"/>
          <w:lang w:val="en-US"/>
        </w:rPr>
        <w:tab/>
        <w:t xml:space="preserve">Smith GCS, Seaman SR, Wood AM, Royston P, White IR. Correcting for Optimistic Prediction in Small Data Sets. </w:t>
      </w:r>
      <w:r>
        <w:rPr>
          <w:rFonts w:ascii="Times New Roman" w:hAnsi="Times New Roman" w:cs="Times New Roman"/>
        </w:rPr>
        <w:t>Am J Epidemiol. 1 août 2014;180(3):318</w:t>
      </w:r>
      <w:r>
        <w:rPr>
          <w:rFonts w:ascii="Times New Roman" w:hAnsi="Times New Roman" w:cs="Times New Roman"/>
        </w:rPr>
        <w:noBreakHyphen/>
        <w:t xml:space="preserve">24. </w:t>
      </w:r>
    </w:p>
    <w:p w14:paraId="3723793B" w14:textId="77777777" w:rsidR="00CA7084" w:rsidRDefault="005648BA">
      <w:pPr>
        <w:pStyle w:val="Bibliographie"/>
        <w:rPr>
          <w:rFonts w:ascii="Times New Roman" w:hAnsi="Times New Roman" w:cs="Times New Roman"/>
        </w:rPr>
      </w:pPr>
      <w:r>
        <w:rPr>
          <w:rFonts w:ascii="Times New Roman" w:hAnsi="Times New Roman" w:cs="Times New Roman"/>
        </w:rPr>
        <w:t>29.</w:t>
      </w:r>
      <w:r>
        <w:rPr>
          <w:rFonts w:ascii="Times New Roman" w:hAnsi="Times New Roman" w:cs="Times New Roman"/>
        </w:rPr>
        <w:tab/>
        <w:t xml:space="preserve">Efron B. Introduction à Bootstrap. 456 p. </w:t>
      </w:r>
    </w:p>
    <w:p w14:paraId="66EE9629" w14:textId="77777777" w:rsidR="00CA7084" w:rsidRDefault="005648BA">
      <w:pPr>
        <w:pStyle w:val="Bibliographie"/>
        <w:rPr>
          <w:rFonts w:ascii="Times New Roman" w:hAnsi="Times New Roman" w:cs="Times New Roman"/>
        </w:rPr>
      </w:pPr>
      <w:r>
        <w:rPr>
          <w:rFonts w:ascii="Times New Roman" w:hAnsi="Times New Roman" w:cs="Times New Roman"/>
        </w:rPr>
        <w:t>30.</w:t>
      </w:r>
      <w:r>
        <w:rPr>
          <w:rFonts w:ascii="Times New Roman" w:hAnsi="Times New Roman" w:cs="Times New Roman"/>
        </w:rPr>
        <w:tab/>
        <w:t xml:space="preserve">Farooq V, Brugaletta S, Vranckx P, Serruys PW. </w:t>
      </w:r>
      <w:r>
        <w:rPr>
          <w:rFonts w:ascii="Times New Roman" w:hAnsi="Times New Roman" w:cs="Times New Roman"/>
          <w:lang w:val="en-US"/>
        </w:rPr>
        <w:t xml:space="preserve">A guide to interpreting and assessing the performance of prediction models [Internet]. </w:t>
      </w:r>
      <w:r>
        <w:rPr>
          <w:rFonts w:ascii="Times New Roman" w:hAnsi="Times New Roman" w:cs="Times New Roman"/>
        </w:rPr>
        <w:t>[cité 16 janv 2026]. Disponible sur: https://eurointervention.pcronline.com/article/a-guide-to-interpreting-and-assessing-the-performance-of-prediction-models</w:t>
      </w:r>
    </w:p>
    <w:p w14:paraId="6A0398E8" w14:textId="77777777" w:rsidR="00CA7084" w:rsidRDefault="005648BA">
      <w:pPr>
        <w:pStyle w:val="Bibliographie"/>
        <w:rPr>
          <w:rFonts w:ascii="Times New Roman" w:hAnsi="Times New Roman" w:cs="Times New Roman"/>
        </w:rPr>
      </w:pPr>
      <w:r>
        <w:rPr>
          <w:rFonts w:ascii="Times New Roman" w:hAnsi="Times New Roman" w:cs="Times New Roman"/>
          <w:lang w:val="en-US"/>
        </w:rPr>
        <w:t>31.</w:t>
      </w:r>
      <w:r>
        <w:rPr>
          <w:rFonts w:ascii="Times New Roman" w:hAnsi="Times New Roman" w:cs="Times New Roman"/>
          <w:lang w:val="en-US"/>
        </w:rPr>
        <w:tab/>
        <w:t xml:space="preserve">Assel M, Sjoberg DD, Vickers AJ. The Brier score does not evaluate the clinical utility of diagnostic tests or prediction models. </w:t>
      </w:r>
      <w:r>
        <w:rPr>
          <w:rFonts w:ascii="Times New Roman" w:hAnsi="Times New Roman" w:cs="Times New Roman"/>
        </w:rPr>
        <w:t xml:space="preserve">Diagn Progn Res. 2 déc 2017;1:19. </w:t>
      </w:r>
    </w:p>
    <w:p w14:paraId="270DD958" w14:textId="77777777" w:rsidR="00CA7084" w:rsidRDefault="005648BA">
      <w:pPr>
        <w:pStyle w:val="Bibliographie"/>
        <w:rPr>
          <w:rFonts w:ascii="Times New Roman" w:hAnsi="Times New Roman" w:cs="Times New Roman"/>
        </w:rPr>
      </w:pPr>
      <w:r>
        <w:rPr>
          <w:rFonts w:ascii="Times New Roman" w:hAnsi="Times New Roman" w:cs="Times New Roman"/>
        </w:rPr>
        <w:t>32.</w:t>
      </w:r>
      <w:r>
        <w:rPr>
          <w:rFonts w:ascii="Times New Roman" w:hAnsi="Times New Roman" w:cs="Times New Roman"/>
        </w:rPr>
        <w:tab/>
        <w:t>Shafer G, Vovk V. A tutorial on conformal prediction [Internet]. arXiv; 2007 [cité 16 janv 2026]. Disponible sur: http://arxiv.org/abs/0706.3188</w:t>
      </w:r>
    </w:p>
    <w:p w14:paraId="5957CF5F"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33.</w:t>
      </w:r>
      <w:r>
        <w:rPr>
          <w:rFonts w:ascii="Times New Roman" w:hAnsi="Times New Roman" w:cs="Times New Roman"/>
          <w:lang w:val="en-US"/>
        </w:rPr>
        <w:tab/>
        <w:t xml:space="preserve">Ding T, Angelopoulos AN, Bates S, Jordan MI, Tibshirani RJ. Class-Conditional Conformal Prediction with Many Classes. </w:t>
      </w:r>
    </w:p>
    <w:p w14:paraId="18BB5784" w14:textId="77777777" w:rsidR="00CA7084" w:rsidRDefault="005648BA">
      <w:pPr>
        <w:pStyle w:val="Bibliographie"/>
        <w:rPr>
          <w:rFonts w:ascii="Times New Roman" w:hAnsi="Times New Roman" w:cs="Times New Roman"/>
        </w:rPr>
      </w:pPr>
      <w:r>
        <w:rPr>
          <w:rFonts w:ascii="Times New Roman" w:hAnsi="Times New Roman" w:cs="Times New Roman"/>
          <w:lang w:val="en-US"/>
        </w:rPr>
        <w:lastRenderedPageBreak/>
        <w:t>34.</w:t>
      </w:r>
      <w:r>
        <w:rPr>
          <w:rFonts w:ascii="Times New Roman" w:hAnsi="Times New Roman" w:cs="Times New Roman"/>
          <w:lang w:val="en-US"/>
        </w:rPr>
        <w:tab/>
        <w:t xml:space="preserve">Buuren S van, Groothuis-Oudshoorn CGM. mice: Multivariate Imputation by Chained Equations in R. J Stat Softw [Internet]. </w:t>
      </w:r>
      <w:r>
        <w:rPr>
          <w:rFonts w:ascii="Times New Roman" w:hAnsi="Times New Roman" w:cs="Times New Roman"/>
        </w:rPr>
        <w:t>2011 [cité 16 janv 2026];45(3). Disponible sur: https://research.utwente.nl/en/publications/mice-multivariate-imputation-by-chained-equations-in-r/</w:t>
      </w:r>
    </w:p>
    <w:p w14:paraId="66191AEC"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35.</w:t>
      </w:r>
      <w:r>
        <w:rPr>
          <w:rFonts w:ascii="Times New Roman" w:hAnsi="Times New Roman" w:cs="Times New Roman"/>
          <w:lang w:val="en-US"/>
        </w:rPr>
        <w:tab/>
        <w:t>He H, Garcia EA. Learning from Imbalanced Data. IEEE Trans Knowl Data Eng. 1 sept 2009;21(9):1263</w:t>
      </w:r>
      <w:r>
        <w:rPr>
          <w:rFonts w:ascii="Times New Roman" w:hAnsi="Times New Roman" w:cs="Times New Roman"/>
          <w:lang w:val="en-US"/>
        </w:rPr>
        <w:noBreakHyphen/>
        <w:t xml:space="preserve">84. </w:t>
      </w:r>
    </w:p>
    <w:p w14:paraId="6C2AC3DF" w14:textId="77777777" w:rsidR="00CA7084" w:rsidRDefault="005648BA">
      <w:pPr>
        <w:pStyle w:val="Bibliographie"/>
        <w:rPr>
          <w:rFonts w:ascii="Times New Roman" w:hAnsi="Times New Roman" w:cs="Times New Roman"/>
        </w:rPr>
      </w:pPr>
      <w:r>
        <w:rPr>
          <w:rFonts w:ascii="Times New Roman" w:hAnsi="Times New Roman" w:cs="Times New Roman"/>
          <w:lang w:val="en-US"/>
        </w:rPr>
        <w:t>36.</w:t>
      </w:r>
      <w:r>
        <w:rPr>
          <w:rFonts w:ascii="Times New Roman" w:hAnsi="Times New Roman" w:cs="Times New Roman"/>
          <w:lang w:val="en-US"/>
        </w:rPr>
        <w:tab/>
        <w:t xml:space="preserve">Clinical Prediction Models: A Practical Approach to Development, Validation, and Updating | Springer Nature Link [Internet]. </w:t>
      </w:r>
      <w:r>
        <w:rPr>
          <w:rFonts w:ascii="Times New Roman" w:hAnsi="Times New Roman" w:cs="Times New Roman"/>
        </w:rPr>
        <w:t>[cité 16 janv 2026]. Disponible sur: https://link.springer.com/book/10.1007/978-0-387-77244-8?referer=www.springeronline.com&amp;utm_source=chatgpt.com</w:t>
      </w:r>
    </w:p>
    <w:p w14:paraId="3FA930AE"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37.</w:t>
      </w:r>
      <w:r>
        <w:rPr>
          <w:rFonts w:ascii="Times New Roman" w:hAnsi="Times New Roman" w:cs="Times New Roman"/>
          <w:lang w:val="en-US"/>
        </w:rPr>
        <w:tab/>
        <w:t>Kwakye K, Dadzie E. Machine Learning-Based Classification Algorithms for the Prediction of Coronary Heart Diseases [Internet]. arXiv; 2021 [cité 16 janv 2026]. Disponible sur: http://arxiv.org/abs/2112.01503</w:t>
      </w:r>
    </w:p>
    <w:p w14:paraId="58BD67FD"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38.</w:t>
      </w:r>
      <w:r>
        <w:rPr>
          <w:rFonts w:ascii="Times New Roman" w:hAnsi="Times New Roman" w:cs="Times New Roman"/>
          <w:lang w:val="en-US"/>
        </w:rPr>
        <w:tab/>
        <w:t>van den Goorbergh R, van Smeden M, Timmerman D, Van Calster B. The harm of class imbalance corrections for risk prediction models: illustration and simulation using logistic regression. J Am Med Inform Assoc JAMIA. 16 août 2022;29(9):1525</w:t>
      </w:r>
      <w:r>
        <w:rPr>
          <w:rFonts w:ascii="Times New Roman" w:hAnsi="Times New Roman" w:cs="Times New Roman"/>
          <w:lang w:val="en-US"/>
        </w:rPr>
        <w:noBreakHyphen/>
        <w:t xml:space="preserve">34. </w:t>
      </w:r>
    </w:p>
    <w:p w14:paraId="754B3A83"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39.</w:t>
      </w:r>
      <w:r>
        <w:rPr>
          <w:rFonts w:ascii="Times New Roman" w:hAnsi="Times New Roman" w:cs="Times New Roman"/>
          <w:lang w:val="en-US"/>
        </w:rPr>
        <w:tab/>
        <w:t xml:space="preserve">Collins GS, Reitsma JB, Altman DG, Moons KGM. Transparent reporting of a multivariable prediction model for individual prognosis or diagnosis (TRIPOD): the TRIPOD statement. BMJ. 7 janv 2015;350:g7594. </w:t>
      </w:r>
    </w:p>
    <w:p w14:paraId="6210991E" w14:textId="77777777" w:rsidR="00CA7084" w:rsidRDefault="005648BA">
      <w:pPr>
        <w:pStyle w:val="Bibliographie"/>
        <w:rPr>
          <w:rFonts w:ascii="Times New Roman" w:hAnsi="Times New Roman" w:cs="Times New Roman"/>
        </w:rPr>
      </w:pPr>
      <w:r>
        <w:rPr>
          <w:rFonts w:ascii="Times New Roman" w:hAnsi="Times New Roman" w:cs="Times New Roman"/>
          <w:lang w:val="en-US"/>
        </w:rPr>
        <w:t>40.</w:t>
      </w:r>
      <w:r>
        <w:rPr>
          <w:rFonts w:ascii="Times New Roman" w:hAnsi="Times New Roman" w:cs="Times New Roman"/>
          <w:lang w:val="en-US"/>
        </w:rPr>
        <w:tab/>
        <w:t xml:space="preserve">Impact of random oversampling and random undersampling on the performance of prediction models developed using observational health data | Journal of Big Data | Springer Nature Link [Internet]. </w:t>
      </w:r>
      <w:r>
        <w:rPr>
          <w:rFonts w:ascii="Times New Roman" w:hAnsi="Times New Roman" w:cs="Times New Roman"/>
        </w:rPr>
        <w:t>[cité 16 janv 2026]. Disponible sur: https://link.springer.com/article/10.1186/s40537-023-00857-7?utm_source=chatgpt.com</w:t>
      </w:r>
    </w:p>
    <w:p w14:paraId="31CEF289" w14:textId="77777777" w:rsidR="00CA7084" w:rsidRDefault="005648BA">
      <w:pPr>
        <w:pStyle w:val="Bibliographie"/>
        <w:rPr>
          <w:rFonts w:ascii="Times New Roman" w:hAnsi="Times New Roman" w:cs="Times New Roman"/>
          <w:lang w:val="en-US"/>
        </w:rPr>
      </w:pPr>
      <w:r>
        <w:rPr>
          <w:rFonts w:ascii="Times New Roman" w:hAnsi="Times New Roman" w:cs="Times New Roman"/>
        </w:rPr>
        <w:t>41.</w:t>
      </w:r>
      <w:r>
        <w:rPr>
          <w:rFonts w:ascii="Times New Roman" w:hAnsi="Times New Roman" w:cs="Times New Roman"/>
        </w:rPr>
        <w:tab/>
        <w:t xml:space="preserve">Hoblos R, Dridi N, Zerhouni N, Masry ZA. </w:t>
      </w:r>
      <w:r>
        <w:rPr>
          <w:rFonts w:ascii="Times New Roman" w:hAnsi="Times New Roman" w:cs="Times New Roman"/>
          <w:lang w:val="en-US"/>
        </w:rPr>
        <w:t xml:space="preserve">An Uncertainty Quantification Method Based on Evidence theory and Conformal Prediction. </w:t>
      </w:r>
    </w:p>
    <w:p w14:paraId="6B3B350E"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42.</w:t>
      </w:r>
      <w:r>
        <w:rPr>
          <w:rFonts w:ascii="Times New Roman" w:hAnsi="Times New Roman" w:cs="Times New Roman"/>
          <w:lang w:val="en-US"/>
        </w:rPr>
        <w:tab/>
        <w:t xml:space="preserve">Gade M, Nguyen KM, Gedde S, Fernandez-Quilez A. Impact of uncertainty quantification through conformal prediction on volume assessment from deep learning-based MRI prostate segmentation. Insights Imaging. 29 nov 2024;15(1):286. </w:t>
      </w:r>
    </w:p>
    <w:p w14:paraId="596F3845"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43.</w:t>
      </w:r>
      <w:r>
        <w:rPr>
          <w:rFonts w:ascii="Times New Roman" w:hAnsi="Times New Roman" w:cs="Times New Roman"/>
          <w:lang w:val="en-US"/>
        </w:rPr>
        <w:tab/>
        <w:t xml:space="preserve">Collins GS, Moons KGM, Dhiman P, Riley RD, Beam AL, Van Calster B, et al. TRIPOD+AI statement: updated guidance for reporting clinical prediction models that use regression or machine learning methods. BMJ. 16 avr 2024;385:e078378. </w:t>
      </w:r>
    </w:p>
    <w:p w14:paraId="1ACE9559" w14:textId="77777777" w:rsidR="00CA7084" w:rsidRDefault="005648BA">
      <w:pPr>
        <w:pStyle w:val="Bibliographie"/>
        <w:rPr>
          <w:rFonts w:ascii="Times New Roman" w:hAnsi="Times New Roman" w:cs="Times New Roman"/>
          <w:lang w:val="en-US"/>
        </w:rPr>
      </w:pPr>
      <w:r>
        <w:rPr>
          <w:rFonts w:ascii="Times New Roman" w:hAnsi="Times New Roman" w:cs="Times New Roman"/>
          <w:lang w:val="en-US"/>
        </w:rPr>
        <w:t>44.</w:t>
      </w:r>
      <w:r>
        <w:rPr>
          <w:rFonts w:ascii="Times New Roman" w:hAnsi="Times New Roman" w:cs="Times New Roman"/>
          <w:lang w:val="en-US"/>
        </w:rPr>
        <w:tab/>
        <w:t xml:space="preserve">Collins GS, Reitsma JB, Altman DG, Moons KGM. Transparent reporting of a multivariable prediction model for individual prognosis or diagnosis (TRIPOD): the TRIPOD statement. BMJ. 7 janv 2015;350:g7594. </w:t>
      </w:r>
    </w:p>
    <w:p w14:paraId="0244287D" w14:textId="77777777" w:rsidR="00CA7084" w:rsidRDefault="005648BA">
      <w:pPr>
        <w:pStyle w:val="Bibliographie"/>
        <w:rPr>
          <w:rFonts w:ascii="Times New Roman" w:hAnsi="Times New Roman" w:cs="Times New Roman"/>
        </w:rPr>
      </w:pPr>
      <w:r>
        <w:rPr>
          <w:rFonts w:ascii="Times New Roman" w:hAnsi="Times New Roman" w:cs="Times New Roman"/>
          <w:lang w:val="en-US"/>
        </w:rPr>
        <w:t>45.</w:t>
      </w:r>
      <w:r>
        <w:rPr>
          <w:rFonts w:ascii="Times New Roman" w:hAnsi="Times New Roman" w:cs="Times New Roman"/>
          <w:lang w:val="en-US"/>
        </w:rPr>
        <w:tab/>
        <w:t xml:space="preserve">Buuren S van, Groothuis-Oudshoorn CGM. mice: Multivariate Imputation by Chained Equations in R. J Stat Softw [Internet]. </w:t>
      </w:r>
      <w:r>
        <w:rPr>
          <w:rFonts w:ascii="Times New Roman" w:hAnsi="Times New Roman" w:cs="Times New Roman"/>
        </w:rPr>
        <w:t>2011 [cité 16 janv 2026];45(3). Disponible sur: https://research.utwente.nl/en/publications/mice-multivariate-imputation-by-chained-equations-in-r/</w:t>
      </w:r>
    </w:p>
    <w:p w14:paraId="0BD1FCE2" w14:textId="77777777" w:rsidR="00CA7084" w:rsidRDefault="005648BA">
      <w:pPr>
        <w:spacing w:beforeAutospacing="1" w:afterAutospacing="1"/>
        <w:jc w:val="both"/>
        <w:rPr>
          <w:rFonts w:ascii="Times New Roman" w:eastAsia="Times New Roman" w:hAnsi="Times New Roman" w:cs="Times New Roman"/>
          <w:b/>
          <w:bCs/>
          <w:kern w:val="0"/>
          <w:lang w:eastAsia="fr-BE"/>
          <w14:ligatures w14:val="none"/>
        </w:rPr>
      </w:pPr>
      <w:r>
        <w:rPr>
          <w:rFonts w:eastAsia="Times New Roman"/>
          <w:b/>
          <w:bCs/>
          <w:lang w:eastAsia="fr-BE"/>
        </w:rPr>
        <w:fldChar w:fldCharType="end"/>
      </w:r>
    </w:p>
    <w:p w14:paraId="11DF29CC" w14:textId="77777777" w:rsidR="00CA7084" w:rsidRDefault="005648BA">
      <w:pPr>
        <w:rPr>
          <w:rFonts w:ascii="Times New Roman" w:eastAsia="Times New Roman" w:hAnsi="Times New Roman" w:cs="Times New Roman"/>
          <w:b/>
          <w:bCs/>
          <w:kern w:val="0"/>
          <w:lang w:eastAsia="fr-BE"/>
          <w14:ligatures w14:val="none"/>
        </w:rPr>
      </w:pPr>
      <w:r>
        <w:lastRenderedPageBreak/>
        <w:br w:type="page"/>
      </w:r>
    </w:p>
    <w:p w14:paraId="39532A5A" w14:textId="77777777" w:rsidR="00CA7084" w:rsidRDefault="005648BA">
      <w:pPr>
        <w:spacing w:beforeAutospacing="1" w:afterAutospacing="1"/>
        <w:jc w:val="both"/>
        <w:rPr>
          <w:rFonts w:ascii="Times New Roman" w:eastAsia="Times New Roman" w:hAnsi="Times New Roman" w:cs="Times New Roman"/>
          <w:b/>
          <w:bCs/>
          <w:color w:val="45B0E1" w:themeColor="accent1" w:themeTint="99"/>
          <w:kern w:val="0"/>
          <w:sz w:val="28"/>
          <w:szCs w:val="28"/>
          <w:lang w:eastAsia="fr-BE"/>
          <w14:ligatures w14:val="none"/>
        </w:rPr>
      </w:pPr>
      <w:r>
        <w:rPr>
          <w:rFonts w:ascii="Times New Roman" w:eastAsia="Times New Roman" w:hAnsi="Times New Roman" w:cs="Times New Roman"/>
          <w:b/>
          <w:bCs/>
          <w:color w:val="45B0E1" w:themeColor="accent1" w:themeTint="99"/>
          <w:kern w:val="0"/>
          <w:sz w:val="28"/>
          <w:szCs w:val="28"/>
          <w:lang w:eastAsia="fr-BE"/>
          <w14:ligatures w14:val="none"/>
        </w:rPr>
        <w:lastRenderedPageBreak/>
        <w:t xml:space="preserve">Annexes </w:t>
      </w:r>
    </w:p>
    <w:p w14:paraId="468C9294" w14:textId="77777777" w:rsidR="00CA7084" w:rsidRDefault="00CA7084">
      <w:pPr>
        <w:spacing w:beforeAutospacing="1" w:afterAutospacing="1"/>
        <w:jc w:val="both"/>
        <w:rPr>
          <w:rFonts w:ascii="Times New Roman" w:eastAsia="Times New Roman" w:hAnsi="Times New Roman" w:cs="Times New Roman"/>
          <w:kern w:val="0"/>
          <w:lang w:eastAsia="fr-BE"/>
          <w14:ligatures w14:val="none"/>
        </w:rPr>
      </w:pPr>
    </w:p>
    <w:p w14:paraId="19E00BB0" w14:textId="77777777" w:rsidR="00CA7084" w:rsidRDefault="00CA7084">
      <w:pPr>
        <w:spacing w:beforeAutospacing="1" w:afterAutospacing="1"/>
        <w:jc w:val="both"/>
        <w:rPr>
          <w:rFonts w:ascii="Times New Roman" w:eastAsia="Times New Roman" w:hAnsi="Times New Roman" w:cs="Times New Roman"/>
          <w:kern w:val="0"/>
          <w:lang w:eastAsia="fr-BE"/>
          <w14:ligatures w14:val="none"/>
        </w:rPr>
      </w:pPr>
    </w:p>
    <w:p w14:paraId="432D2333" w14:textId="77777777" w:rsidR="00CA7084" w:rsidRDefault="00CA7084">
      <w:pPr>
        <w:spacing w:beforeAutospacing="1" w:afterAutospacing="1"/>
        <w:jc w:val="both"/>
        <w:rPr>
          <w:rFonts w:ascii="Times New Roman" w:eastAsia="Times New Roman" w:hAnsi="Times New Roman" w:cs="Times New Roman"/>
          <w:kern w:val="0"/>
          <w:lang w:eastAsia="fr-BE"/>
          <w14:ligatures w14:val="none"/>
        </w:rPr>
      </w:pPr>
    </w:p>
    <w:p w14:paraId="35AC2136" w14:textId="77777777" w:rsidR="00CA7084" w:rsidRDefault="00CA7084">
      <w:pPr>
        <w:spacing w:beforeAutospacing="1" w:afterAutospacing="1"/>
        <w:jc w:val="both"/>
        <w:rPr>
          <w:rFonts w:ascii="Times New Roman" w:eastAsia="Times New Roman" w:hAnsi="Times New Roman" w:cs="Times New Roman"/>
          <w:kern w:val="0"/>
          <w:lang w:eastAsia="fr-BE"/>
          <w14:ligatures w14:val="none"/>
        </w:rPr>
      </w:pPr>
    </w:p>
    <w:p w14:paraId="2782EB9C" w14:textId="77777777" w:rsidR="00CA7084" w:rsidRDefault="00CA7084">
      <w:pPr>
        <w:spacing w:beforeAutospacing="1" w:afterAutospacing="1"/>
        <w:jc w:val="both"/>
        <w:rPr>
          <w:rFonts w:ascii="Times New Roman" w:eastAsia="Times New Roman" w:hAnsi="Times New Roman" w:cs="Times New Roman"/>
          <w:kern w:val="0"/>
          <w:lang w:eastAsia="fr-BE"/>
          <w14:ligatures w14:val="none"/>
        </w:rPr>
      </w:pPr>
    </w:p>
    <w:p w14:paraId="64959517" w14:textId="77777777" w:rsidR="00CA7084" w:rsidRDefault="00CA7084">
      <w:pPr>
        <w:spacing w:beforeAutospacing="1" w:afterAutospacing="1" w:line="240" w:lineRule="auto"/>
        <w:jc w:val="both"/>
        <w:rPr>
          <w:rFonts w:ascii="Times New Roman" w:eastAsia="Times New Roman" w:hAnsi="Times New Roman" w:cs="Times New Roman"/>
          <w:kern w:val="0"/>
          <w:lang w:eastAsia="fr-BE"/>
          <w14:ligatures w14:val="none"/>
        </w:rPr>
      </w:pPr>
    </w:p>
    <w:p w14:paraId="59856FE4" w14:textId="77777777" w:rsidR="00CA7084" w:rsidRDefault="00CA7084">
      <w:pPr>
        <w:pStyle w:val="NormalWeb"/>
        <w:spacing w:before="280" w:after="280"/>
        <w:rPr>
          <w:b/>
          <w:bCs/>
        </w:rPr>
      </w:pPr>
    </w:p>
    <w:p w14:paraId="6F22642D" w14:textId="77777777" w:rsidR="00CA7084" w:rsidRDefault="00CA7084">
      <w:pPr>
        <w:pStyle w:val="NormalWeb"/>
        <w:spacing w:before="280" w:after="280"/>
        <w:jc w:val="both"/>
      </w:pPr>
    </w:p>
    <w:p w14:paraId="156A1733" w14:textId="77777777" w:rsidR="00CA7084" w:rsidRDefault="00CA7084">
      <w:pPr>
        <w:pStyle w:val="NormalWeb"/>
        <w:spacing w:before="280" w:after="280"/>
        <w:jc w:val="both"/>
      </w:pPr>
    </w:p>
    <w:p w14:paraId="2208B4F4" w14:textId="77777777" w:rsidR="00CA7084" w:rsidRDefault="00CA7084">
      <w:pPr>
        <w:spacing w:line="360" w:lineRule="auto"/>
        <w:jc w:val="both"/>
        <w:rPr>
          <w:rFonts w:ascii="Times New Roman" w:eastAsia="Times New Roman" w:hAnsi="Times New Roman" w:cs="Times New Roman"/>
          <w:b/>
          <w:bCs/>
          <w:kern w:val="0"/>
          <w:u w:val="single"/>
          <w:lang w:eastAsia="fr-BE"/>
          <w14:ligatures w14:val="none"/>
        </w:rPr>
      </w:pPr>
    </w:p>
    <w:p w14:paraId="4312BBAC" w14:textId="77777777" w:rsidR="00CA7084" w:rsidRDefault="00CA7084">
      <w:pPr>
        <w:jc w:val="both"/>
        <w:rPr>
          <w:rFonts w:ascii="Times New Roman" w:eastAsia="Times New Roman" w:hAnsi="Times New Roman" w:cs="Times New Roman"/>
          <w:kern w:val="0"/>
          <w:lang w:eastAsia="fr-BE"/>
          <w14:ligatures w14:val="none"/>
        </w:rPr>
      </w:pPr>
    </w:p>
    <w:p w14:paraId="40B696D1" w14:textId="77777777" w:rsidR="00CA7084" w:rsidRDefault="00CA7084">
      <w:pPr>
        <w:rPr>
          <w:rFonts w:ascii="Times New Roman" w:hAnsi="Times New Roman" w:cs="Times New Roman"/>
        </w:rPr>
      </w:pPr>
    </w:p>
    <w:sectPr w:rsidR="00CA7084">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A0A"/>
    <w:multiLevelType w:val="multilevel"/>
    <w:tmpl w:val="434E6F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7217B99"/>
    <w:multiLevelType w:val="multilevel"/>
    <w:tmpl w:val="D346B5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70C28E1"/>
    <w:multiLevelType w:val="multilevel"/>
    <w:tmpl w:val="0936DA2A"/>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2771561C"/>
    <w:multiLevelType w:val="multilevel"/>
    <w:tmpl w:val="907691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3CBC4036"/>
    <w:multiLevelType w:val="multilevel"/>
    <w:tmpl w:val="E0E08DD8"/>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165085D"/>
    <w:multiLevelType w:val="multilevel"/>
    <w:tmpl w:val="02B64E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45AB78F6"/>
    <w:multiLevelType w:val="multilevel"/>
    <w:tmpl w:val="8DBA80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49906080"/>
    <w:multiLevelType w:val="multilevel"/>
    <w:tmpl w:val="B35A0A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4DE0557D"/>
    <w:multiLevelType w:val="multilevel"/>
    <w:tmpl w:val="B010CF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50C302BD"/>
    <w:multiLevelType w:val="multilevel"/>
    <w:tmpl w:val="873C98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59722408"/>
    <w:multiLevelType w:val="multilevel"/>
    <w:tmpl w:val="F48067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68C351C2"/>
    <w:multiLevelType w:val="multilevel"/>
    <w:tmpl w:val="A086B5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967708317">
    <w:abstractNumId w:val="4"/>
  </w:num>
  <w:num w:numId="2" w16cid:durableId="583344769">
    <w:abstractNumId w:val="2"/>
  </w:num>
  <w:num w:numId="3" w16cid:durableId="1890216910">
    <w:abstractNumId w:val="5"/>
  </w:num>
  <w:num w:numId="4" w16cid:durableId="1366757408">
    <w:abstractNumId w:val="3"/>
  </w:num>
  <w:num w:numId="5" w16cid:durableId="78799432">
    <w:abstractNumId w:val="11"/>
  </w:num>
  <w:num w:numId="6" w16cid:durableId="2136212703">
    <w:abstractNumId w:val="0"/>
  </w:num>
  <w:num w:numId="7" w16cid:durableId="924875342">
    <w:abstractNumId w:val="6"/>
  </w:num>
  <w:num w:numId="8" w16cid:durableId="1239900151">
    <w:abstractNumId w:val="9"/>
  </w:num>
  <w:num w:numId="9" w16cid:durableId="2112125629">
    <w:abstractNumId w:val="8"/>
  </w:num>
  <w:num w:numId="10" w16cid:durableId="646471228">
    <w:abstractNumId w:val="7"/>
  </w:num>
  <w:num w:numId="11" w16cid:durableId="332803126">
    <w:abstractNumId w:val="10"/>
  </w:num>
  <w:num w:numId="12" w16cid:durableId="98066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A7084"/>
    <w:rsid w:val="0019458B"/>
    <w:rsid w:val="004513E8"/>
    <w:rsid w:val="005648BA"/>
    <w:rsid w:val="00CA7084"/>
  </w:rsids>
  <m:mathPr>
    <m:mathFont m:val="Cambria Math"/>
    <m:brkBin m:val="before"/>
    <m:brkBinSub m:val="--"/>
    <m:smallFrac m:val="0"/>
    <m:dispDef/>
    <m:lMargin m:val="0"/>
    <m:rMargin m:val="0"/>
    <m:defJc m:val="centerGroup"/>
    <m:wrapIndent m:val="1440"/>
    <m:intLim m:val="subSup"/>
    <m:naryLim m:val="undOvr"/>
  </m:mathPr>
  <w:themeFontLang w:val="fr-BE" w:eastAsia="" w:bidi=""/>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825E492"/>
  <w15:docId w15:val="{0922A771-EF3D-46F0-B3FF-735F3A9FA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605"/>
    <w:pPr>
      <w:spacing w:after="160" w:line="276" w:lineRule="auto"/>
    </w:pPr>
  </w:style>
  <w:style w:type="paragraph" w:styleId="Titre1">
    <w:name w:val="heading 1"/>
    <w:basedOn w:val="Normal"/>
    <w:next w:val="Normal"/>
    <w:link w:val="Titre1Car"/>
    <w:uiPriority w:val="9"/>
    <w:qFormat/>
    <w:rsid w:val="000D3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D3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D3BA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D3BA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3BA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3BA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3BA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3BA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3BA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0D3BA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qFormat/>
    <w:rsid w:val="000D3BA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qFormat/>
    <w:rsid w:val="000D3BA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qFormat/>
    <w:rsid w:val="000D3BA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qFormat/>
    <w:rsid w:val="000D3BAA"/>
    <w:rPr>
      <w:rFonts w:eastAsiaTheme="majorEastAsia" w:cstheme="majorBidi"/>
      <w:color w:val="0F4761" w:themeColor="accent1" w:themeShade="BF"/>
    </w:rPr>
  </w:style>
  <w:style w:type="character" w:customStyle="1" w:styleId="Titre6Car">
    <w:name w:val="Titre 6 Car"/>
    <w:basedOn w:val="Policepardfaut"/>
    <w:link w:val="Titre6"/>
    <w:uiPriority w:val="9"/>
    <w:semiHidden/>
    <w:qFormat/>
    <w:rsid w:val="000D3BA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sid w:val="000D3BAA"/>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sid w:val="000D3BA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qFormat/>
    <w:rsid w:val="000D3BAA"/>
    <w:rPr>
      <w:rFonts w:eastAsiaTheme="majorEastAsia" w:cstheme="majorBidi"/>
      <w:color w:val="272727" w:themeColor="text1" w:themeTint="D8"/>
    </w:rPr>
  </w:style>
  <w:style w:type="character" w:customStyle="1" w:styleId="TitreCar">
    <w:name w:val="Titre Car"/>
    <w:basedOn w:val="Policepardfaut"/>
    <w:link w:val="Titre"/>
    <w:uiPriority w:val="10"/>
    <w:qFormat/>
    <w:rsid w:val="000D3BAA"/>
    <w:rPr>
      <w:rFonts w:asciiTheme="majorHAnsi" w:eastAsiaTheme="majorEastAsia" w:hAnsiTheme="majorHAnsi" w:cstheme="majorBidi"/>
      <w:spacing w:val="-10"/>
      <w:kern w:val="2"/>
      <w:sz w:val="56"/>
      <w:szCs w:val="56"/>
    </w:rPr>
  </w:style>
  <w:style w:type="character" w:customStyle="1" w:styleId="Sous-titreCar">
    <w:name w:val="Sous-titre Car"/>
    <w:basedOn w:val="Policepardfaut"/>
    <w:link w:val="Sous-titre"/>
    <w:uiPriority w:val="11"/>
    <w:qFormat/>
    <w:rsid w:val="000D3BAA"/>
    <w:rPr>
      <w:rFonts w:eastAsiaTheme="majorEastAsia" w:cstheme="majorBidi"/>
      <w:color w:val="595959" w:themeColor="text1" w:themeTint="A6"/>
      <w:spacing w:val="15"/>
      <w:sz w:val="28"/>
      <w:szCs w:val="28"/>
    </w:rPr>
  </w:style>
  <w:style w:type="character" w:customStyle="1" w:styleId="CitationCar">
    <w:name w:val="Citation Car"/>
    <w:basedOn w:val="Policepardfaut"/>
    <w:link w:val="Citation"/>
    <w:uiPriority w:val="29"/>
    <w:qFormat/>
    <w:rsid w:val="000D3BAA"/>
    <w:rPr>
      <w:i/>
      <w:iCs/>
      <w:color w:val="404040" w:themeColor="text1" w:themeTint="BF"/>
    </w:rPr>
  </w:style>
  <w:style w:type="character" w:styleId="Accentuationintense">
    <w:name w:val="Intense Emphasis"/>
    <w:basedOn w:val="Policepardfaut"/>
    <w:uiPriority w:val="21"/>
    <w:qFormat/>
    <w:rsid w:val="000D3BAA"/>
    <w:rPr>
      <w:i/>
      <w:iCs/>
      <w:color w:val="0F4761" w:themeColor="accent1" w:themeShade="BF"/>
    </w:rPr>
  </w:style>
  <w:style w:type="character" w:customStyle="1" w:styleId="CitationintenseCar">
    <w:name w:val="Citation intense Car"/>
    <w:basedOn w:val="Policepardfaut"/>
    <w:link w:val="Citationintense"/>
    <w:uiPriority w:val="30"/>
    <w:qFormat/>
    <w:rsid w:val="000D3BAA"/>
    <w:rPr>
      <w:i/>
      <w:iCs/>
      <w:color w:val="0F4761" w:themeColor="accent1" w:themeShade="BF"/>
    </w:rPr>
  </w:style>
  <w:style w:type="character" w:styleId="Rfrenceintense">
    <w:name w:val="Intense Reference"/>
    <w:basedOn w:val="Policepardfaut"/>
    <w:uiPriority w:val="32"/>
    <w:qFormat/>
    <w:rsid w:val="000D3BAA"/>
    <w:rPr>
      <w:b/>
      <w:bCs/>
      <w:smallCaps/>
      <w:color w:val="0F4761" w:themeColor="accent1" w:themeShade="BF"/>
      <w:spacing w:val="5"/>
    </w:rPr>
  </w:style>
  <w:style w:type="character" w:styleId="Lienhypertexte">
    <w:name w:val="Hyperlink"/>
    <w:basedOn w:val="Policepardfaut"/>
    <w:uiPriority w:val="99"/>
    <w:unhideWhenUsed/>
    <w:rsid w:val="00650758"/>
    <w:rPr>
      <w:color w:val="467886" w:themeColor="hyperlink"/>
      <w:u w:val="single"/>
    </w:rPr>
  </w:style>
  <w:style w:type="character" w:styleId="Mentionnonrsolue">
    <w:name w:val="Unresolved Mention"/>
    <w:basedOn w:val="Policepardfaut"/>
    <w:uiPriority w:val="99"/>
    <w:semiHidden/>
    <w:unhideWhenUsed/>
    <w:qFormat/>
    <w:rsid w:val="00650758"/>
    <w:rPr>
      <w:color w:val="605E5C"/>
      <w:shd w:val="clear" w:color="auto" w:fill="E1DFDD"/>
    </w:rPr>
  </w:style>
  <w:style w:type="character" w:styleId="lev">
    <w:name w:val="Strong"/>
    <w:basedOn w:val="Policepardfaut"/>
    <w:uiPriority w:val="22"/>
    <w:qFormat/>
    <w:rsid w:val="0034686F"/>
    <w:rPr>
      <w:b/>
      <w:bCs/>
    </w:rPr>
  </w:style>
  <w:style w:type="character" w:customStyle="1" w:styleId="ms-1">
    <w:name w:val="ms-1"/>
    <w:basedOn w:val="Policepardfaut"/>
    <w:qFormat/>
    <w:rsid w:val="0034686F"/>
  </w:style>
  <w:style w:type="character" w:customStyle="1" w:styleId="max-w-15ch">
    <w:name w:val="max-w-[15ch]"/>
    <w:basedOn w:val="Policepardfaut"/>
    <w:qFormat/>
    <w:rsid w:val="0034686F"/>
  </w:style>
  <w:style w:type="character" w:customStyle="1" w:styleId="-me-1">
    <w:name w:val="-me-1"/>
    <w:basedOn w:val="Policepardfaut"/>
    <w:qFormat/>
    <w:rsid w:val="0034686F"/>
  </w:style>
  <w:style w:type="character" w:styleId="Accentuation">
    <w:name w:val="Emphasis"/>
    <w:basedOn w:val="Policepardfaut"/>
    <w:uiPriority w:val="20"/>
    <w:qFormat/>
    <w:rsid w:val="0034686F"/>
    <w:rPr>
      <w:i/>
      <w:iCs/>
    </w:rPr>
  </w:style>
  <w:style w:type="character" w:customStyle="1" w:styleId="mord">
    <w:name w:val="mord"/>
    <w:basedOn w:val="Policepardfaut"/>
    <w:qFormat/>
    <w:rsid w:val="00891201"/>
  </w:style>
  <w:style w:type="character" w:customStyle="1" w:styleId="vlist-s">
    <w:name w:val="vlist-s"/>
    <w:basedOn w:val="Policepardfaut"/>
    <w:qFormat/>
    <w:rsid w:val="00891201"/>
  </w:style>
  <w:style w:type="character" w:customStyle="1" w:styleId="mrel">
    <w:name w:val="mrel"/>
    <w:basedOn w:val="Policepardfaut"/>
    <w:qFormat/>
    <w:rsid w:val="00891201"/>
  </w:style>
  <w:style w:type="character" w:customStyle="1" w:styleId="mbin">
    <w:name w:val="mbin"/>
    <w:basedOn w:val="Policepardfaut"/>
    <w:qFormat/>
    <w:rsid w:val="00891201"/>
  </w:style>
  <w:style w:type="character" w:customStyle="1" w:styleId="mopen">
    <w:name w:val="mopen"/>
    <w:basedOn w:val="Policepardfaut"/>
    <w:qFormat/>
    <w:rsid w:val="00891201"/>
  </w:style>
  <w:style w:type="character" w:customStyle="1" w:styleId="mclose">
    <w:name w:val="mclose"/>
    <w:basedOn w:val="Policepardfaut"/>
    <w:qFormat/>
    <w:rsid w:val="00891201"/>
  </w:style>
  <w:style w:type="character" w:customStyle="1" w:styleId="mpunct">
    <w:name w:val="mpunct"/>
    <w:basedOn w:val="Policepardfaut"/>
    <w:qFormat/>
    <w:rsid w:val="00891201"/>
  </w:style>
  <w:style w:type="character" w:styleId="Lienhypertextesuivivisit">
    <w:name w:val="FollowedHyperlink"/>
    <w:basedOn w:val="Policepardfaut"/>
    <w:uiPriority w:val="99"/>
    <w:semiHidden/>
    <w:unhideWhenUsed/>
    <w:rsid w:val="0087796E"/>
    <w:rPr>
      <w:color w:val="96607D" w:themeColor="followedHyperlink"/>
      <w:u w:val="single"/>
    </w:rPr>
  </w:style>
  <w:style w:type="paragraph" w:styleId="Titre">
    <w:name w:val="Title"/>
    <w:basedOn w:val="Normal"/>
    <w:next w:val="Corpsdetexte"/>
    <w:link w:val="TitreCar"/>
    <w:uiPriority w:val="10"/>
    <w:qFormat/>
    <w:rsid w:val="000D3BAA"/>
    <w:pPr>
      <w:spacing w:after="80" w:line="240" w:lineRule="auto"/>
      <w:contextualSpacing/>
    </w:pPr>
    <w:rPr>
      <w:rFonts w:asciiTheme="majorHAnsi" w:eastAsiaTheme="majorEastAsia" w:hAnsiTheme="majorHAnsi" w:cstheme="majorBidi"/>
      <w:spacing w:val="-10"/>
      <w:sz w:val="56"/>
      <w:szCs w:val="56"/>
    </w:rPr>
  </w:style>
  <w:style w:type="paragraph" w:styleId="Corpsdetexte">
    <w:name w:val="Body Text"/>
    <w:basedOn w:val="Normal"/>
    <w:pPr>
      <w:spacing w:after="140"/>
    </w:pPr>
  </w:style>
  <w:style w:type="paragraph" w:styleId="Liste">
    <w:name w:val="List"/>
    <w:basedOn w:val="Corpsdetexte"/>
    <w:rPr>
      <w:rFonts w:cs="Noto Sans Devanagari"/>
    </w:rPr>
  </w:style>
  <w:style w:type="paragraph" w:styleId="Lgende">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Sous-titre">
    <w:name w:val="Subtitle"/>
    <w:basedOn w:val="Normal"/>
    <w:next w:val="Normal"/>
    <w:link w:val="Sous-titreCar"/>
    <w:uiPriority w:val="11"/>
    <w:qFormat/>
    <w:rsid w:val="000D3BA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3BAA"/>
    <w:pPr>
      <w:spacing w:before="160"/>
      <w:jc w:val="center"/>
    </w:pPr>
    <w:rPr>
      <w:i/>
      <w:iCs/>
      <w:color w:val="404040" w:themeColor="text1" w:themeTint="BF"/>
    </w:rPr>
  </w:style>
  <w:style w:type="paragraph" w:styleId="Paragraphedeliste">
    <w:name w:val="List Paragraph"/>
    <w:basedOn w:val="Normal"/>
    <w:uiPriority w:val="34"/>
    <w:qFormat/>
    <w:rsid w:val="000D3BAA"/>
    <w:pPr>
      <w:ind w:left="720"/>
      <w:contextualSpacing/>
    </w:pPr>
  </w:style>
  <w:style w:type="paragraph" w:styleId="Citationintense">
    <w:name w:val="Intense Quote"/>
    <w:basedOn w:val="Normal"/>
    <w:next w:val="Normal"/>
    <w:link w:val="CitationintenseCar"/>
    <w:uiPriority w:val="30"/>
    <w:qFormat/>
    <w:rsid w:val="000D3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uiPriority w:val="99"/>
    <w:unhideWhenUsed/>
    <w:qFormat/>
    <w:rsid w:val="0034686F"/>
    <w:pPr>
      <w:spacing w:beforeAutospacing="1" w:afterAutospacing="1" w:line="240" w:lineRule="auto"/>
    </w:pPr>
    <w:rPr>
      <w:rFonts w:ascii="Times New Roman" w:eastAsia="Times New Roman" w:hAnsi="Times New Roman" w:cs="Times New Roman"/>
      <w:kern w:val="0"/>
      <w:lang w:eastAsia="fr-BE"/>
    </w:rPr>
  </w:style>
  <w:style w:type="paragraph" w:styleId="Bibliographie">
    <w:name w:val="Bibliography"/>
    <w:basedOn w:val="Normal"/>
    <w:next w:val="Normal"/>
    <w:uiPriority w:val="37"/>
    <w:unhideWhenUsed/>
    <w:qFormat/>
    <w:rsid w:val="006C0530"/>
    <w:pPr>
      <w:tabs>
        <w:tab w:val="left" w:pos="384"/>
      </w:tabs>
      <w:spacing w:after="240" w:line="240" w:lineRule="auto"/>
      <w:ind w:left="384" w:hanging="384"/>
    </w:pPr>
  </w:style>
  <w:style w:type="paragraph" w:customStyle="1" w:styleId="Contenudecadre">
    <w:name w:val="Contenu de cadre"/>
    <w:basedOn w:val="Normal"/>
    <w:qFormat/>
  </w:style>
  <w:style w:type="paragraph" w:customStyle="1" w:styleId="Contenudetableau">
    <w:name w:val="Contenu de tableau"/>
    <w:basedOn w:val="Normal"/>
    <w:qFormat/>
    <w:pPr>
      <w:widowControl w:val="0"/>
      <w:suppressLineNumbers/>
    </w:pPr>
  </w:style>
  <w:style w:type="numbering" w:customStyle="1" w:styleId="Pasdeliste">
    <w:name w:val="Pas de liste"/>
    <w:uiPriority w:val="99"/>
    <w:semiHidden/>
    <w:unhideWhenUsed/>
    <w:qFormat/>
  </w:style>
  <w:style w:type="table" w:styleId="Grilledutableau">
    <w:name w:val="Table Grid"/>
    <w:basedOn w:val="TableauNormal"/>
    <w:uiPriority w:val="39"/>
    <w:rsid w:val="006936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58F713-4EEB-4741-A23B-AFF976F58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28036</Words>
  <Characters>154201</Characters>
  <Application>Microsoft Office Word</Application>
  <DocSecurity>0</DocSecurity>
  <Lines>1285</Lines>
  <Paragraphs>363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MELATAGUIA MEKONTCHOU Lea</dc:creator>
  <cp:keywords/>
  <dc:description/>
  <cp:lastModifiedBy>MELATAGUIA MEKONTCHOU Lea</cp:lastModifiedBy>
  <cp:revision>1</cp:revision>
  <cp:lastPrinted>2026-01-16T15:09:00Z</cp:lastPrinted>
  <dcterms:created xsi:type="dcterms:W3CDTF">2025-12-27T00:03:00Z</dcterms:created>
  <dcterms:modified xsi:type="dcterms:W3CDTF">2026-01-28T19:30:00Z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id="yTfOnOCF"/&gt;&lt;style id="http://www.zotero.org/styles/vancouver" locale="fr-FR"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