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81872" w14:textId="1F96AA97" w:rsidR="00831A9E" w:rsidRPr="00831A9E" w:rsidRDefault="00831A9E" w:rsidP="00831A9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INTRODUCTION GÉNÉRALE (1 page)</w:t>
      </w:r>
    </w:p>
    <w:p w14:paraId="25EEA6E1" w14:textId="77777777" w:rsidR="00831A9E" w:rsidRPr="00831A9E" w:rsidRDefault="00831A9E" w:rsidP="00831A9E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Contexte médical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(cardiovasculaire et pulmonaire) et place des données cliniques</w:t>
      </w:r>
    </w:p>
    <w:p w14:paraId="4F84DAEE" w14:textId="77777777" w:rsidR="00831A9E" w:rsidRPr="00831A9E" w:rsidRDefault="00831A9E" w:rsidP="00831A9E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IA comme aide à la décision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: intérêt + limites (généralisation, biais, sur-confiance)</w:t>
      </w:r>
    </w:p>
    <w:p w14:paraId="36CFCA75" w14:textId="77777777" w:rsidR="00831A9E" w:rsidRPr="00831A9E" w:rsidRDefault="00831A9E" w:rsidP="00831A9E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Problématique</w:t>
      </w:r>
    </w:p>
    <w:p w14:paraId="5C96B6DB" w14:textId="77777777" w:rsidR="00831A9E" w:rsidRPr="00831A9E" w:rsidRDefault="00831A9E" w:rsidP="00831A9E">
      <w:pPr>
        <w:numPr>
          <w:ilvl w:val="1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Développer et comparer des approches de classification appliquées à </w:t>
      </w: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des données tabulaires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et </w:t>
      </w: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des images médicales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, avec un enjeu commun : </w:t>
      </w: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performance et certitude/incertitude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pour réduire le risque décisionnel.</w:t>
      </w:r>
    </w:p>
    <w:p w14:paraId="1CF1CCEC" w14:textId="4784F506" w:rsidR="00831A9E" w:rsidRPr="00831A9E" w:rsidRDefault="00831A9E" w:rsidP="00831A9E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Objectifs du rapport </w:t>
      </w:r>
    </w:p>
    <w:p w14:paraId="023CB080" w14:textId="12E6790E" w:rsidR="00831A9E" w:rsidRDefault="00831A9E" w:rsidP="00831A9E">
      <w:pPr>
        <w:numPr>
          <w:ilvl w:val="1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Évaluer les performances de classification et quantifier la certitude/incertitude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des prédictions, dans deux applications : (i) risque cardiovasculaire sur données tabulaires, (ii) maladies pulmonaires sur images.</w:t>
      </w:r>
    </w:p>
    <w:p w14:paraId="74E1A890" w14:textId="77777777" w:rsidR="00222F96" w:rsidRPr="00831A9E" w:rsidRDefault="00222F96" w:rsidP="00222F96">
      <w:pPr>
        <w:spacing w:before="100" w:beforeAutospacing="1" w:after="100" w:afterAutospacing="1" w:line="360" w:lineRule="auto"/>
        <w:ind w:left="1440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</w:p>
    <w:p w14:paraId="2E529420" w14:textId="757F299F" w:rsidR="00831A9E" w:rsidRPr="00831A9E" w:rsidRDefault="00831A9E" w:rsidP="00831A9E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Organisation du rapport</w:t>
      </w: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(cadre commun → application Léa → application Aziz → discussion → conclusion)</w:t>
      </w:r>
    </w:p>
    <w:p w14:paraId="31096651" w14:textId="2A6CA8C8" w:rsidR="00831A9E" w:rsidRPr="00831A9E" w:rsidRDefault="00831A9E" w:rsidP="00831A9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36"/>
          <w:lang w:eastAsia="fr-BE"/>
          <w14:ligatures w14:val="none"/>
        </w:rPr>
        <w:t>PARTIE I — CADRE MÉTHODOLOGIQUE COMMUN ( 4 pages)</w:t>
      </w:r>
    </w:p>
    <w:p w14:paraId="50A71155" w14:textId="31A2A94C" w:rsidR="00831A9E" w:rsidRPr="00831A9E" w:rsidRDefault="00831A9E" w:rsidP="00831A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3 sous-sections</w:t>
      </w:r>
    </w:p>
    <w:p w14:paraId="3450D6E7" w14:textId="77777777" w:rsidR="00831A9E" w:rsidRPr="00831A9E" w:rsidRDefault="00831A9E" w:rsidP="00831A9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Chapitre 1 — Cadre commun : classification, déséquilibre, évaluation et incertitude</w:t>
      </w:r>
    </w:p>
    <w:p w14:paraId="1C511A69" w14:textId="2F7949DA" w:rsidR="00831A9E" w:rsidRPr="00831A9E" w:rsidRDefault="00831A9E" w:rsidP="00831A9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1.1 Données étudiées </w:t>
      </w:r>
    </w:p>
    <w:p w14:paraId="6E6EF45A" w14:textId="6C7419FC" w:rsidR="00831A9E" w:rsidRPr="00831A9E" w:rsidRDefault="00831A9E" w:rsidP="00831A9E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Deux types de données cliniques mobilisées :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 xml:space="preserve">(i) </w:t>
      </w: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données tabulaires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 xml:space="preserve">(ii) </w:t>
      </w: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images médicales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(radiographies thoraciques)</w:t>
      </w:r>
    </w:p>
    <w:p w14:paraId="31A1021A" w14:textId="77777777" w:rsidR="00831A9E" w:rsidRPr="00222F96" w:rsidRDefault="00831A9E" w:rsidP="00831A9E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</w:pPr>
      <w:r w:rsidRPr="00222F96">
        <w:rPr>
          <w:rFonts w:ascii="Times New Roman" w:eastAsia="Times New Roman" w:hAnsi="Times New Roman" w:cs="Times New Roman"/>
          <w:kern w:val="0"/>
          <w:highlight w:val="yellow"/>
          <w:lang w:eastAsia="fr-BE"/>
          <w14:ligatures w14:val="none"/>
        </w:rPr>
        <w:t>Annonce : détails spécifiques décrits dans chaque application.</w:t>
      </w:r>
    </w:p>
    <w:p w14:paraId="08DA7E62" w14:textId="77777777" w:rsidR="00831A9E" w:rsidRPr="00831A9E" w:rsidRDefault="00831A9E" w:rsidP="00831A9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1.2 Données déséquilibrées : définition + méthodes utilisées (communes au rapport)</w:t>
      </w:r>
    </w:p>
    <w:p w14:paraId="412F2E66" w14:textId="77777777" w:rsidR="00831A9E" w:rsidRPr="00831A9E" w:rsidRDefault="00831A9E" w:rsidP="00831A9E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Définition du </w:t>
      </w: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déséquilibre de classes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et effets attendus (biais vers la classe majoritaire)</w:t>
      </w:r>
    </w:p>
    <w:p w14:paraId="4A13CCC1" w14:textId="77777777" w:rsidR="00831A9E" w:rsidRPr="00831A9E" w:rsidRDefault="00831A9E" w:rsidP="00831A9E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Méthodes </w:t>
      </w: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utilisées dans ce rapport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(les citer toutes, même si différentes selon application) :</w:t>
      </w:r>
    </w:p>
    <w:p w14:paraId="74A2EFD0" w14:textId="77777777" w:rsidR="00831A9E" w:rsidRPr="00831A9E" w:rsidRDefault="00831A9E" w:rsidP="00831A9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lastRenderedPageBreak/>
        <w:t>Pondération des classes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(cas images)</w:t>
      </w:r>
    </w:p>
    <w:p w14:paraId="29D6E764" w14:textId="297700C8" w:rsidR="00831A9E" w:rsidRPr="00831A9E" w:rsidRDefault="00831A9E" w:rsidP="00831A9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SMOTE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(cas tabulaire)</w:t>
      </w:r>
    </w:p>
    <w:p w14:paraId="34779F4D" w14:textId="77777777" w:rsidR="00831A9E" w:rsidRPr="00831A9E" w:rsidRDefault="00831A9E" w:rsidP="00831A9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Ajustement du seuil de décision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(cas tabulaire)</w:t>
      </w:r>
    </w:p>
    <w:p w14:paraId="333A000F" w14:textId="77777777" w:rsidR="00831A9E" w:rsidRPr="00831A9E" w:rsidRDefault="00831A9E" w:rsidP="00831A9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1.3 Problème de classification et évaluation des algorithmes de classification</w:t>
      </w:r>
    </w:p>
    <w:p w14:paraId="5320FDDD" w14:textId="77777777" w:rsidR="00831A9E" w:rsidRPr="00831A9E" w:rsidRDefault="00831A9E" w:rsidP="00831A9E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Rappel bref : classification = sortie catégorique (vs sortie continue)</w:t>
      </w:r>
    </w:p>
    <w:p w14:paraId="33B7ECE4" w14:textId="77777777" w:rsidR="00831A9E" w:rsidRPr="00831A9E" w:rsidRDefault="00831A9E" w:rsidP="00831A9E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Deux approches utilisées dans le rapport (1 phrase) :</w:t>
      </w:r>
    </w:p>
    <w:p w14:paraId="3207A5FE" w14:textId="77777777" w:rsidR="00831A9E" w:rsidRPr="00831A9E" w:rsidRDefault="00831A9E" w:rsidP="00831A9E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algorithmes d’apprentissage supervisé sur données tabulaires</w:t>
      </w:r>
    </w:p>
    <w:p w14:paraId="6A77DFD5" w14:textId="77777777" w:rsidR="00831A9E" w:rsidRPr="00831A9E" w:rsidRDefault="00831A9E" w:rsidP="00831A9E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réseaux de neurones sur images</w:t>
      </w:r>
    </w:p>
    <w:p w14:paraId="13D2D110" w14:textId="77777777" w:rsidR="00831A9E" w:rsidRPr="00831A9E" w:rsidRDefault="00831A9E" w:rsidP="00831A9E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Métriques (définies ici et seulement ici)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:</w:t>
      </w:r>
    </w:p>
    <w:p w14:paraId="19AB0EC2" w14:textId="77777777" w:rsidR="00831A9E" w:rsidRPr="00831A9E" w:rsidRDefault="00831A9E" w:rsidP="00831A9E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matrice de confusion</w:t>
      </w:r>
    </w:p>
    <w:p w14:paraId="5261E7F1" w14:textId="77777777" w:rsidR="00831A9E" w:rsidRPr="00831A9E" w:rsidRDefault="00831A9E" w:rsidP="00831A9E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TP, TN, FP, FN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(introduire ces termes)</w:t>
      </w:r>
    </w:p>
    <w:p w14:paraId="110BDCA0" w14:textId="77777777" w:rsidR="00831A9E" w:rsidRPr="00831A9E" w:rsidRDefault="00831A9E" w:rsidP="00831A9E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formules + interprétation (2 phrases chacune max) : </w:t>
      </w:r>
      <w:proofErr w:type="spellStart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accuracy</w:t>
      </w:r>
      <w:proofErr w:type="spellEnd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, </w:t>
      </w:r>
      <w:proofErr w:type="spellStart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precision</w:t>
      </w:r>
      <w:proofErr w:type="spellEnd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, </w:t>
      </w:r>
      <w:proofErr w:type="spellStart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recall</w:t>
      </w:r>
      <w:proofErr w:type="spellEnd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, F1</w:t>
      </w:r>
    </w:p>
    <w:p w14:paraId="0F1B91F6" w14:textId="77777777" w:rsidR="00831A9E" w:rsidRPr="00831A9E" w:rsidRDefault="00831A9E" w:rsidP="00831A9E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ROC/AUC et PR/AUC-PR (insister sur l’intérêt en données déséquilibrées)</w:t>
      </w:r>
    </w:p>
    <w:p w14:paraId="2FBB47CF" w14:textId="77777777" w:rsidR="00831A9E" w:rsidRPr="00831A9E" w:rsidRDefault="00831A9E" w:rsidP="00831A9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1.4 Certitude / incertitude : motivation clinique + méthodes appliquées</w:t>
      </w:r>
    </w:p>
    <w:p w14:paraId="3EBEA7F1" w14:textId="77777777" w:rsidR="00831A9E" w:rsidRPr="00831A9E" w:rsidRDefault="00831A9E" w:rsidP="00831A9E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Motivation (quelques lignes) : limiter sur-confiance et décisions à risque</w:t>
      </w:r>
    </w:p>
    <w:p w14:paraId="333D96ED" w14:textId="77777777" w:rsidR="00831A9E" w:rsidRPr="00831A9E" w:rsidRDefault="00831A9E" w:rsidP="00831A9E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Méthodes appliquées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(définition courte, sans détails d’implémentation) :</w:t>
      </w:r>
    </w:p>
    <w:p w14:paraId="5CD3DBC9" w14:textId="77777777" w:rsidR="00831A9E" w:rsidRPr="00831A9E" w:rsidRDefault="00831A9E" w:rsidP="00831A9E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Incertitude “classique”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basée sur scores/probabilités (</w:t>
      </w:r>
      <w:proofErr w:type="spellStart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softmax</w:t>
      </w:r>
      <w:proofErr w:type="spellEnd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ou proba)</w:t>
      </w:r>
    </w:p>
    <w:p w14:paraId="46A3981E" w14:textId="77777777" w:rsidR="00831A9E" w:rsidRPr="00831A9E" w:rsidRDefault="00831A9E" w:rsidP="00831A9E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MC Dropout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(images)</w:t>
      </w:r>
    </w:p>
    <w:p w14:paraId="0D0F9889" w14:textId="77777777" w:rsidR="00831A9E" w:rsidRPr="00831A9E" w:rsidRDefault="00831A9E" w:rsidP="00831A9E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Bootstrap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sur les métriques (tabulaire)</w:t>
      </w:r>
    </w:p>
    <w:p w14:paraId="3F564C61" w14:textId="1031DB2D" w:rsidR="00831A9E" w:rsidRPr="008C7BE7" w:rsidRDefault="00831A9E" w:rsidP="008C7BE7">
      <w:pPr>
        <w:numPr>
          <w:ilvl w:val="1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Conformal</w:t>
      </w:r>
      <w:proofErr w:type="spellEnd"/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</w:t>
      </w:r>
      <w:proofErr w:type="spellStart"/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prediction</w:t>
      </w:r>
      <w:proofErr w:type="spellEnd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: standard + </w:t>
      </w: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Mondrian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+ sensibilité à </w:t>
      </w: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α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(tabulaire)</w:t>
      </w:r>
    </w:p>
    <w:p w14:paraId="6CBD025F" w14:textId="77777777" w:rsidR="00831A9E" w:rsidRPr="00831A9E" w:rsidRDefault="00831A9E" w:rsidP="00831A9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36"/>
          <w:lang w:eastAsia="fr-BE"/>
          <w14:ligatures w14:val="none"/>
        </w:rPr>
        <w:t>PARTIE II — APPLICATION 1 (LÉA) — DONNÉES TABULAIRES (≈ 11 pages)</w:t>
      </w:r>
    </w:p>
    <w:p w14:paraId="2A10EE40" w14:textId="77777777" w:rsidR="00831A9E" w:rsidRPr="00831A9E" w:rsidRDefault="00831A9E" w:rsidP="00831A9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Chapitre 2 — Données et méthodes spécifiques (≈ 3–4 pages)</w:t>
      </w:r>
    </w:p>
    <w:p w14:paraId="6690CAEA" w14:textId="77777777" w:rsidR="00831A9E" w:rsidRPr="00831A9E" w:rsidRDefault="00831A9E" w:rsidP="00831A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On enlève ici : métriques, déséquilibre, incertitude (déjà définis).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 xml:space="preserve">On garde uniquement le </w:t>
      </w: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spécifique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5BC55FA7" w14:textId="77777777" w:rsidR="00831A9E" w:rsidRPr="00831A9E" w:rsidRDefault="00831A9E" w:rsidP="00831A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2.1 Données (Framingham) : population, variable cible, prédicteurs principaux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 xml:space="preserve">2.2 Prétraitement : split, imputation (MICE) + justification </w:t>
      </w:r>
      <w:proofErr w:type="spellStart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anti-data</w:t>
      </w:r>
      <w:proofErr w:type="spellEnd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</w:t>
      </w:r>
      <w:proofErr w:type="spellStart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leakage</w:t>
      </w:r>
      <w:proofErr w:type="spellEnd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(court)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lastRenderedPageBreak/>
        <w:t>2.3 Jeux A1/A2/B1/B2 (très synthétique, détails en annexe si nécessaire)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2.4 Modèles entraînés (</w:t>
      </w:r>
      <w:proofErr w:type="spellStart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LogReg</w:t>
      </w:r>
      <w:proofErr w:type="spellEnd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, SVM, RF, XGB) + réglages essentiels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2.5 Schéma de validation (CV train + test final) (sans redéfinir les métriques)</w:t>
      </w:r>
    </w:p>
    <w:p w14:paraId="3DF3720B" w14:textId="77777777" w:rsidR="00831A9E" w:rsidRPr="00831A9E" w:rsidRDefault="00831A9E" w:rsidP="00831A9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Chapitre 3 — Résultats (≈ 7–8 pages)</w:t>
      </w:r>
    </w:p>
    <w:p w14:paraId="3F6AEACF" w14:textId="77777777" w:rsidR="00831A9E" w:rsidRPr="00831A9E" w:rsidRDefault="00831A9E" w:rsidP="00831A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3.1 Performances comparées (tableau synthèse)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 xml:space="preserve">3.2 Résultats en contexte déséquilibré (focus </w:t>
      </w:r>
      <w:proofErr w:type="spellStart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recall</w:t>
      </w:r>
      <w:proofErr w:type="spellEnd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/F1/AUC-PR)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3.3 Calibration et seuil de décision (résultats + figure si possible)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3.4 Incertitude :</w:t>
      </w:r>
    </w:p>
    <w:p w14:paraId="03BEE6BD" w14:textId="77777777" w:rsidR="00831A9E" w:rsidRPr="00831A9E" w:rsidRDefault="00831A9E" w:rsidP="00831A9E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Bootstrap sur métriques (IC95%)</w:t>
      </w:r>
    </w:p>
    <w:p w14:paraId="4DA6847A" w14:textId="77777777" w:rsidR="00831A9E" w:rsidRPr="00831A9E" w:rsidRDefault="00831A9E" w:rsidP="00831A9E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Conformal</w:t>
      </w:r>
      <w:proofErr w:type="spellEnd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standard + Mondrian (couverture / taille ensembles)</w:t>
      </w:r>
    </w:p>
    <w:p w14:paraId="769D4034" w14:textId="32757AC8" w:rsidR="00831A9E" w:rsidRPr="00831A9E" w:rsidRDefault="00831A9E" w:rsidP="00831A9E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Sensibilité à α (0.05/0.10/0.20/0.25)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3.5 Modèle retenu et justification (en 6–8 lignes)</w:t>
      </w:r>
    </w:p>
    <w:p w14:paraId="09B4FDE9" w14:textId="77777777" w:rsidR="00831A9E" w:rsidRPr="00831A9E" w:rsidRDefault="00831A9E" w:rsidP="00831A9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36"/>
          <w:lang w:eastAsia="fr-BE"/>
          <w14:ligatures w14:val="none"/>
        </w:rPr>
        <w:t>PARTIE III — APPLICATION 2 (AZIZ) — IMAGES MÉDICALES (≈ 11 pages)</w:t>
      </w:r>
    </w:p>
    <w:p w14:paraId="7F7D8039" w14:textId="77777777" w:rsidR="00831A9E" w:rsidRPr="00831A9E" w:rsidRDefault="00831A9E" w:rsidP="00831A9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Chapitre 4 — Données et méthodes spécifiques (≈ 3–4 pages)</w:t>
      </w:r>
    </w:p>
    <w:p w14:paraId="0CAD0DD6" w14:textId="77777777" w:rsidR="00831A9E" w:rsidRPr="00831A9E" w:rsidRDefault="00831A9E" w:rsidP="00831A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On enlève ici : métriques, déséquilibre, incertitude (déjà définis).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 xml:space="preserve">On garde uniquement le </w:t>
      </w: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spécifique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65F8796C" w14:textId="77777777" w:rsidR="00831A9E" w:rsidRPr="00831A9E" w:rsidRDefault="00831A9E" w:rsidP="00831A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4.1 </w:t>
      </w:r>
      <w:proofErr w:type="spellStart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Dataset</w:t>
      </w:r>
      <w:proofErr w:type="spellEnd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images : classes, volume, split train/val/test (stratification, </w:t>
      </w:r>
      <w:proofErr w:type="spellStart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seed</w:t>
      </w:r>
      <w:proofErr w:type="spellEnd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)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4.2 Prétraitement images (format, redimensionnement, normalisation)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4.3 Modèles : MLP+PCA et CNN (architecture synthétique)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4.4 Entraînement : éléments essentiels (</w:t>
      </w:r>
      <w:proofErr w:type="spellStart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loss</w:t>
      </w:r>
      <w:proofErr w:type="spellEnd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, </w:t>
      </w:r>
      <w:proofErr w:type="spellStart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early</w:t>
      </w:r>
      <w:proofErr w:type="spellEnd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</w:t>
      </w:r>
      <w:proofErr w:type="spellStart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stopping</w:t>
      </w:r>
      <w:proofErr w:type="spellEnd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, paramètres clés)</w:t>
      </w:r>
    </w:p>
    <w:p w14:paraId="0857044C" w14:textId="77777777" w:rsidR="00831A9E" w:rsidRPr="00831A9E" w:rsidRDefault="00831A9E" w:rsidP="00831A9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Chapitre 5 — Résultats (≈ 7–8 pages)</w:t>
      </w:r>
    </w:p>
    <w:p w14:paraId="0D4C85D8" w14:textId="77777777" w:rsidR="00831A9E" w:rsidRPr="00831A9E" w:rsidRDefault="00831A9E" w:rsidP="00831A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5.1 Résultats MLP : </w:t>
      </w:r>
      <w:proofErr w:type="spellStart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baseline</w:t>
      </w:r>
      <w:proofErr w:type="spellEnd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vs PCA vs pondération (tableau + matrice)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5.2 Résultats CNN : sans vs avec pondération (tableau + matrice)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5.3 Analyse des erreurs très confiantes (risque clinique)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5.4 Incertitude :</w:t>
      </w:r>
    </w:p>
    <w:p w14:paraId="4BB765B7" w14:textId="77777777" w:rsidR="00831A9E" w:rsidRPr="00831A9E" w:rsidRDefault="00831A9E" w:rsidP="00831A9E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score simple (</w:t>
      </w:r>
      <w:proofErr w:type="spellStart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softmax</w:t>
      </w:r>
      <w:proofErr w:type="spellEnd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)</w:t>
      </w:r>
    </w:p>
    <w:p w14:paraId="299934D6" w14:textId="71E89FB4" w:rsidR="00831A9E" w:rsidRPr="00831A9E" w:rsidRDefault="00831A9E" w:rsidP="00831A9E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lastRenderedPageBreak/>
        <w:t>MC Dropout (variance/entropie, exemples sûrs vs incertains)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5.5 Synthèse des résultats images (½ page)</w:t>
      </w:r>
    </w:p>
    <w:p w14:paraId="758CD1D3" w14:textId="77777777" w:rsidR="00831A9E" w:rsidRPr="00831A9E" w:rsidRDefault="00831A9E" w:rsidP="00831A9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DISCUSSION TRANSVERSALE (≈ 2 pages)</w:t>
      </w:r>
    </w:p>
    <w:p w14:paraId="365A94EC" w14:textId="77777777" w:rsidR="00831A9E" w:rsidRPr="00831A9E" w:rsidRDefault="00831A9E" w:rsidP="00831A9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Conforme à la dame : pas “ML interprétable vs DL complexe”, pas de </w:t>
      </w:r>
      <w:proofErr w:type="spellStart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re-dites</w:t>
      </w:r>
      <w:proofErr w:type="spellEnd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4C0FF295" w14:textId="77777777" w:rsidR="00831A9E" w:rsidRPr="00831A9E" w:rsidRDefault="00831A9E" w:rsidP="00831A9E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Données tabulaires et images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: comment ces deux sources s’inscrivent en pratique clinique (et ouverture multimodale sans l’annoncer comme “hétérogène”).</w:t>
      </w:r>
    </w:p>
    <w:p w14:paraId="1ADA1799" w14:textId="77777777" w:rsidR="00831A9E" w:rsidRPr="00831A9E" w:rsidRDefault="00831A9E" w:rsidP="00831A9E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Déséquilibre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: rappeler les </w:t>
      </w: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pourcentages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observés dans chaque application + discussion technique :</w:t>
      </w:r>
    </w:p>
    <w:p w14:paraId="3BC7F76A" w14:textId="77777777" w:rsidR="00831A9E" w:rsidRPr="00831A9E" w:rsidRDefault="00831A9E" w:rsidP="00831A9E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pondération / SMOTE / seuil : dans quel contexte chaque méthode est pertinente</w:t>
      </w:r>
    </w:p>
    <w:p w14:paraId="016B6525" w14:textId="77777777" w:rsidR="00831A9E" w:rsidRPr="00831A9E" w:rsidRDefault="00831A9E" w:rsidP="00831A9E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ce qui a marché / ce qui n’a pas changé (ex. poids qui n’améliorent pas forcément)</w:t>
      </w:r>
    </w:p>
    <w:p w14:paraId="1013E26F" w14:textId="77777777" w:rsidR="00831A9E" w:rsidRPr="00831A9E" w:rsidRDefault="00831A9E" w:rsidP="00831A9E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Incertitude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: apports pour sécuriser l’aide à la décision :</w:t>
      </w:r>
    </w:p>
    <w:p w14:paraId="65E27352" w14:textId="77777777" w:rsidR="00831A9E" w:rsidRPr="00831A9E" w:rsidRDefault="00831A9E" w:rsidP="00831A9E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bootstrap</w:t>
      </w:r>
      <w:proofErr w:type="spellEnd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(stabilité des métriques)</w:t>
      </w:r>
    </w:p>
    <w:p w14:paraId="3B6F0291" w14:textId="77777777" w:rsidR="00831A9E" w:rsidRPr="00831A9E" w:rsidRDefault="00831A9E" w:rsidP="00831A9E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conformal</w:t>
      </w:r>
      <w:proofErr w:type="spellEnd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(garantie de couverture, α)</w:t>
      </w:r>
    </w:p>
    <w:p w14:paraId="2CC25AE1" w14:textId="77777777" w:rsidR="00831A9E" w:rsidRPr="00831A9E" w:rsidRDefault="00831A9E" w:rsidP="00831A9E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MC Dropout (incertitude prédictive)</w:t>
      </w:r>
    </w:p>
    <w:p w14:paraId="37253A49" w14:textId="77777777" w:rsidR="00831A9E" w:rsidRPr="00831A9E" w:rsidRDefault="00831A9E" w:rsidP="00831A9E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Limites communes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: données (ancienneté/</w:t>
      </w:r>
      <w:proofErr w:type="spellStart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representativité</w:t>
      </w:r>
      <w:proofErr w:type="spellEnd"/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), absence de validation clinique experte, généralisation</w:t>
      </w:r>
    </w:p>
    <w:p w14:paraId="2A39E67A" w14:textId="77777777" w:rsidR="00831A9E" w:rsidRPr="00831A9E" w:rsidRDefault="00831A9E" w:rsidP="00831A9E">
      <w:pPr>
        <w:numPr>
          <w:ilvl w:val="1"/>
          <w:numId w:val="30"/>
        </w:numPr>
        <w:spacing w:before="100" w:beforeAutospacing="1" w:after="100" w:afterAutospacing="1" w:line="360" w:lineRule="auto"/>
        <w:ind w:left="2160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</w:p>
    <w:p w14:paraId="10B8545A" w14:textId="6987B16E" w:rsidR="00831A9E" w:rsidRPr="00831A9E" w:rsidRDefault="00831A9E" w:rsidP="00831A9E">
      <w:pPr>
        <w:numPr>
          <w:ilvl w:val="2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limites spécifiques courtes (si nécessaire)</w:t>
      </w:r>
    </w:p>
    <w:p w14:paraId="0A88B4C6" w14:textId="77777777" w:rsidR="00831A9E" w:rsidRPr="00831A9E" w:rsidRDefault="00831A9E" w:rsidP="00831A9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CONCLUSION GÉNÉRALE (≈ 1 page)</w:t>
      </w:r>
    </w:p>
    <w:p w14:paraId="398BCC9F" w14:textId="77777777" w:rsidR="00831A9E" w:rsidRPr="00831A9E" w:rsidRDefault="00831A9E" w:rsidP="00831A9E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Synthèse des deux applications (1 paragraphe chacune)</w:t>
      </w:r>
    </w:p>
    <w:p w14:paraId="4335CE8C" w14:textId="77777777" w:rsidR="00831A9E" w:rsidRPr="00831A9E" w:rsidRDefault="00831A9E" w:rsidP="00831A9E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Message final : </w:t>
      </w: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évaluer la performance ne suffit pas</w:t>
      </w: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→ importance de la </w:t>
      </w:r>
      <w:r w:rsidRPr="00831A9E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certitude/incertitude</w:t>
      </w:r>
    </w:p>
    <w:p w14:paraId="0241A216" w14:textId="77777777" w:rsidR="00831A9E" w:rsidRPr="00831A9E" w:rsidRDefault="00831A9E" w:rsidP="00831A9E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831A9E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Perspectives réalistes : validation clinique, données récentes, multimodalité, déploiement encadré</w:t>
      </w:r>
    </w:p>
    <w:p w14:paraId="036759E3" w14:textId="77777777" w:rsidR="003F6731" w:rsidRDefault="003F6731"/>
    <w:sectPr w:rsidR="003F6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32E"/>
    <w:multiLevelType w:val="multilevel"/>
    <w:tmpl w:val="680E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C6D2F"/>
    <w:multiLevelType w:val="multilevel"/>
    <w:tmpl w:val="C02A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17EA3"/>
    <w:multiLevelType w:val="multilevel"/>
    <w:tmpl w:val="224E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26806"/>
    <w:multiLevelType w:val="multilevel"/>
    <w:tmpl w:val="E21C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028B6"/>
    <w:multiLevelType w:val="multilevel"/>
    <w:tmpl w:val="32A8C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C430FA"/>
    <w:multiLevelType w:val="multilevel"/>
    <w:tmpl w:val="4390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766FB"/>
    <w:multiLevelType w:val="multilevel"/>
    <w:tmpl w:val="F8E0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44952"/>
    <w:multiLevelType w:val="multilevel"/>
    <w:tmpl w:val="44D8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32F51"/>
    <w:multiLevelType w:val="multilevel"/>
    <w:tmpl w:val="085A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B176F"/>
    <w:multiLevelType w:val="multilevel"/>
    <w:tmpl w:val="66288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4F11F1"/>
    <w:multiLevelType w:val="multilevel"/>
    <w:tmpl w:val="E3DC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7193C"/>
    <w:multiLevelType w:val="multilevel"/>
    <w:tmpl w:val="99109A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4D4C53"/>
    <w:multiLevelType w:val="multilevel"/>
    <w:tmpl w:val="B082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D0415"/>
    <w:multiLevelType w:val="multilevel"/>
    <w:tmpl w:val="A360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66D73"/>
    <w:multiLevelType w:val="multilevel"/>
    <w:tmpl w:val="377A9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A213A6"/>
    <w:multiLevelType w:val="multilevel"/>
    <w:tmpl w:val="1C32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E5139"/>
    <w:multiLevelType w:val="multilevel"/>
    <w:tmpl w:val="652EEB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4C0F2E"/>
    <w:multiLevelType w:val="multilevel"/>
    <w:tmpl w:val="FBEA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6137C"/>
    <w:multiLevelType w:val="multilevel"/>
    <w:tmpl w:val="5C06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A11ED"/>
    <w:multiLevelType w:val="multilevel"/>
    <w:tmpl w:val="BA7E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23A53"/>
    <w:multiLevelType w:val="multilevel"/>
    <w:tmpl w:val="5EEC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C6B3A"/>
    <w:multiLevelType w:val="multilevel"/>
    <w:tmpl w:val="C01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9F0141"/>
    <w:multiLevelType w:val="multilevel"/>
    <w:tmpl w:val="879C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9E29E6"/>
    <w:multiLevelType w:val="multilevel"/>
    <w:tmpl w:val="3C5E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9F5DD3"/>
    <w:multiLevelType w:val="multilevel"/>
    <w:tmpl w:val="4D2E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90BF9"/>
    <w:multiLevelType w:val="multilevel"/>
    <w:tmpl w:val="27F403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ED2606"/>
    <w:multiLevelType w:val="multilevel"/>
    <w:tmpl w:val="DBC48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BB6E1B"/>
    <w:multiLevelType w:val="multilevel"/>
    <w:tmpl w:val="9870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0B65F4"/>
    <w:multiLevelType w:val="multilevel"/>
    <w:tmpl w:val="1856FE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C62776"/>
    <w:multiLevelType w:val="multilevel"/>
    <w:tmpl w:val="2EFC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3635FF"/>
    <w:multiLevelType w:val="multilevel"/>
    <w:tmpl w:val="8D5E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318138">
    <w:abstractNumId w:val="14"/>
  </w:num>
  <w:num w:numId="2" w16cid:durableId="1660693872">
    <w:abstractNumId w:val="21"/>
  </w:num>
  <w:num w:numId="3" w16cid:durableId="1909336910">
    <w:abstractNumId w:val="23"/>
  </w:num>
  <w:num w:numId="4" w16cid:durableId="1784957186">
    <w:abstractNumId w:val="0"/>
  </w:num>
  <w:num w:numId="5" w16cid:durableId="990596045">
    <w:abstractNumId w:val="2"/>
  </w:num>
  <w:num w:numId="6" w16cid:durableId="1666130077">
    <w:abstractNumId w:val="8"/>
  </w:num>
  <w:num w:numId="7" w16cid:durableId="193272064">
    <w:abstractNumId w:val="20"/>
  </w:num>
  <w:num w:numId="8" w16cid:durableId="628584522">
    <w:abstractNumId w:val="15"/>
  </w:num>
  <w:num w:numId="9" w16cid:durableId="1047952270">
    <w:abstractNumId w:val="1"/>
  </w:num>
  <w:num w:numId="10" w16cid:durableId="1478720092">
    <w:abstractNumId w:val="17"/>
  </w:num>
  <w:num w:numId="11" w16cid:durableId="211843411">
    <w:abstractNumId w:val="26"/>
  </w:num>
  <w:num w:numId="12" w16cid:durableId="372538822">
    <w:abstractNumId w:val="18"/>
  </w:num>
  <w:num w:numId="13" w16cid:durableId="1664357245">
    <w:abstractNumId w:val="25"/>
  </w:num>
  <w:num w:numId="14" w16cid:durableId="645430061">
    <w:abstractNumId w:val="22"/>
  </w:num>
  <w:num w:numId="15" w16cid:durableId="1620259556">
    <w:abstractNumId w:val="11"/>
  </w:num>
  <w:num w:numId="16" w16cid:durableId="1844660160">
    <w:abstractNumId w:val="5"/>
  </w:num>
  <w:num w:numId="17" w16cid:durableId="986855342">
    <w:abstractNumId w:val="16"/>
  </w:num>
  <w:num w:numId="18" w16cid:durableId="1841891651">
    <w:abstractNumId w:val="12"/>
  </w:num>
  <w:num w:numId="19" w16cid:durableId="1731923934">
    <w:abstractNumId w:val="28"/>
  </w:num>
  <w:num w:numId="20" w16cid:durableId="1153788839">
    <w:abstractNumId w:val="24"/>
  </w:num>
  <w:num w:numId="21" w16cid:durableId="1112894171">
    <w:abstractNumId w:val="10"/>
  </w:num>
  <w:num w:numId="22" w16cid:durableId="277563854">
    <w:abstractNumId w:val="7"/>
  </w:num>
  <w:num w:numId="23" w16cid:durableId="1930890711">
    <w:abstractNumId w:val="4"/>
  </w:num>
  <w:num w:numId="24" w16cid:durableId="512649806">
    <w:abstractNumId w:val="6"/>
  </w:num>
  <w:num w:numId="25" w16cid:durableId="1435780989">
    <w:abstractNumId w:val="29"/>
  </w:num>
  <w:num w:numId="26" w16cid:durableId="1319722807">
    <w:abstractNumId w:val="19"/>
  </w:num>
  <w:num w:numId="27" w16cid:durableId="94636475">
    <w:abstractNumId w:val="3"/>
  </w:num>
  <w:num w:numId="28" w16cid:durableId="1182669147">
    <w:abstractNumId w:val="30"/>
  </w:num>
  <w:num w:numId="29" w16cid:durableId="236941006">
    <w:abstractNumId w:val="27"/>
  </w:num>
  <w:num w:numId="30" w16cid:durableId="1176731447">
    <w:abstractNumId w:val="9"/>
  </w:num>
  <w:num w:numId="31" w16cid:durableId="15558463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731"/>
    <w:rsid w:val="00222F96"/>
    <w:rsid w:val="003F6731"/>
    <w:rsid w:val="00831A9E"/>
    <w:rsid w:val="008C7BE7"/>
    <w:rsid w:val="00C1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99AF7"/>
  <w15:chartTrackingRefBased/>
  <w15:docId w15:val="{F00ED70C-122C-4B58-898D-46734C52C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F6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F6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F6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F6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6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6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6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6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6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6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F6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F6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F67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F67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F67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F67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F67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F67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F6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F6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6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F6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F6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F67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F67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F67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6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67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F6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851</Words>
  <Characters>4681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MELATAGUIA MEKONTCHOU Lea</dc:creator>
  <cp:keywords/>
  <dc:description/>
  <cp:lastModifiedBy>MELATAGUIA MEKONTCHOU Lea</cp:lastModifiedBy>
  <cp:revision>1</cp:revision>
  <dcterms:created xsi:type="dcterms:W3CDTF">2026-01-20T08:29:00Z</dcterms:created>
  <dcterms:modified xsi:type="dcterms:W3CDTF">2026-01-20T09:32:00Z</dcterms:modified>
</cp:coreProperties>
</file>