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130595d9fdc42f6d55e63999396198f4827a79a"/>
    <w:p>
      <w:pPr>
        <w:pStyle w:val="Heading1"/>
      </w:pPr>
      <w:r>
        <w:t xml:space="preserve">Prédiction du risque de maladie coronarienne à 10 ans à partir de la cohorte FRAMINGHAM</w:t>
      </w:r>
    </w:p>
    <w:bookmarkStart w:id="20" w:name="introduction-et-objectifs"/>
    <w:p>
      <w:pPr>
        <w:pStyle w:val="Heading2"/>
      </w:pPr>
      <w:r>
        <w:t xml:space="preserve">1. Introduction et objectifs</w:t>
      </w:r>
    </w:p>
    <w:p>
      <w:pPr>
        <w:pStyle w:val="FirstParagraph"/>
      </w:pPr>
      <w:r>
        <w:t xml:space="preserve">Les maladies cardiovasculaires constituent l’une des principales causes de morbidité et de mortalité dans le monde. La capacité à identifier précocement les individus à haut risque de développer une maladie coronarienne est un enjeu majeur de santé publique, tant pour la prévention primaire que pour l’orientation des stratégies cliniques. Dans ce contexte, les modèles de prédiction du risque, fondés sur des facteurs cliniques et comportementaux, occupent une place centrale.</w:t>
      </w:r>
    </w:p>
    <w:p>
      <w:pPr>
        <w:pStyle w:val="BodyText"/>
      </w:pPr>
      <w:r>
        <w:t xml:space="preserve">Le projet présenté ici s’inscrit dans cette perspective et vise à prédire le risque de survenue d’un événement coronarien à 10 ans à partir des données de la cohorte FRAMINGHAM. L’objectif principal est de construire un pipeline de modélisation robuste, transparent et défendable scientifiquement, répondant à des standards de niveau master/ingénieur. Plus spécifiquement, il s’agit :</w:t>
      </w:r>
      <w:r>
        <w:t xml:space="preserve"> </w:t>
      </w:r>
      <w:r>
        <w:t xml:space="preserve">- de mettre en œuvre une exploration approfondie des données et d’en évaluer la qualité ;</w:t>
      </w:r>
      <w:r>
        <w:t xml:space="preserve"> </w:t>
      </w:r>
      <w:r>
        <w:t xml:space="preserve">- de comparer rigoureusement différentes stratégies de traitement des valeurs manquantes ;</w:t>
      </w:r>
      <w:r>
        <w:t xml:space="preserve"> </w:t>
      </w:r>
      <w:r>
        <w:t xml:space="preserve">- de gérer explicitement le déséquilibre de classes inhérent aux données cliniques ;</w:t>
      </w:r>
      <w:r>
        <w:t xml:space="preserve"> </w:t>
      </w:r>
      <w:r>
        <w:t xml:space="preserve">- de comparer plusieurs algorithmes de classification selon des métriques adaptées au contexte clinique ;</w:t>
      </w:r>
      <w:r>
        <w:t xml:space="preserve"> </w:t>
      </w:r>
      <w:r>
        <w:t xml:space="preserve">- de quantifier l’incertitude associée aux prédictions, tant au niveau global qu’individuel ;</w:t>
      </w:r>
      <w:r>
        <w:t xml:space="preserve"> </w:t>
      </w:r>
      <w:r>
        <w:t xml:space="preserve">- de proposer un modèle final interprétable et pertinent pour une utilisation en épidémiologie et en pratique clinique.</w:t>
      </w:r>
    </w:p>
    <w:bookmarkEnd w:id="20"/>
    <w:bookmarkStart w:id="21" w:name="données-et-variable-dintérêt"/>
    <w:p>
      <w:pPr>
        <w:pStyle w:val="Heading2"/>
      </w:pPr>
      <w:r>
        <w:t xml:space="preserve">2. Données et variable d’intérêt</w:t>
      </w:r>
    </w:p>
    <w:p>
      <w:pPr>
        <w:pStyle w:val="FirstParagraph"/>
      </w:pPr>
      <w:r>
        <w:t xml:space="preserve">L’analyse repose sur la base FRAMINGHAM, comprenant 4 239 individus suivis longitudinalement. Seize variables explicatives cliniques et comportementales sont disponibles, incluant notamment l’âge, le sexe, le tabagisme, la pression artérielle, les paramètres métaboliques et certains antécédents médicaux.</w:t>
      </w:r>
    </w:p>
    <w:p>
      <w:pPr>
        <w:pStyle w:val="BodyText"/>
      </w:pPr>
      <w:r>
        <w:t xml:space="preserve">La variable cible est le risque de maladie coronarienne à 10 ans (</w:t>
      </w:r>
      <w:r>
        <w:rPr>
          <w:rStyle w:val="VerbatimChar"/>
        </w:rPr>
        <w:t xml:space="preserve">risque_chd_10ans</w:t>
      </w:r>
      <w:r>
        <w:t xml:space="preserve">), codée de manière binaire (0 = absence d’événement, 1 = survenue d’un événement). La proportion d’événements est d’environ 15 %, traduisant un déséquilibre de classes marqué, caractéristique des données épidémiologiques en prévention primaire.</w:t>
      </w:r>
    </w:p>
    <w:bookmarkEnd w:id="21"/>
    <w:bookmarkStart w:id="28" w:name="méthodes"/>
    <w:p>
      <w:pPr>
        <w:pStyle w:val="Heading2"/>
      </w:pPr>
      <w:r>
        <w:t xml:space="preserve">3. Méthodes</w:t>
      </w:r>
    </w:p>
    <w:bookmarkStart w:id="22" w:name="organisation-générale-du-pipeline"/>
    <w:p>
      <w:pPr>
        <w:pStyle w:val="Heading3"/>
      </w:pPr>
      <w:r>
        <w:t xml:space="preserve">3.1 Organisation générale du pipeline</w:t>
      </w:r>
    </w:p>
    <w:p>
      <w:pPr>
        <w:pStyle w:val="FirstParagraph"/>
      </w:pPr>
      <w:r>
        <w:t xml:space="preserve">Le projet a été structuré de manière modulaire et reproductible, avec une séparation stricte entre :</w:t>
      </w:r>
      <w:r>
        <w:t xml:space="preserve"> </w:t>
      </w:r>
      <w:r>
        <w:t xml:space="preserve">- les scripts d’exploration et de diagnostic des données ;</w:t>
      </w:r>
      <w:r>
        <w:t xml:space="preserve"> </w:t>
      </w:r>
      <w:r>
        <w:t xml:space="preserve">- les scripts de prétraitement et de construction des jeux de données ;</w:t>
      </w:r>
      <w:r>
        <w:t xml:space="preserve"> </w:t>
      </w:r>
      <w:r>
        <w:t xml:space="preserve">- les scripts de modélisation ;</w:t>
      </w:r>
      <w:r>
        <w:t xml:space="preserve"> </w:t>
      </w:r>
      <w:r>
        <w:t xml:space="preserve">- les scripts dédiés à la validation et à la quantification de l’incertitude.</w:t>
      </w:r>
    </w:p>
    <w:p>
      <w:pPr>
        <w:pStyle w:val="BodyText"/>
      </w:pPr>
      <w:r>
        <w:t xml:space="preserve">Cette organisation permet de garantir la traçabilité des choix méthodologiques et facilite la discussion critique de chaque étape du pipeline.</w:t>
      </w:r>
    </w:p>
    <w:bookmarkEnd w:id="22"/>
    <w:bookmarkStart w:id="23" w:name="exploration-des-données-et-qualité"/>
    <w:p>
      <w:pPr>
        <w:pStyle w:val="Heading3"/>
      </w:pPr>
      <w:r>
        <w:t xml:space="preserve">3.2 Exploration des données et qualité</w:t>
      </w:r>
    </w:p>
    <w:p>
      <w:pPr>
        <w:pStyle w:val="FirstParagraph"/>
      </w:pPr>
      <w:r>
        <w:t xml:space="preserve">Une analyse exploratoire approfondie a été réalisée afin de décrire les distributions des variables quantitatives, d’évaluer leur asymétrie et leur kurtosis, et d’examiner les différences selon certaines caractéristiques (sexe, tabagisme). Les corrélations entre variables quantitatives ont été étudiées à l’aide du coefficient de Pearson. Aucune corrélation forte (|r| &gt; 0,8) n’a été observée.</w:t>
      </w:r>
    </w:p>
    <w:p>
      <w:pPr>
        <w:pStyle w:val="BodyText"/>
      </w:pPr>
      <w:r>
        <w:t xml:space="preserve">La multicolinéarité a été évaluée ultérieurement pour les modèles linéaires par le calcul du Variance Inflation Factor (VIF). Les valeurs de VIF, toutes inférieures à 4, indiquent l’absence de multicolinéarité sévère, ne justifiant pas l’exclusion de variables pour ce motif.</w:t>
      </w:r>
    </w:p>
    <w:p>
      <w:pPr>
        <w:pStyle w:val="BodyText"/>
      </w:pPr>
      <w:r>
        <w:t xml:space="preserve">Les valeurs manquantes ont été visualisées et quantifiées. Leur distribution ne suggérait pas un mécanisme MCAR évident, ce qui a motivé l’utilisation de méthodes d’imputation multivariées. Les valeurs extrêmes ont été identifiées par la méthode de l’IQR, mais conservées lorsqu’elles étaient cliniquement plausibles, afin d’éviter une perte d’information potentiellement pertinente.</w:t>
      </w:r>
    </w:p>
    <w:bookmarkEnd w:id="23"/>
    <w:bookmarkStart w:id="24" w:name="traitement-des-valeurs-manquantes"/>
    <w:p>
      <w:pPr>
        <w:pStyle w:val="Heading3"/>
      </w:pPr>
      <w:r>
        <w:t xml:space="preserve">3.3 Traitement des valeurs manquantes</w:t>
      </w:r>
    </w:p>
    <w:p>
      <w:pPr>
        <w:pStyle w:val="FirstParagraph"/>
      </w:pPr>
      <w:r>
        <w:t xml:space="preserve">Plusieurs stratégies d’imputation ont été comparées : imputation simple (médiane/mode), KNN Imputer et imputation multivariée par équations chaînées (MICE). L’évaluation s’est appuyée sur des comparaisons graphiques des distributions, des tests statistiques (KS-test, test de Levene), des analyses de stabilité par bootstrap et une mini‑modélisation par régression logistique.</w:t>
      </w:r>
    </w:p>
    <w:p>
      <w:pPr>
        <w:pStyle w:val="BodyText"/>
      </w:pPr>
      <w:r>
        <w:t xml:space="preserve">Les résultats ont montré que l’imputation KNN tendait à lisser excessivement les distributions et à réduire la variance. L’imputation simple, bien que robuste et reproductible, introduisait une distorsion modérée pour certaines variables. La méthode MICE s’est distinguée par une meilleure conservation des distributions, une variance préservée et une stabilité satisfaisante, avec des performances prédictives au moins équivalentes. En conséquence, MICE a été retenue comme méthode d’imputation principale pour la suite de l’analyse.</w:t>
      </w:r>
    </w:p>
    <w:bookmarkEnd w:id="24"/>
    <w:bookmarkStart w:id="25" w:name="construction-des-jeux-de-données"/>
    <w:p>
      <w:pPr>
        <w:pStyle w:val="Heading3"/>
      </w:pPr>
      <w:r>
        <w:t xml:space="preserve">3.4 Construction des jeux de données</w:t>
      </w:r>
    </w:p>
    <w:p>
      <w:pPr>
        <w:pStyle w:val="FirstParagraph"/>
      </w:pPr>
      <w:r>
        <w:t xml:space="preserve">À partir des données imputées par MICE, quatre jeux de données d’apprentissage ont été construits afin de dissocier l’effet de la standardisation et celui du rééquilibrage des classes par SMOTE :</w:t>
      </w:r>
      <w:r>
        <w:t xml:space="preserve"> </w:t>
      </w:r>
      <w:r>
        <w:t xml:space="preserve">- A1 : données imputées brutes ;</w:t>
      </w:r>
      <w:r>
        <w:t xml:space="preserve"> </w:t>
      </w:r>
      <w:r>
        <w:t xml:space="preserve">- A2 : données imputées et standardisées ;</w:t>
      </w:r>
      <w:r>
        <w:t xml:space="preserve"> </w:t>
      </w:r>
      <w:r>
        <w:t xml:space="preserve">- B1 : données imputées avec rééquilibrage par SMOTE ;</w:t>
      </w:r>
      <w:r>
        <w:t xml:space="preserve"> </w:t>
      </w:r>
      <w:r>
        <w:t xml:space="preserve">- B2 : données imputées, rééquilibrées par SMOTE et standardisées.</w:t>
      </w:r>
    </w:p>
    <w:p>
      <w:pPr>
        <w:pStyle w:val="BodyText"/>
      </w:pPr>
      <w:r>
        <w:t xml:space="preserve">La séparation apprentissage/test a été réalisée selon un ratio 80/20, de manière stratifiée sur la variable cible. Le rééquilibrage par SMOTE a été appliqué exclusivement sur le jeu d’apprentissage, afin d’éviter toute fuite d’information.</w:t>
      </w:r>
    </w:p>
    <w:bookmarkEnd w:id="25"/>
    <w:bookmarkStart w:id="26" w:name="modélisation-et-métriques-dévaluation"/>
    <w:p>
      <w:pPr>
        <w:pStyle w:val="Heading3"/>
      </w:pPr>
      <w:r>
        <w:t xml:space="preserve">3.5 Modélisation et métriques d’évaluation</w:t>
      </w:r>
    </w:p>
    <w:p>
      <w:pPr>
        <w:pStyle w:val="FirstParagraph"/>
      </w:pPr>
      <w:r>
        <w:t xml:space="preserve">Cinq algorithmes de classification ont été évalués : régression logistique, Random Forest, Gradient Boosting, XGBoost et SVM. Pour chacun, deux versions ont été considérées (avec et sans SMOTE), conduisant à dix modèles au total.</w:t>
      </w:r>
    </w:p>
    <w:p>
      <w:pPr>
        <w:pStyle w:val="BodyText"/>
      </w:pPr>
      <w:r>
        <w:t xml:space="preserve">Les performances ont été évaluées sur le jeu de test à l’aide de métriques globales (accuracy, AUC‑ROC, Brier score) et de métriques spécifiques à la classe minoritaire (recall, precision, F1‑score, AUC‑PR), cette dernière étant prioritaire dans une perspective clinique.</w:t>
      </w:r>
    </w:p>
    <w:bookmarkEnd w:id="26"/>
    <w:bookmarkStart w:id="27" w:name="Xc1d22e4c78cbe4440b9519ca5d161fd78230cc9"/>
    <w:p>
      <w:pPr>
        <w:pStyle w:val="Heading3"/>
      </w:pPr>
      <w:r>
        <w:t xml:space="preserve">3.6 Validation interne et quantification de l’incertitude</w:t>
      </w:r>
    </w:p>
    <w:p>
      <w:pPr>
        <w:pStyle w:val="FirstParagraph"/>
      </w:pPr>
      <w:r>
        <w:t xml:space="preserve">La stabilité des modèles a été étudiée par validation croisée stratifiée à cinq plis sur le jeu d’apprentissage. En complément, une procédure de bootstrap sur le jeu de test a permis d’estimer des intervalles de confiance à 95 % pour les principales métriques.</w:t>
      </w:r>
    </w:p>
    <w:p>
      <w:pPr>
        <w:pStyle w:val="BodyText"/>
      </w:pPr>
      <w:r>
        <w:t xml:space="preserve">Enfin, une approche de conformal prediction (split‑conformal) a été appliquée au modèle logistique final afin de fournir, pour chaque individu, un ensemble prédictif assorti de garanties de couverture finie.</w:t>
      </w:r>
    </w:p>
    <w:bookmarkEnd w:id="27"/>
    <w:bookmarkEnd w:id="28"/>
    <w:bookmarkStart w:id="34" w:name="résultats"/>
    <w:p>
      <w:pPr>
        <w:pStyle w:val="Heading2"/>
      </w:pPr>
      <w:r>
        <w:t xml:space="preserve">4. Résultats</w:t>
      </w:r>
    </w:p>
    <w:bookmarkStart w:id="29" w:name="performances-comparatives-des-modèles"/>
    <w:p>
      <w:pPr>
        <w:pStyle w:val="Heading3"/>
      </w:pPr>
      <w:r>
        <w:t xml:space="preserve">4.1 Performances comparatives des modèles</w:t>
      </w:r>
    </w:p>
    <w:p>
      <w:pPr>
        <w:pStyle w:val="FirstParagraph"/>
      </w:pPr>
      <w:r>
        <w:t xml:space="preserve">Les modèles entraînés sans SMOTE présentent une accuracy élevée mais un rappel très faible pour la classe des événements, traduisant une incapacité à détecter efficacement les individus à risque. À l’inverse, l’introduction de SMOTE conduit à une baisse modérée de l’accuracy, mais à une amélioration substantielle du rappel et du F1‑score de la classe 1.</w:t>
      </w:r>
    </w:p>
    <w:p>
      <w:pPr>
        <w:pStyle w:val="BodyText"/>
      </w:pPr>
      <w:r>
        <w:t xml:space="preserve">Parmi l’ensemble des modèles évalués, la régression logistique avec SMOTE et standardisation (LogReg_B2) apparaît comme un compromis pertinent entre performance, stabilité et interprétabilité.</w:t>
      </w:r>
    </w:p>
    <w:bookmarkEnd w:id="29"/>
    <w:bookmarkStart w:id="30" w:name="validation-croisée-et-bootstrap"/>
    <w:p>
      <w:pPr>
        <w:pStyle w:val="Heading3"/>
      </w:pPr>
      <w:r>
        <w:t xml:space="preserve">4.2 Validation croisée et bootstrap</w:t>
      </w:r>
    </w:p>
    <w:p>
      <w:pPr>
        <w:pStyle w:val="FirstParagraph"/>
      </w:pPr>
      <w:r>
        <w:t xml:space="preserve">La validation croisée confirme la stabilité des versions avec SMOTE, caractérisées par des rappels élevés et des F1‑scores satisfaisants sur l’ensemble des plis. Les analyses par bootstrap sur le jeu de test montrent que les performances du modèle LogReg_B2 restent robustes, avec des intervalles de confiance modérés, renforçant la crédibilité des résultats.</w:t>
      </w:r>
    </w:p>
    <w:bookmarkEnd w:id="30"/>
    <w:bookmarkStart w:id="31" w:name="calibration-et-seuil-de-décision"/>
    <w:p>
      <w:pPr>
        <w:pStyle w:val="Heading3"/>
      </w:pPr>
      <w:r>
        <w:t xml:space="preserve">4.3 Calibration et seuil de décision</w:t>
      </w:r>
    </w:p>
    <w:p>
      <w:pPr>
        <w:pStyle w:val="FirstParagraph"/>
      </w:pPr>
      <w:r>
        <w:t xml:space="preserve">Le modèle LogReg_B2 présente une calibration modérée, avec un Brier score d’environ 0,21. L’optimisation du seuil de décision en maximisant le F1‑score de la classe 1 permet d’améliorer légèrement l’équilibre entre rappel et précision, illustrant l’importance du choix du seuil dans une perspective clinique.</w:t>
      </w:r>
    </w:p>
    <w:bookmarkEnd w:id="31"/>
    <w:bookmarkStart w:id="32" w:name="interprétation-clinique-des-coefficients"/>
    <w:p>
      <w:pPr>
        <w:pStyle w:val="Heading3"/>
      </w:pPr>
      <w:r>
        <w:t xml:space="preserve">4.4 Interprétation clinique des coefficients</w:t>
      </w:r>
    </w:p>
    <w:p>
      <w:pPr>
        <w:pStyle w:val="FirstParagraph"/>
      </w:pPr>
      <w:r>
        <w:t xml:space="preserve">L’analyse des coefficients du modèle logistique met en évidence des facteurs de risque bien établis de la maladie coronarienne, tels que l’âge, le sexe masculin, le tabagisme, la pression artérielle systolique et les paramètres métaboliques. Les odds ratios standardisés facilitent l’interprétation et la communication des résultats auprès des cliniciens.</w:t>
      </w:r>
    </w:p>
    <w:bookmarkEnd w:id="32"/>
    <w:bookmarkStart w:id="33" w:name="conformal-prediction"/>
    <w:p>
      <w:pPr>
        <w:pStyle w:val="Heading3"/>
      </w:pPr>
      <w:r>
        <w:t xml:space="preserve">4.5 Conformal prediction</w:t>
      </w:r>
    </w:p>
    <w:p>
      <w:pPr>
        <w:pStyle w:val="FirstParagraph"/>
      </w:pPr>
      <w:r>
        <w:t xml:space="preserve">L’approche de conformal prediction fournit des ensembles prédictifs avec une couverture empirique proche de 90 %. Dans près de la moitié des cas, le modèle émet une prédiction univoque, tandis que l’autre moitié reflète une incertitude substantielle, soulignant l’intérêt de cette méthode pour une prise de décision prudente et individualisée.</w:t>
      </w:r>
    </w:p>
    <w:bookmarkEnd w:id="33"/>
    <w:bookmarkEnd w:id="34"/>
    <w:bookmarkStart w:id="35" w:name="discussion"/>
    <w:p>
      <w:pPr>
        <w:pStyle w:val="Heading2"/>
      </w:pPr>
      <w:r>
        <w:t xml:space="preserve">5. Discussion</w:t>
      </w:r>
    </w:p>
    <w:p>
      <w:pPr>
        <w:pStyle w:val="FirstParagraph"/>
      </w:pPr>
      <w:r>
        <w:t xml:space="preserve">Ce travail met en évidence l’importance d’un pipeline méthodologique rigoureux pour la prédiction du risque cardiovasculaire. L’utilisation de méthodes avancées d’imputation, la prise en compte explicite du déséquilibre de classes et la quantification de l’incertitude constituent des atouts majeurs de ce projet.</w:t>
      </w:r>
    </w:p>
    <w:p>
      <w:pPr>
        <w:pStyle w:val="BodyText"/>
      </w:pPr>
      <w:r>
        <w:t xml:space="preserve">Parmi les limites, on peut citer la dépendance à une cohorte historique spécifique, l’absence de validation externe et une calibration perfectible des probabilités. Néanmoins, le choix d’un modèle logistique interprétable, complété par des outils modernes de validation et d’incertitude, confère à l’approche une pertinence clinique et pédagogique forte.</w:t>
      </w:r>
    </w:p>
    <w:p>
      <w:pPr>
        <w:pStyle w:val="BodyText"/>
      </w:pPr>
      <w:r>
        <w:t xml:space="preserve">En conclusion, ce projet illustre comment des méthodes de science des données, appliquées de manière raisonnée et transparente, peuvent contribuer à une meilleure évaluation du risque cardiovasculaire et ouvrir des perspectives pour une médecine préventive plus personnalisée.</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2025-12-17T01:34:43Z</dcterms:created>
  <dcterms:modified xsi:type="dcterms:W3CDTF">2025-12-17T01:34:43Z</dcterms:modified>
</cp:coreProperties>
</file>

<file path=docProps/custom.xml><?xml version="1.0" encoding="utf-8"?>
<Properties xmlns="http://schemas.openxmlformats.org/officeDocument/2006/custom-properties" xmlns:vt="http://schemas.openxmlformats.org/officeDocument/2006/docPropsVTypes"/>
</file>