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B334" w14:textId="10C4FBC6" w:rsidR="004B403E" w:rsidRPr="004B403E" w:rsidRDefault="004B403E" w:rsidP="004B403E">
      <w:pPr>
        <w:jc w:val="center"/>
        <w:rPr>
          <w:rFonts w:ascii="Times New Roman" w:hAnsi="Times New Roman" w:cs="Times New Roman"/>
          <w:b/>
          <w:bCs/>
          <w:u w:val="single"/>
          <w:lang w:val="fr-FR"/>
        </w:rPr>
      </w:pPr>
      <w:r w:rsidRPr="004B403E">
        <w:rPr>
          <w:rFonts w:ascii="Times New Roman" w:hAnsi="Times New Roman" w:cs="Times New Roman"/>
          <w:b/>
          <w:bCs/>
          <w:u w:val="single"/>
          <w:lang w:val="fr-FR"/>
        </w:rPr>
        <w:t>RAPPORT COMBINE</w:t>
      </w:r>
    </w:p>
    <w:p w14:paraId="1F794A21" w14:textId="5F24F467" w:rsidR="004B403E" w:rsidRPr="00787703" w:rsidRDefault="004B403E" w:rsidP="004B403E">
      <w:pPr>
        <w:rPr>
          <w:rFonts w:ascii="Times New Roman" w:hAnsi="Times New Roman" w:cs="Times New Roman"/>
          <w:b/>
          <w:bCs/>
          <w:lang w:val="fr-FR"/>
        </w:rPr>
      </w:pPr>
      <w:r w:rsidRPr="00787703">
        <w:rPr>
          <w:rFonts w:ascii="Times New Roman" w:hAnsi="Times New Roman" w:cs="Times New Roman"/>
          <w:b/>
          <w:bCs/>
          <w:lang w:val="fr-FR"/>
        </w:rPr>
        <w:t>INTRODUCTION GENERALE</w:t>
      </w:r>
    </w:p>
    <w:p w14:paraId="39102599" w14:textId="4333A74F" w:rsidR="004B403E" w:rsidRDefault="004B403E" w:rsidP="0048415A">
      <w:pPr>
        <w:jc w:val="both"/>
        <w:rPr>
          <w:rFonts w:ascii="Times New Roman" w:hAnsi="Times New Roman" w:cs="Times New Roman"/>
        </w:rPr>
      </w:pPr>
      <w:r w:rsidRPr="004B403E">
        <w:rPr>
          <w:rFonts w:ascii="Times New Roman" w:hAnsi="Times New Roman" w:cs="Times New Roman"/>
        </w:rPr>
        <w:t>Les maladies cardiovasculaires et les maladies respiratoires chroniques demeurent deux des principales causes de mortalité et de perte d’années de vie en bonne santé à l’échelle mondiale. Les maladies cardiovasculaires représentent encore la première cause de décès, avec près de 18 millions de morts par an, soit environ un tiers de l’ensemble des décès, dont la majorité liée à l’infarctus du myocarde et à l’accident vasculaire cérébral</w:t>
      </w:r>
      <w:r w:rsidR="00E41BE0">
        <w:rPr>
          <w:rFonts w:ascii="Times New Roman" w:hAnsi="Times New Roman" w:cs="Times New Roman"/>
        </w:rPr>
        <w:t xml:space="preserve"> </w:t>
      </w:r>
      <w:r w:rsidR="00E41BE0">
        <w:rPr>
          <w:rFonts w:ascii="Times New Roman" w:hAnsi="Times New Roman" w:cs="Times New Roman"/>
        </w:rPr>
        <w:fldChar w:fldCharType="begin"/>
      </w:r>
      <w:r w:rsidR="00E41BE0">
        <w:rPr>
          <w:rFonts w:ascii="Times New Roman" w:hAnsi="Times New Roman" w:cs="Times New Roman"/>
        </w:rPr>
        <w:instrText xml:space="preserve"> ADDIN ZOTERO_ITEM CSL_CITATION {"citationID":"52QxVA2Y","properties":{"formattedCitation":"[1]","plainCitation":"[1]","noteIndex":0},"citationItems":[{"id":720,"uris":["http://zotero.org/users/11240916/items/ZXRA2V4W"],"itemData":{"id":720,"type":"webpage","abstract":"Key facts Cardiovascular diseases (CVDs) are the leading cause of death globally. An estimated 17.9 million people died from CVDs in 2019, representing 32% of all global deaths.","language":"fr","title":"Maladies cardiovasculaires (MCV) | Portail de connaissances et d'action sur les MNT","URL":"https://knowledge-action-portal.com/en/content/cardiovascular-diseases-cvds","accessed":{"date-parts":[["2026",1,28]]}}}],"schema":"https://github.com/citation-style-language/schema/raw/master/csl-citation.json"} </w:instrText>
      </w:r>
      <w:r w:rsidR="00E41BE0">
        <w:rPr>
          <w:rFonts w:ascii="Times New Roman" w:hAnsi="Times New Roman" w:cs="Times New Roman"/>
        </w:rPr>
        <w:fldChar w:fldCharType="separate"/>
      </w:r>
      <w:r w:rsidR="00E41BE0" w:rsidRPr="00E41BE0">
        <w:rPr>
          <w:rFonts w:ascii="Times New Roman" w:hAnsi="Times New Roman" w:cs="Times New Roman"/>
        </w:rPr>
        <w:t>[1]</w:t>
      </w:r>
      <w:r w:rsidR="00E41BE0">
        <w:rPr>
          <w:rFonts w:ascii="Times New Roman" w:hAnsi="Times New Roman" w:cs="Times New Roman"/>
        </w:rPr>
        <w:fldChar w:fldCharType="end"/>
      </w:r>
      <w:r w:rsidR="00E41BE0">
        <w:rPr>
          <w:rFonts w:ascii="Times New Roman" w:hAnsi="Times New Roman" w:cs="Times New Roman"/>
        </w:rPr>
        <w:t>.</w:t>
      </w:r>
      <w:r w:rsidR="00E41BE0" w:rsidRPr="00E41BE0">
        <w:t xml:space="preserve"> </w:t>
      </w:r>
      <w:r w:rsidR="00E41BE0" w:rsidRPr="00E41BE0">
        <w:rPr>
          <w:rFonts w:ascii="Times New Roman" w:hAnsi="Times New Roman" w:cs="Times New Roman"/>
        </w:rPr>
        <w:t>Parallèlement, les maladies respiratoires chroniques en particulier la bronchopneumopathie chronique obstructive (BPCO) et l’asthme constituent la troisième cause de mortalité mondiale, avec près de 4 millions de décès et plus de 100 millions de DALYs en 2019</w:t>
      </w:r>
      <w:r w:rsidR="00E41BE0">
        <w:rPr>
          <w:rFonts w:ascii="Times New Roman" w:hAnsi="Times New Roman" w:cs="Times New Roman"/>
        </w:rPr>
        <w:t xml:space="preserve"> </w:t>
      </w:r>
      <w:r w:rsidR="00E41BE0">
        <w:rPr>
          <w:rFonts w:ascii="Times New Roman" w:hAnsi="Times New Roman" w:cs="Times New Roman"/>
        </w:rPr>
        <w:fldChar w:fldCharType="begin"/>
      </w:r>
      <w:r w:rsidR="00E41BE0">
        <w:rPr>
          <w:rFonts w:ascii="Times New Roman" w:hAnsi="Times New Roman" w:cs="Times New Roman"/>
        </w:rPr>
        <w:instrText xml:space="preserve"> ADDIN ZOTERO_ITEM CSL_CITATION {"citationID":"WeJAsJMY","properties":{"formattedCitation":"[2]","plainCitation":"[2]","noteIndex":0},"citationItems":[{"id":722,"uris":["http://zotero.org/users/11240916/items/MGY99I7V"],"itemData":{"id":722,"type":"article-journal","container-title":"eClinicalMedicine","DOI":"10.1016/j.eclinm.2023.101936","ISSN":"2589-5370","journalAbbreviation":"eClinicalMedicine","language":"English","publisher":"Elsevier","source":"www.thelancet.com","title":"Global burden of chronic respiratory diseases and risk factors, 1990–2019: an update from the Global Burden of Disease Study 2019","title-short":"Global burden of chronic respiratory diseases and risk factors, 1990–2019","URL":"https://www.thelancet.com/journals/eclinm/article/PIIS2589-5370%2823%2900113-X/fulltext?utm_source=chatgpt.com","volume":"59","author":[{"family":"Momtazmanesh","given":"Sara"},{"family":"Moghaddam","given":"Sahar Saeedi"},{"family":"Ghamari","given":"Seyyed-Hadi"},{"family":"Rad","given":"Elaheh Malakan"},{"family":"Rezaei","given":"Negar"},{"family":"Shobeiri","given":"Parnian"},{"family":"Aali","given":"Amirali"},{"family":"Abbasi-Kangevari","given":"Mohsen"},{"family":"Abbasi-Kangevari","given":"Zeinab"},{"family":"Abdelmasseh","given":"Michael"},{"family":"Abdoun","given":"Meriem"},{"family":"Abdulah","given":"Deldar Morad"},{"family":"Abdullah","given":"Abu Yousuf Md"},{"family":"Abedi","given":"Aidin"},{"family":"Abolhassani","given":"Hassan"},{"family":"Abrehdari-Tafreshi","given":"Zahra"},{"family":"Achappa","given":"Basavaprabhu"},{"family":"Adane","given":"Denberu Eshetie Adane"},{"family":"Adane","given":"Tigist Demssew"},{"family":"Addo","given":"Isaac Yeboah"},{"family":"Adnan","given":"Mohammad"},{"family":"Adnani","given":"Qorinah Estiningtyas Sakilah"},{"family":"Ahmad","given":"Sajjad"},{"family":"Ahmadi","given":"Ali"},{"family":"Ahmadi","given":"Keivan"},{"family":"Ahmed","given":"Ali"},{"family":"Ahmed","given":"Ayman"},{"family":"Rashid","given":"Tarik Ahmed"},{"family":"Hamad","given":"Hanadi Al"},{"family":"Alahdab","given":"Fares"},{"family":"Alemayehu","given":"Astawus"},{"family":"Alif","given":"Sheikh Mohammad"},{"family":"Aljunid","given":"Syed Mohamed"},{"family":"Almustanyir","given":"Sami"},{"family":"Altirkawi","given":"Khalid A."},{"family":"Alvis-Guzman","given":"Nelson"},{"family":"Dehkordi","given":"Javad Aminian"},{"family":"Amir-Behghadami","given":"Mehrdad"},{"family":"Ancuceanu","given":"Robert"},{"family":"Andrei","given":"Catalina Liliana"},{"family":"Andrei","given":"Tudorel"},{"family":"Antony","given":"Catherine M."},{"family":"Anyasodor","given":"Anayochukwu Edward"},{"family":"Arabloo","given":"Jalal"},{"family":"Arulappan","given":"Judie"},{"family":"Ashraf","given":"Tahira"},{"family":"Athari","given":"Seyyed Shamsadin"},{"family":"Attia","given":"Engi F."},{"family":"Ayele","given":"Meshesha Tsegazeab"},{"family":"Azadnajafabad","given":"Sina"},{"family":"Babu","given":"Abraham Samuel"},{"family":"Bagherieh","given":"Sara"},{"family":"Baltatu","given":"Ovidiu Constantin"},{"family":"Banach","given":"Maciej"},{"family":"Bardhan","given":"Mainak"},{"family":"Barone-Adesi","given":"Francesco"},{"family":"Barrow","given":"Amadou"},{"family":"Basu","given":"Saurav"},{"family":"Bayileyegn","given":"Nebiyou Simegnew"},{"family":"Bensenor","given":"Isabela M."},{"family":"Bhardwaj","given":"Nikha"},{"family":"Bhardwaj","given":"Pankaj"},{"family":"Bhat","given":"Ajay Nagesh"},{"family":"Bhattacharyya","given":"Krittika"},{"family":"Bouaoud","given":"Souad"},{"family":"Braithwaite","given":"Dejana"},{"family":"Brauer","given":"Michael"},{"family":"Butt","given":"Muhammad Hammad"},{"family":"Butt","given":"Zahid A."},{"family":"Calina","given":"Daniela"},{"family":"Cámera","given":"Luis Alberto"},{"family":"Chanie","given":"Gashaw Sisay"},{"family":"Charalampous","given":"Periklis"},{"family":"Chattu","given":"Vijay Kumar"},{"family":"Chimed-Ochir","given":"Odgerel"},{"family":"Chu","given":"Dinh-Toi"},{"family":"Cohen","given":"Aaron J."},{"family":"Cruz-Martins","given":"Natália"},{"family":"Dadras","given":"Omid"},{"family":"Darwesh","given":"Aso Mohammad"},{"family":"Das","given":"Saswati"},{"family":"Debela","given":"Sisay Abebe"},{"family":"Delgado-Ortiz","given":"Laura"},{"family":"Dereje","given":"Diriba"},{"family":"Dianatinasab","given":"Mostafa"},{"family":"Diao","given":"Nancy"},{"family":"Diaz","given":"Daniel"},{"family":"Digesa","given":"Lankamo Ena"},{"family":"Dirirsa","given":"Gebisa"},{"family":"Doku","given":"Paul Narh"},{"family":"Dongarwar","given":"Deepa"},{"family":"Douiri","given":"Abdel"},{"family":"Dsouza","given":"Haneil Larson"},{"family":"Eini","given":"Ebrahim"},{"family":"Ekholuenetale","given":"Michael"},{"family":"Ekundayo","given":"Temitope Cyrus"},{"family":"Elagali","given":"Ahmed Elabbas Mustafa"},{"family":"Elhadi","given":"Muhammed"},{"family":"Enyew","given":"Daniel Berhanie"},{"family":"Erkhembayar","given":"Ryenchindorj"},{"family":"Etaee","given":"Farshid"},{"family":"Fagbamigbe","given":"Adeniyi Francis"},{"family":"Faro","given":"Andre"},{"family":"Fatehizadeh","given":"Ali"},{"family":"Fekadu","given":"Ginenus"},{"family":"Filip","given":"Irina"},{"family":"Fischer","given":"Florian"},{"family":"Foroutan","given":"Masoud"},{"family":"Franklin","given":"Richard Charles"},{"family":"Gaal","given":"Peter Andras"},{"family":"Gaihre","given":"Santosh"},{"family":"Gaipov","given":"Abduzhappar"},{"family":"Gebrehiwot","given":"Mesfin"},{"family":"Gerema","given":"Urge"},{"family":"Getachew","given":"Motuma Erena"},{"family":"Getachew","given":"Tamiru"},{"family":"Ghafourifard","given":"Mansour"},{"family":"Ghanbari","given":"Reza"},{"family":"Ghashghaee","given":"Ahmad"},{"family":"Gholami","given":"Ali"},{"family":"Gil","given":"Artyom Urievich"},{"family":"Golechha","given":"Mahaveer"},{"family":"Goleij","given":"Pouya"},{"family":"Golinelli","given":"Davide"},{"family":"Guadie","given":"Habtamu Alganeh"},{"family":"Gupta","given":"Bhawna"},{"family":"Gupta","given":"Sapna"},{"family":"Gupta","given":"Veer Bala"},{"family":"Gupta","given":"Vivek Kumar"},{"family":"Hadei","given":"Mostafa"},{"family":"Halwani","given":"Rabih"},{"family":"Hanif","given":"Asif"},{"family":"Hargono","given":"Arief"},{"family":"Harorani","given":"Mehdi"},{"family":"Hartono","given":"Risky Kusuma"},{"family":"Hasani","given":"Hamidreza"},{"family":"Hashi","given":"Abdiwahab"},{"family":"Hay","given":"Simon I."},{"family":"Heidari","given":"Mohammad"},{"family":"Hellemons","given":"Merel E."},{"family":"Herteliu","given":"Claudiu"},{"family":"Holla","given":"Ramesh"},{"family":"Horita","given":"Nobuyuki"},{"family":"Hoseini","given":"Mohammad"},{"family":"Hosseinzadeh","given":"Mehdi"},{"family":"Huang","given":"Junjie"},{"family":"Hussain","given":"Salman"},{"family":"Hwang","given":"Bing-Fang"},{"family":"Iavicoli","given":"Ivo"},{"family":"Ibitoye","given":"Segun Emmanuel"},{"family":"Ibrahim","given":"Sufyan"},{"family":"Ilesanmi","given":"Olayinka Stephen"},{"family":"Ilic","given":"Irena M."},{"family":"Ilic","given":"Milena D."},{"family":"Immurana","given":"Mustapha"},{"family":"Ismail","given":"Nahlah Elkudssiah"},{"family":"J","given":"Linda Merin"},{"family":"Jakovljevic","given":"Mihajlo"},{"family":"Jamshidi","given":"Elham"},{"family":"Janodia","given":"Manthan Dilipkumar"},{"family":"Javaheri","given":"Tahereh"},{"family":"Jayapal","given":"Sathish Kumar"},{"family":"Jayaram","given":"Shubha"},{"family":"Jha","given":"Ravi Prakash"},{"family":"Johnson","given":"Olatunji"},{"family":"Joo","given":"Tamas"},{"family":"Joseph","given":"Nitin"},{"family":"Jozwiak","given":"Jacek Jerzy"},{"family":"K","given":"Vaishali"},{"family":"Kaambwa","given":"Billingsley"},{"family":"Kabir","given":"Zubair"},{"family":"Kalankesh","given":"Laleh R."},{"family":"Kalhor","given":"Rohollah"},{"family":"Kandel","given":"Himal"},{"family":"Karanth","given":"Shama D."},{"family":"Karaye","given":"Ibraheem M."},{"family":"Kassa","given":"Bekalu Getnet"},{"family":"Kassie","given":"Gizat M."},{"family":"Keikavoosi-Arani","given":"Leila"},{"family":"Keykhaei","given":"Mohammad"},{"family":"Khajuria","given":"Himanshu"},{"family":"Khan","given":"Imteyaz A."},{"family":"Khan","given":"Moien A. B."},{"family":"Khan","given":"Yusra H."},{"family":"Khreis","given":"Haneen"},{"family":"Kim","given":"Min Seo"},{"family":"Kisa","given":"Adnan"},{"family":"Kisa","given":"Sezer"},{"family":"Knibbs","given":"Luke D."},{"family":"Kolkhir","given":"Pavel"},{"family":"Komaki","given":"Somayeh"},{"family":"Kompani","given":"Farzad"},{"family":"Koohestani","given":"Hamid Reza"},{"family":"Koolivand","given":"Ali"},{"family":"Korzh","given":"Oleksii"},{"family":"Koyanagi","given":"Ai"},{"family":"Krishan","given":"Kewal"},{"family":"Krohn","given":"Kris J."},{"family":"Kumar","given":"Naveen"},{"family":"Kumar","given":"Nithin"},{"family":"Kurmi","given":"Om P."},{"family":"Kuttikkattu","given":"Ambily"},{"family":"Vecchia","given":"Carlo La"},{"family":"Lám","given":"Judit"},{"family":"Lan","given":"Qing"},{"family":"Lasrado","given":"Savita"},{"family":"Latief","given":"Kamaluddin"},{"family":"Lauriola","given":"Paolo"},{"family":"Lee","given":"Sang-woong"},{"family":"Lee","given":"Yo Han"},{"family":"Legesse","given":"Samson Mideksa"},{"family":"Lenzi","given":"Jacopo"},{"family":"Li","given":"Ming-Chieh"},{"family":"Lin","given":"Ro-Ting"},{"family":"Liu","given":"Gang"},{"family":"Liu","given":"Wei"},{"family":"Lo","given":"Chun-Han"},{"family":"Lorenzovici","given":"László"},{"family":"Lu","given":"Yifei"},{"family":"Mahalingam","given":"Soundarya"},{"family":"Mahmoudi","given":"Elham"},{"family":"Mahotra","given":"Narayan B."},{"family":"Malekpour","given":"Mohammad-Reza"},{"family":"Malik","given":"Ahmad Azam"},{"family":"Mallhi","given":"Tauqeer Hussain"},{"family":"Malta","given":"Deborah Carvalho"},{"family":"Mansouri","given":"Borhan"},{"family":"Mathews","given":"Elezebeth"},{"family":"Maulud","given":"Sazan Qadir"},{"family":"Mechili","given":"Enkeleint A."},{"family":"Nasab","given":"Entezar Mehrabi"},{"family":"Menezes","given":"Ritesh G."},{"family":"Mengistu","given":"Dechasa Adare"},{"family":"Mentis","given":"Alexios-Fotios"},{"family":"Meshkat","given":"Mahboobeh"},{"family":"Mestrovic","given":"Tomislav"},{"family":"Sá","given":"Ana Carolina Micheletti Gomide Nogueira","dropping-particle":"de"},{"family":"Mirrakhimov","given":"Erkin M."},{"family":"Misganaw","given":"Awoke"},{"family":"Mithra","given":"Prasanna"},{"family":"Moghadasi","given":"Javad"},{"family":"Mohammadi","given":"Esmaeil"},{"family":"Mohammadi","given":"Mokhtar"},{"family":"Mohammadshahi","given":"Marita"},{"family":"Mohammed","given":"Shafiu"},{"family":"Mohan","given":"Syam"},{"family":"Moka","given":"Nagabhishek"},{"family":"Monasta","given":"Lorenzo"},{"family":"Moni","given":"Mohammad Ali"},{"family":"Moniruzzaman","given":"Md"},{"family":"Montazeri","given":"Fateme"},{"family":"Moradi","given":"Maryam"},{"family":"Mostafavi","given":"Ebrahim"},{"family":"Mpundu-Kaambwa","given":"Christine"},{"family":"Murillo-Zamora","given":"Efrén"},{"family":"Murray","given":"Christopher J. L."},{"family":"Nair","given":"Tapas Sadasivan"},{"family":"Nangia","given":"Vinay"},{"family":"Swamy","given":"Sreenivas Narasimha"},{"family":"Narayana","given":"Aparna Ichalangod"},{"family":"Natto","given":"Zuhair S."},{"family":"Nayak","given":"Biswa Prakash"},{"family":"Negash","given":"Wogene Wogene"},{"family":"Nena","given":"Evangelia"},{"family":"Kandel","given":"Sandhya Neupane"},{"family":"Niazi","given":"Robina Khan"},{"family":"Sá","given":"Antonio Tolentino Nogueira","dropping-particle":"de"},{"family":"Nowroozi","given":"Ali"},{"family":"Nzoputam","given":"Chimezie Igwegbe"},{"family":"Nzoputam","given":"Ogochukwu Janet"},{"family":"Oancea","given":"Bogdan"},{"family":"Obaidur","given":"Rahman Md"},{"family":"Odukoya","given":"Oluwakemi Ololade"},{"family":"Okati-Aliabad","given":"Hassan"},{"family":"Okekunle","given":"Akinkunmi Paul"},{"family":"Okonji","given":"Osaretin Christabel"},{"family":"Olagunju","given":"Andrew T."},{"family":"Bali","given":"Ahmed Omar"},{"family":"Ostojic","given":"Sergej M."},{"family":"A","given":"Mahesh P."},{"family":"Padron-Monedero","given":"Alicia"},{"family":"Padubidri","given":"Jagadish Rao"},{"family":"Fallahy","given":"Mohammad Taha Pahlevan"},{"family":"Palicz","given":"Tamás"},{"family":"Pana","given":"Adrian"},{"family":"Park","given":"Eun-Kee"},{"family":"Patel","given":"Jay"},{"family":"Paudel","given":"Rajan"},{"family":"Paudel","given":"Uttam"},{"family":"Pedersini","given":"Paolo"},{"family":"Pereira","given":"Marcos"},{"family":"Pereira","given":"Renato B."},{"family":"Petcu","given":"Ionela-Roxana"},{"family":"Pirestani","given":"Majid"},{"family":"Postma","given":"Maarten J."},{"family":"Prashant","given":"Akila"},{"family":"Rabiee","given":"Mohammad"},{"family":"Radfar","given":"Amir"},{"family":"Rafiei","given":"Sima"},{"family":"Rahim","given":"Fakher"},{"family":"Rahman","given":"Mohammad Hifz Ur"},{"family":"Rahman","given":"Mosiur"},{"family":"Rahman","given":"Muhammad Aziz"},{"family":"Rahmani","given":"Amir Masoud"},{"family":"Rahmani","given":"Shayan"},{"family":"Rahmanian","given":"Vahid"},{"family":"Rajput","given":"Prashant"},{"family":"Rana","given":"Juwel"},{"family":"Rao","given":"Chythra R."},{"family":"Rao","given":"Sowmya J."},{"family":"Rashedi","given":"Sina"},{"family":"Rashidi","given":"Mohammad-Mahdi"},{"family":"Ratan","given":"Zubair Ahmed"},{"family":"Rawaf","given":"David Laith"},{"family":"Rawaf","given":"Salman"},{"family":"Rawal","given":"Lal"},{"family":"Rawassizadeh","given":"Reza"},{"family":"Razeghinia","given":"Mohammad Sadegh"},{"family":"Redwan","given":"Elrashdy Moustafa Mohamed"},{"family":"Rezaei","given":"Maryam"},{"family":"Rezaei","given":"Nazila"},{"family":"Rezaei","given":"Nima"},{"family":"Rezaeian","given":"Mohsen"},{"family":"Rodrigues","given":"Mónica"},{"family":"Rodriguez","given":"Jefferson Antonio Buendia"},{"family":"Roever","given":"Leonardo"},{"family":"Rojas-Rueda","given":"David"},{"family":"Rudd","given":"Kristina E."},{"family":"Saad","given":"Aly M. A."},{"family":"Sabour","given":"Siamak"},{"family":"Saddik","given":"Basema"},{"family":"Sadeghi","given":"Erfan"},{"family":"Sadeghi","given":"Masoumeh"},{"family":"Saeed","given":"Umar"},{"family":"Sahebazzamani","given":"Maryam"},{"family":"Sahebkar","given":"Amirhossein"},{"family":"Sahoo","given":"Harihar"},{"family":"Sajid","given":"Mirza Rizwan"},{"family":"Sakhamuri","given":"Sateesh"},{"family":"Salehi","given":"Sana"},{"family":"Samy","given":"Abdallah M."},{"family":"Santric-Milicevic","given":"Milena M."},{"family":"Jose","given":"Bruno Piassi Sao"},{"family":"Sathian","given":"Brijesh"},{"family":"Satpathy","given":"Maheswar"},{"family":"Saya","given":"Ganesh Kumar"},{"family":"Senthilkumaran","given":"Subramanian"},{"family":"Seylani","given":"Allen"},{"family":"Shahabi","given":"Saeed"},{"family":"Shaikh","given":"Masood Ali"},{"family":"Shanawaz","given":"Mohd"},{"family":"Shannawaz","given":"Mohammed"},{"family":"Sheikhi","given":"Rahim Ali"},{"family":"Shekhar","given":"Shashank"},{"family":"Sibhat","given":"Migbar Mekonnen"},{"family":"Simpson","given":"Colin R."},{"family":"Singh","given":"Jasvinder A."},{"family":"Singh","given":"Paramdeep"},{"family":"Singh","given":"Surjit"},{"family":"Skryabin","given":"Valentin Yurievich"},{"family":"Skryabina","given":"Anna Aleksandrovna"},{"family":"Soltani-Zangbar","given":"Mohammad Sadegh"},{"family":"Song","given":"Suhang"},{"family":"Soyiri","given":"Ireneous N."},{"family":"Steiropoulos","given":"Paschalis"},{"family":"Stockfelt","given":"Leo"},{"family":"Sun","given":"Jing"},{"family":"Takahashi","given":"Ken"},{"family":"Talaat","given":"Iman M."},{"family":"Tan","given":"Ker-Kan"},{"family":"Tat","given":"Nathan Y."},{"family":"Tat","given":"Vivian Y."},{"family":"Taye","given":"Birhan Tsegaw"},{"family":"Thangaraju","given":"Pugazhenthan"},{"family":"Thapar","given":"Rekha"},{"family":"Thienemann","given":"Friedrich"},{"family":"Tiyuri","given":"Amir"},{"family":"Tran","given":"Mai Thi Ngoc"},{"family":"Tripathy","given":"Jaya Prasad"},{"family":"Car","given":"Lorainne Tudor"},{"family":"Tusa","given":"Biruk Shalmeno"},{"family":"Ullah","given":"Irfan"},{"family":"Ullah","given":"Sana"},{"family":"Vacante","given":"Marco"},{"family":"Valdez","given":"Pascual R."},{"family":"Valizadeh","given":"Rohollah"},{"family":"Boven","given":"Job F. M.","dropping-particle":"van"},{"family":"Vasankari","given":"Tommi Juhani"},{"family":"Vaziri","given":"Siavash"},{"family":"Violante","given":"Francesco S."},{"family":"Vo","given":"Bay"},{"family":"Wang","given":"Ning"},{"family":"Wei","given":"Melissa Y."},{"family":"Westerman","given":"Ronny"},{"family":"Wickramasinghe","given":"Nuwan Darshana"},{"family":"Xu","given":"Suowen"},{"family":"Xu","given":"Xiaoyue"},{"family":"Yadav","given":"Lalit"},{"family":"Yismaw","given":"Yazachew"},{"family":"Yon","given":"Dong Keon"},{"family":"Yonemoto","given":"Naohiro"},{"family":"Yu","given":"Chuanhua"},{"family":"Yu","given":"Yong"},{"family":"Yunusa","given":"Ismaeel"},{"family":"Zahir","given":"Mazyar"},{"family":"Zangiabadian","given":"Moein"},{"family":"Zareshahrabadi","given":"Zahra"},{"family":"Zarrintan","given":"Armin"},{"family":"Zastrozhin","given":"Mikhail Sergeevich"},{"family":"Zegeye","given":"Zelalem Banjaw"},{"family":"Zhang","given":"Yunquan"},{"family":"Naghavi","given":"Mohsen"},{"family":"Larijani","given":"Bagher"},{"family":"Farzadfar","given":"Farshad"}],"accessed":{"date-parts":[["2026",1,28]]},"issued":{"date-parts":[["2023",5,1]]}}}],"schema":"https://github.com/citation-style-language/schema/raw/master/csl-citation.json"} </w:instrText>
      </w:r>
      <w:r w:rsidR="00E41BE0">
        <w:rPr>
          <w:rFonts w:ascii="Times New Roman" w:hAnsi="Times New Roman" w:cs="Times New Roman"/>
        </w:rPr>
        <w:fldChar w:fldCharType="separate"/>
      </w:r>
      <w:r w:rsidR="00E41BE0" w:rsidRPr="00E41BE0">
        <w:rPr>
          <w:rFonts w:ascii="Times New Roman" w:hAnsi="Times New Roman" w:cs="Times New Roman"/>
        </w:rPr>
        <w:t>[2]</w:t>
      </w:r>
      <w:r w:rsidR="00E41BE0">
        <w:rPr>
          <w:rFonts w:ascii="Times New Roman" w:hAnsi="Times New Roman" w:cs="Times New Roman"/>
        </w:rPr>
        <w:fldChar w:fldCharType="end"/>
      </w:r>
      <w:r w:rsidR="00E41BE0" w:rsidRPr="00E41BE0">
        <w:rPr>
          <w:rFonts w:ascii="Times New Roman" w:hAnsi="Times New Roman" w:cs="Times New Roman"/>
        </w:rPr>
        <w:t>.</w:t>
      </w:r>
      <w:r w:rsidR="00E41BE0" w:rsidRPr="00E41BE0">
        <w:t xml:space="preserve"> </w:t>
      </w:r>
      <w:r w:rsidR="00E41BE0" w:rsidRPr="00E41BE0">
        <w:rPr>
          <w:rFonts w:ascii="Times New Roman" w:hAnsi="Times New Roman" w:cs="Times New Roman"/>
        </w:rPr>
        <w:t xml:space="preserve">Ces pathologies s’inscrivent dans des trajectoires de risque longues, façonnées par des facteurs cliniques, comportementaux et environnementaux, et documentées au quotidien par une masse croissante de données cliniques : mesures de routine , dossiers médicaux informatisés, et imagerie thoracique </w:t>
      </w:r>
      <w:r w:rsidR="00E41BE0">
        <w:rPr>
          <w:rFonts w:ascii="Times New Roman" w:hAnsi="Times New Roman" w:cs="Times New Roman"/>
        </w:rPr>
        <w:t xml:space="preserve"> </w:t>
      </w:r>
      <w:r w:rsidR="00E41BE0">
        <w:rPr>
          <w:rFonts w:ascii="Times New Roman" w:hAnsi="Times New Roman" w:cs="Times New Roman"/>
        </w:rPr>
        <w:fldChar w:fldCharType="begin"/>
      </w:r>
      <w:r w:rsidR="00E41BE0">
        <w:rPr>
          <w:rFonts w:ascii="Times New Roman" w:hAnsi="Times New Roman" w:cs="Times New Roman"/>
        </w:rPr>
        <w:instrText xml:space="preserve"> ADDIN ZOTERO_ITEM CSL_CITATION {"citationID":"cnYThOPi","properties":{"formattedCitation":"[3]","plainCitation":"[3]","noteIndex":0},"citationItems":[{"id":724,"uris":["http://zotero.org/users/11240916/items/U9DLUVKD"],"itemData":{"id":724,"type":"document","title":"OMSRapport2024.pdf","URL":"https://frhta.org/wp-content/uploads/2024/05/OMSRapport2024.pdf?utm_source=chatgpt.com","accessed":{"date-parts":[["2026",1,28]]}}}],"schema":"https://github.com/citation-style-language/schema/raw/master/csl-citation.json"} </w:instrText>
      </w:r>
      <w:r w:rsidR="00E41BE0">
        <w:rPr>
          <w:rFonts w:ascii="Times New Roman" w:hAnsi="Times New Roman" w:cs="Times New Roman"/>
        </w:rPr>
        <w:fldChar w:fldCharType="separate"/>
      </w:r>
      <w:r w:rsidR="00E41BE0" w:rsidRPr="00E41BE0">
        <w:rPr>
          <w:rFonts w:ascii="Times New Roman" w:hAnsi="Times New Roman" w:cs="Times New Roman"/>
        </w:rPr>
        <w:t>[3]</w:t>
      </w:r>
      <w:r w:rsidR="00E41BE0">
        <w:rPr>
          <w:rFonts w:ascii="Times New Roman" w:hAnsi="Times New Roman" w:cs="Times New Roman"/>
        </w:rPr>
        <w:fldChar w:fldCharType="end"/>
      </w:r>
      <w:r w:rsidR="00E41BE0" w:rsidRPr="00E41BE0">
        <w:rPr>
          <w:rFonts w:ascii="Times New Roman" w:hAnsi="Times New Roman" w:cs="Times New Roman"/>
        </w:rPr>
        <w:t>.</w:t>
      </w:r>
      <w:r w:rsidR="00062FD1">
        <w:rPr>
          <w:rFonts w:ascii="Times New Roman" w:hAnsi="Times New Roman" w:cs="Times New Roman"/>
        </w:rPr>
        <w:t xml:space="preserve"> </w:t>
      </w:r>
      <w:r w:rsidR="00062FD1" w:rsidRPr="00062FD1">
        <w:rPr>
          <w:rFonts w:ascii="Times New Roman" w:hAnsi="Times New Roman" w:cs="Times New Roman"/>
        </w:rPr>
        <w:t>Dans ce contexte, la capacité à exploiter systématiquement ces données pour identifier précocement les patients à haut risque  cardiovasculaire ou respiratoire est devenue un enjeu central de la prévention et de la prise en charge.</w:t>
      </w:r>
    </w:p>
    <w:p w14:paraId="182058C4" w14:textId="39F5508A" w:rsidR="00062FD1" w:rsidRDefault="00062FD1" w:rsidP="0048415A">
      <w:pPr>
        <w:jc w:val="both"/>
        <w:rPr>
          <w:rFonts w:ascii="Times New Roman" w:hAnsi="Times New Roman" w:cs="Times New Roman"/>
        </w:rPr>
      </w:pPr>
      <w:r w:rsidRPr="00062FD1">
        <w:rPr>
          <w:rFonts w:ascii="Times New Roman" w:hAnsi="Times New Roman" w:cs="Times New Roman"/>
        </w:rPr>
        <w:t xml:space="preserve">L’essor de l’intelligence artificielle (IA) et de l’apprentissage automatique a profondément renouvelé les perspectives en matière de modélisation du risque et d’aide à la décision clinique. Sur données tabulaires, de nombreuses études ont montré que des algorithmes de machine </w:t>
      </w:r>
      <w:proofErr w:type="spellStart"/>
      <w:r w:rsidRPr="00062FD1">
        <w:rPr>
          <w:rFonts w:ascii="Times New Roman" w:hAnsi="Times New Roman" w:cs="Times New Roman"/>
        </w:rPr>
        <w:t>learning</w:t>
      </w:r>
      <w:proofErr w:type="spellEnd"/>
      <w:r w:rsidRPr="00062FD1">
        <w:rPr>
          <w:rFonts w:ascii="Times New Roman" w:hAnsi="Times New Roman" w:cs="Times New Roman"/>
        </w:rPr>
        <w:t xml:space="preserve"> – forêts aléatoires, gradient boosting, réseaux de neurones appliqués à des cohortes cardiovasculaires de type Framingham peuvent atteindre, voire dépasser, les performances des modèles de régression classiques pour la prédiction d’événements coronariens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{"citationID":"LvROd7NL","properties":{"formattedCitation":"[4]","plainCitation":"[4]","noteIndex":0},"citationItems":[{"id":725,"uris":["http://zotero.org/users/11240916/items/MNCT8I87"],"itemData":{"id":725,"type":"article-journal","abstract":"Monitoring cardiovascular health enables continuous and real-time risk assessment. This study utilized the Framingham Heart Study dataset to develop and evaluate machine-learning models for predicting mortality risk based on key cardiovascular parameters. Some machine-learning algorithms were applied to multiple machine-learning models. Among these, XGBoost achieved the highest predictive performance, each with an area under the curve (AUC) value of 0.83. Feature importance analysis revealed that coronary artery disease, glucose levels, and diastolic blood pressure (DIABP) were the most significant risk factors associated with mortality. The primary contribution of this research lies in its implications for public health and preventive medicine. By identifying key risk factors, it becomes possible to calculate individual and population-level risk scores and to design targeted early intervention strategies aimed at reducing cardiovascular-related mortality.","container-title":"Applied Sciences","DOI":"10.3390/app15158671","ISSN":"2076-3417","issue":"15","language":"en","license":"http://creativecommons.org/licenses/by/3.0/","page":"8671","publisher":"Multidisciplinary Digital Publishing Institute","source":"www.mdpi.com","title":"Machine-Learning Insights from the Framingham Heart Study: Enhancing Cardiovascular Risk Prediction and Monitoring","title-short":"Machine-Learning Insights from the Framingham Heart Study","volume":"15","author":[{"family":"Yuda","given":"Emi"},{"family":"Kaneko","given":"Itaru"},{"family":"Hirahara","given":"Daisuke"}],"issued":{"date-parts":[["2025",1]]}}}],"schema":"https://github.com/citation-style-language/schema/raw/master/csl-citation.json"} </w:instrText>
      </w:r>
      <w:r>
        <w:rPr>
          <w:rFonts w:ascii="Times New Roman" w:hAnsi="Times New Roman" w:cs="Times New Roman"/>
        </w:rPr>
        <w:fldChar w:fldCharType="separate"/>
      </w:r>
      <w:r w:rsidRPr="00062FD1">
        <w:rPr>
          <w:rFonts w:ascii="Times New Roman" w:hAnsi="Times New Roman" w:cs="Times New Roman"/>
        </w:rPr>
        <w:t>[4]</w:t>
      </w:r>
      <w:r>
        <w:rPr>
          <w:rFonts w:ascii="Times New Roman" w:hAnsi="Times New Roman" w:cs="Times New Roman"/>
        </w:rPr>
        <w:fldChar w:fldCharType="end"/>
      </w:r>
      <w:r w:rsidRPr="00062FD1">
        <w:rPr>
          <w:rFonts w:ascii="Times New Roman" w:hAnsi="Times New Roman" w:cs="Times New Roman"/>
        </w:rPr>
        <w:t>.</w:t>
      </w:r>
      <w:r w:rsidRPr="00062FD1">
        <w:t xml:space="preserve"> </w:t>
      </w:r>
      <w:r w:rsidRPr="00062FD1">
        <w:rPr>
          <w:rFonts w:ascii="Times New Roman" w:hAnsi="Times New Roman" w:cs="Times New Roman"/>
        </w:rPr>
        <w:t xml:space="preserve">En imagerie, les réseaux de neurones </w:t>
      </w:r>
      <w:proofErr w:type="spellStart"/>
      <w:r w:rsidR="00A43C8F" w:rsidRPr="00062FD1">
        <w:rPr>
          <w:rFonts w:ascii="Times New Roman" w:hAnsi="Times New Roman" w:cs="Times New Roman"/>
        </w:rPr>
        <w:t>convolutionels</w:t>
      </w:r>
      <w:proofErr w:type="spellEnd"/>
      <w:r w:rsidRPr="00062FD1">
        <w:rPr>
          <w:rFonts w:ascii="Times New Roman" w:hAnsi="Times New Roman" w:cs="Times New Roman"/>
        </w:rPr>
        <w:t xml:space="preserve"> ont démontré leur capacité à détecter des pneumopathies ou des anomalies thoraciques sur radiographies à un niveau proche, voire supérieur, à celui de radiologues experts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{"citationID":"W4AvSfed","properties":{"formattedCitation":"[5]","plainCitation":"[5]","noteIndex":0},"citationItems":[{"id":727,"uris":["http://zotero.org/users/11240916/items/AC7Y853P"],"itemData":{"id":727,"type":"article","abstract":"We develop an algorithm that can detect pneumonia from chest X-rays at a level exceeding practicing radiologists. Our algorithm,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diseases.","DOI":"10.48550/arXiv.1711.05225","note":"ADS Bibcode: 2017arXiv171105225R","publisher":"arXiv","source":"NASA ADS","title":"CheXNet: Radiologist-Level Pneumonia Detection on Chest X-Rays with Deep Learning","title-short":"CheXNet","URL":"https://ui.adsabs.harvard.edu/abs/2017arXiv171105225R","author":[{"family":"Rajpurkar","given":"Pranav"},{"family":"Irvin","given":"Jeremy"},{"family":"Zhu","given":"Kaylie"},{"family":"Yang","given":"Brandon"},{"family":"Mehta","given":"Hershel"},{"family":"Duan","given":"Tony"},{"family":"Ding","given":"Daisy"},{"family":"Bagul","given":"Aarti"},{"family":"Langlotz","given":"Curtis"},{"family":"Shpanskaya","given":"Katie"},{"family":"Lungren","given":"Matthew P."},{"family":"Ng","given":"Andrew Y."}],"accessed":{"date-parts":[["2026",1,28]]},"issued":{"date-parts":[["2017",11,1]]}}}],"schema":"https://github.com/citation-style-language/schema/raw/master/csl-citation.json"} </w:instrText>
      </w:r>
      <w:r>
        <w:rPr>
          <w:rFonts w:ascii="Times New Roman" w:hAnsi="Times New Roman" w:cs="Times New Roman"/>
        </w:rPr>
        <w:fldChar w:fldCharType="separate"/>
      </w:r>
      <w:r w:rsidRPr="00062FD1">
        <w:rPr>
          <w:rFonts w:ascii="Times New Roman" w:hAnsi="Times New Roman" w:cs="Times New Roman"/>
        </w:rPr>
        <w:t>[5]</w:t>
      </w:r>
      <w:r>
        <w:rPr>
          <w:rFonts w:ascii="Times New Roman" w:hAnsi="Times New Roman" w:cs="Times New Roman"/>
        </w:rPr>
        <w:fldChar w:fldCharType="end"/>
      </w:r>
      <w:r w:rsidRPr="00062FD1">
        <w:rPr>
          <w:rFonts w:ascii="Times New Roman" w:hAnsi="Times New Roman" w:cs="Times New Roman"/>
        </w:rPr>
        <w:t>.</w:t>
      </w:r>
      <w:r>
        <w:rPr>
          <w:rFonts w:ascii="Times New Roman" w:hAnsi="Times New Roman" w:cs="Times New Roman"/>
        </w:rPr>
        <w:t xml:space="preserve"> </w:t>
      </w:r>
      <w:r w:rsidRPr="00062FD1">
        <w:rPr>
          <w:rFonts w:ascii="Times New Roman" w:hAnsi="Times New Roman" w:cs="Times New Roman"/>
        </w:rPr>
        <w:t>Toutefois, ces promesses s’accompagnent de limites majeures : généralisation parfois médiocre hors du jeu de données d’entraînement, sensibilité aux biais d’échantillonnage, difficulté à interpréter les prédictions, et risque de « sur-confiance » de l’algorithme comme du clinicien face à un score présenté sans indication d’incertitude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{"citationID":"jiBtoeif","properties":{"formattedCitation":"[6]","plainCitation":"[6]","noteIndex":0},"citationItems":[{"id":729,"uris":["http://zotero.org/users/11240916/items/XRJC7ZSU"],"itemData":{"id":729,"type":"article-journal","abstract":"The full acceptance of Deep Learning (DL) models in the clinical field is rather low with respect to the quantity of high-performing solutions reported in the literature. End users are particularly reluctant to rely on the opaque predictions of DL models. Uncertainty quantification methods have been proposed in the literature as a potential solution, to reduce the black-box effect of DL models and increase the interpretability and the acceptability of the result by the final user. In this review, we propose an overview of the existing methods to quantify uncertainty associated with DL predictions. We focus on applications to medical image analysis, which present specific challenges due to the high dimensionality of images and their variable quality, as well as constraints associated with real-world clinical routine. Moreover, we discuss the concept of structural uncertainty, a corpus of methods to facilitate the alignment of segmentation uncertainty estimates with clinical attention. We then discuss the evaluation protocols to validate the relevance of uncertainty estimates. Finally, we highlight the open challenges for uncertainty quantification in the medical field.","container-title":"Artificial Intelligence in Medicine","DOI":"10.1016/j.artmed.2024.102830","ISSN":"0933-3657","journalAbbreviation":"Artificial Intelligence in Medicine","page":"102830","source":"ScienceDirect","title":"Trustworthy clinical AI solutions: A unified review of uncertainty quantification in Deep Learning models for medical image analysis","title-short":"Trustworthy clinical AI solutions","volume":"150","author":[{"family":"Lambert","given":"Benjamin"},{"family":"Forbes","given":"Florence"},{"family":"Doyle","given":"Senan"},{"family":"Dehaene","given":"Harmonie"},{"family":"Dojat","given":"Michel"}],"issued":{"date-parts":[["2024",4,1]]}}}],"schema":"https://github.com/citation-style-language/schema/raw/master/csl-citation.json"} </w:instrText>
      </w:r>
      <w:r>
        <w:rPr>
          <w:rFonts w:ascii="Times New Roman" w:hAnsi="Times New Roman" w:cs="Times New Roman"/>
        </w:rPr>
        <w:fldChar w:fldCharType="separate"/>
      </w:r>
      <w:r w:rsidRPr="00062FD1">
        <w:rPr>
          <w:rFonts w:ascii="Times New Roman" w:hAnsi="Times New Roman" w:cs="Times New Roman"/>
        </w:rPr>
        <w:t>[6]</w:t>
      </w:r>
      <w:r>
        <w:rPr>
          <w:rFonts w:ascii="Times New Roman" w:hAnsi="Times New Roman" w:cs="Times New Roman"/>
        </w:rPr>
        <w:fldChar w:fldCharType="end"/>
      </w:r>
      <w:r w:rsidRPr="00062FD1">
        <w:rPr>
          <w:rFonts w:ascii="Times New Roman" w:hAnsi="Times New Roman" w:cs="Times New Roman"/>
        </w:rPr>
        <w:t>.</w:t>
      </w:r>
      <w:r w:rsidR="0048415A" w:rsidRPr="0048415A">
        <w:t xml:space="preserve"> </w:t>
      </w:r>
      <w:r w:rsidR="0048415A" w:rsidRPr="0048415A">
        <w:rPr>
          <w:rFonts w:ascii="Times New Roman" w:hAnsi="Times New Roman" w:cs="Times New Roman"/>
        </w:rPr>
        <w:t>Ces enjeux ont conduit les lignes directrices récentes sur l’IA clinique à insister autant sur la transparence, la calibration et la quantification de l’incertitude que sur la seule performance brute.</w:t>
      </w:r>
    </w:p>
    <w:p w14:paraId="5EBD6E0D" w14:textId="46E88DC1" w:rsidR="0048415A" w:rsidRDefault="002C2296" w:rsidP="0048415A">
      <w:pPr>
        <w:jc w:val="both"/>
        <w:rPr>
          <w:rFonts w:ascii="Times New Roman" w:hAnsi="Times New Roman" w:cs="Times New Roman"/>
        </w:rPr>
      </w:pPr>
      <w:r w:rsidRPr="002C2296">
        <w:rPr>
          <w:rFonts w:ascii="Times New Roman" w:hAnsi="Times New Roman" w:cs="Times New Roman"/>
        </w:rPr>
        <w:t>Dans ce rapport, nous abordons une problématique commune à deux champs cliniques distincts : la prévention cardiovasculaire et le diagnostic de pathologies pulmonaires. La question centrale est la suivante : comment développer, comparer et interpréter des approches de classification appliquées à des données tabulaires et à des images médicales, en tenant compte à la fois de leur performance et du niveau de certitude/incertitude associé aux prédictions ? Plus précisément, nous utilisons d’une part un jeu de données tabulaires issu de la Framingham Heart Study pour prédire le risque de maladie coronarienne à dix ans à partir de facteurs cliniques et biologiques, et d’autre part un jeu de radiographies thoraciques annotées pour classifier différentes atteintes pulmonaires</w:t>
      </w:r>
      <w:r w:rsidR="00A43C8F">
        <w:rPr>
          <w:rFonts w:ascii="Times New Roman" w:hAnsi="Times New Roman" w:cs="Times New Roman"/>
        </w:rPr>
        <w:t xml:space="preserve"> </w:t>
      </w:r>
      <w:r w:rsidR="00A43C8F">
        <w:rPr>
          <w:rFonts w:ascii="Times New Roman" w:hAnsi="Times New Roman" w:cs="Times New Roman"/>
        </w:rPr>
        <w:fldChar w:fldCharType="begin"/>
      </w:r>
      <w:r w:rsidR="00A43C8F">
        <w:rPr>
          <w:rFonts w:ascii="Times New Roman" w:hAnsi="Times New Roman" w:cs="Times New Roman"/>
        </w:rPr>
        <w:instrText xml:space="preserve"> ADDIN ZOTERO_ITEM CSL_CITATION {"citationID":"297BcUR7","properties":{"formattedCitation":"[5], [7]","plainCitation":"[5], [7]","noteIndex":0},"citationItems":[{"id":727,"uris":["http://zotero.org/users/11240916/items/AC7Y853P"],"itemData":{"id":727,"type":"article","abstract":"We develop an algorithm that can detect pneumonia from chest X-rays at a level exceeding practicing radiologists. Our algorithm,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diseases.","DOI":"10.48550/arXiv.1711.05225","note":"ADS Bibcode: 2017arXiv171105225R","publisher":"arXiv","source":"NASA ADS","title":"CheXNet: Radiologist-Level Pneumonia Detection on Chest X-Rays with Deep Learning","title-short":"CheXNet","URL":"https://ui.adsabs.harvard.edu/abs/2017arXiv171105225R","author":[{"family":"Rajpurkar","given":"Pranav"},{"family":"Irvin","given":"Jeremy"},{"family":"Zhu","given":"Kaylie"},{"family":"Yang","given":"Brandon"},{"family":"Mehta","given":"Hershel"},{"family":"Duan","given":"Tony"},{"family":"Ding","given":"Daisy"},{"family":"Bagul","given":"Aarti"},{"family":"Langlotz","given":"Curtis"},{"family":"Shpanskaya","given":"Katie"},{"family":"Lungren","given":"Matthew P."},{"family":"Ng","given":"Andrew Y."}],"accessed":{"date-parts":[["2026",1,28]]},"issued":{"date-parts":[["2017",11,1]]}},"label":"page"},{"id":770,"uris":["http://zotero.org/users/11240916/items/D5UTKFIT"],"itemData":{"id":770,"type":"webpage","abstract":"This long-term, multigenerational study is designed to identify common factors or characteristics that contribute to cardiovascular disease.","language":"fr","title":"Framingham Heart Study (FHS) | NHLBI, NIH","URL":"https://www.nhlbi.nih.gov/science/framingham-heart-study-fhs","accessed":{"date-parts":[["2026",1,28]]}},"label":"page"}],"schema":"https://github.com/citation-style-language/schema/raw/master/csl-citation.json"} </w:instrText>
      </w:r>
      <w:r w:rsidR="00A43C8F">
        <w:rPr>
          <w:rFonts w:ascii="Times New Roman" w:hAnsi="Times New Roman" w:cs="Times New Roman"/>
        </w:rPr>
        <w:fldChar w:fldCharType="separate"/>
      </w:r>
      <w:r w:rsidR="00A43C8F" w:rsidRPr="00A43C8F">
        <w:rPr>
          <w:rFonts w:ascii="Times New Roman" w:hAnsi="Times New Roman" w:cs="Times New Roman"/>
        </w:rPr>
        <w:t>[5], [7]</w:t>
      </w:r>
      <w:r w:rsidR="00A43C8F">
        <w:rPr>
          <w:rFonts w:ascii="Times New Roman" w:hAnsi="Times New Roman" w:cs="Times New Roman"/>
        </w:rPr>
        <w:fldChar w:fldCharType="end"/>
      </w:r>
      <w:r w:rsidR="0048415A" w:rsidRPr="0048415A">
        <w:rPr>
          <w:rFonts w:ascii="Times New Roman" w:hAnsi="Times New Roman" w:cs="Times New Roman"/>
        </w:rPr>
        <w:t>.</w:t>
      </w:r>
      <w:r w:rsidR="0048415A" w:rsidRPr="0048415A">
        <w:t xml:space="preserve"> </w:t>
      </w:r>
      <w:r w:rsidR="0048415A" w:rsidRPr="0048415A">
        <w:rPr>
          <w:rFonts w:ascii="Times New Roman" w:hAnsi="Times New Roman" w:cs="Times New Roman"/>
        </w:rPr>
        <w:t xml:space="preserve">Dans les deux cas, les modèles sont confrontés à des difficultés structurelles similaires : déséquilibre de classes (événements </w:t>
      </w:r>
      <w:r w:rsidR="0048415A" w:rsidRPr="0048415A">
        <w:rPr>
          <w:rFonts w:ascii="Times New Roman" w:hAnsi="Times New Roman" w:cs="Times New Roman"/>
        </w:rPr>
        <w:lastRenderedPageBreak/>
        <w:t>cardiovasculaires minoritaires, pathologies pulmonaires moins fréquentes que les clichés normaux), hétérogénéité des données et nécessité d’ancrer les performances observées dans une analyse explicite de l’incertitude.</w:t>
      </w:r>
    </w:p>
    <w:p w14:paraId="67C4E227" w14:textId="268E59DD" w:rsidR="002C2296" w:rsidRDefault="00787703" w:rsidP="0048415A">
      <w:pPr>
        <w:jc w:val="both"/>
        <w:rPr>
          <w:rFonts w:ascii="Times New Roman" w:hAnsi="Times New Roman" w:cs="Times New Roman"/>
        </w:rPr>
      </w:pPr>
      <w:r w:rsidRPr="00787703">
        <w:rPr>
          <w:rFonts w:ascii="Times New Roman" w:hAnsi="Times New Roman" w:cs="Times New Roman"/>
        </w:rPr>
        <w:t>Ce rapport s’inscrit dans cette problématique générale, en s’intéressant à deux applications cliniques complémentaires  la prédiction du risque cardiovasculaire à partir de données tabulaires et la classification de pathologies pulmonaires sur images  qui partagent des enjeux méthodologiques communs : gestion du déséquilibre de classes, choix des algorithmes de classification, évaluation fine des performances et quantification de la certitude ou de l’incertitude associée aux prédictions.</w:t>
      </w:r>
    </w:p>
    <w:p w14:paraId="0CDAB22E" w14:textId="12085B69" w:rsidR="00787703" w:rsidRPr="00787703" w:rsidRDefault="00787703" w:rsidP="0048415A">
      <w:pPr>
        <w:jc w:val="both"/>
        <w:rPr>
          <w:rFonts w:ascii="Times New Roman" w:hAnsi="Times New Roman" w:cs="Times New Roman"/>
          <w:b/>
          <w:bCs/>
        </w:rPr>
      </w:pPr>
      <w:r w:rsidRPr="00787703">
        <w:rPr>
          <w:rFonts w:ascii="Times New Roman" w:hAnsi="Times New Roman" w:cs="Times New Roman"/>
          <w:b/>
          <w:bCs/>
        </w:rPr>
        <w:t>OBJECTIF</w:t>
      </w:r>
      <w:r w:rsidR="00ED7FC8">
        <w:rPr>
          <w:rFonts w:ascii="Times New Roman" w:hAnsi="Times New Roman" w:cs="Times New Roman"/>
          <w:b/>
          <w:bCs/>
        </w:rPr>
        <w:t>S</w:t>
      </w:r>
    </w:p>
    <w:p w14:paraId="24917477" w14:textId="461C50F0" w:rsidR="00787703" w:rsidRPr="00787703" w:rsidRDefault="00787703" w:rsidP="00787703">
      <w:pPr>
        <w:jc w:val="both"/>
        <w:rPr>
          <w:rFonts w:ascii="Times New Roman" w:hAnsi="Times New Roman" w:cs="Times New Roman"/>
        </w:rPr>
      </w:pPr>
      <w:r w:rsidRPr="00787703">
        <w:rPr>
          <w:rFonts w:ascii="Times New Roman" w:hAnsi="Times New Roman" w:cs="Times New Roman"/>
        </w:rPr>
        <w:t>L’objectif général de ce rapport est de développer, comparer et analyser des approches de classification supervisée appliquées à deux types de données cliniques (tabulaires et images), en intégrant systématiquement la question de l’incertitude des prédictions.</w:t>
      </w:r>
    </w:p>
    <w:p w14:paraId="7B2DC967" w14:textId="77777777" w:rsidR="00787703" w:rsidRPr="00787703" w:rsidRDefault="00787703" w:rsidP="00787703">
      <w:pPr>
        <w:jc w:val="both"/>
        <w:rPr>
          <w:rFonts w:ascii="Times New Roman" w:hAnsi="Times New Roman" w:cs="Times New Roman"/>
        </w:rPr>
      </w:pPr>
      <w:r w:rsidRPr="00787703">
        <w:rPr>
          <w:rFonts w:ascii="Times New Roman" w:hAnsi="Times New Roman" w:cs="Times New Roman"/>
        </w:rPr>
        <w:t>Plus spécifiquement, il s’agit de :</w:t>
      </w:r>
    </w:p>
    <w:p w14:paraId="315CE0AB" w14:textId="661CC25C" w:rsidR="00787703" w:rsidRPr="00A43C8F" w:rsidRDefault="00787703" w:rsidP="00787703">
      <w:pPr>
        <w:pStyle w:val="Paragraphedeliste"/>
        <w:numPr>
          <w:ilvl w:val="0"/>
          <w:numId w:val="1"/>
        </w:numPr>
        <w:jc w:val="both"/>
        <w:rPr>
          <w:rFonts w:ascii="Times New Roman" w:hAnsi="Times New Roman" w:cs="Times New Roman"/>
        </w:rPr>
      </w:pPr>
      <w:r w:rsidRPr="00A43C8F">
        <w:rPr>
          <w:rFonts w:ascii="Times New Roman" w:hAnsi="Times New Roman" w:cs="Times New Roman"/>
        </w:rPr>
        <w:t>Développer et évaluer des modèles de prédiction du risque de maladie coronarienne à 10 ans à partir d’un jeu de données de type Framingham, en analysant l’impact du prétraitement (imputation, gestion du déséquilibre, standardisation) et en quantifiant l’incertitude des performances.</w:t>
      </w:r>
    </w:p>
    <w:p w14:paraId="537AA6FA" w14:textId="457BEB90" w:rsidR="00787703" w:rsidRPr="00787703" w:rsidRDefault="00787703" w:rsidP="00787703">
      <w:pPr>
        <w:pStyle w:val="Paragraphedeliste"/>
        <w:numPr>
          <w:ilvl w:val="0"/>
          <w:numId w:val="1"/>
        </w:numPr>
        <w:jc w:val="both"/>
        <w:rPr>
          <w:rFonts w:ascii="Times New Roman" w:hAnsi="Times New Roman" w:cs="Times New Roman"/>
        </w:rPr>
      </w:pPr>
      <w:r w:rsidRPr="00787703">
        <w:rPr>
          <w:rFonts w:ascii="Times New Roman" w:hAnsi="Times New Roman" w:cs="Times New Roman"/>
        </w:rPr>
        <w:t>Développer et comparer des modèles de classification de pathologies pulmonaires à partir de radiographies thoraciques (MLP/PCA et CNN), en tenant compte du déséquilibre de classes et en caractérisant l’incertitude des prédictions issues des réseaux de neurones.</w:t>
      </w:r>
    </w:p>
    <w:p w14:paraId="334CAF58" w14:textId="3DFFA959" w:rsidR="00787703" w:rsidRDefault="00787703" w:rsidP="00787703">
      <w:pPr>
        <w:pStyle w:val="Paragraphedeliste"/>
        <w:numPr>
          <w:ilvl w:val="0"/>
          <w:numId w:val="1"/>
        </w:numPr>
        <w:jc w:val="both"/>
        <w:rPr>
          <w:rFonts w:ascii="Times New Roman" w:hAnsi="Times New Roman" w:cs="Times New Roman"/>
        </w:rPr>
      </w:pPr>
      <w:r w:rsidRPr="00787703">
        <w:rPr>
          <w:rFonts w:ascii="Times New Roman" w:hAnsi="Times New Roman" w:cs="Times New Roman"/>
        </w:rPr>
        <w:t>Mettre en regard les résultats obtenus dans ces deux contextes pour discuter, de manière critique, dans quelles conditions l’IA peut constituer une aide à la décision fiable : rôle du prétraitement, des techniques de gestion du déséquilibre, et des méthodes de quantification de l’incertitude (</w:t>
      </w:r>
      <w:r w:rsidR="00A43C8F" w:rsidRPr="00787703">
        <w:rPr>
          <w:rFonts w:ascii="Times New Roman" w:hAnsi="Times New Roman" w:cs="Times New Roman"/>
        </w:rPr>
        <w:t>Bootstrap</w:t>
      </w:r>
      <w:r w:rsidRPr="00787703">
        <w:rPr>
          <w:rFonts w:ascii="Times New Roman" w:hAnsi="Times New Roman" w:cs="Times New Roman"/>
        </w:rPr>
        <w:t>, prédiction conforme, MC dropout), dans une perspective de réduction du risque décisionnel.</w:t>
      </w:r>
    </w:p>
    <w:p w14:paraId="6B6763D5" w14:textId="5F7E0E4F" w:rsidR="00787703" w:rsidRPr="00A43C8F" w:rsidRDefault="00A43C8F" w:rsidP="00787703">
      <w:pPr>
        <w:ind w:left="360"/>
        <w:jc w:val="both"/>
        <w:rPr>
          <w:rStyle w:val="lev"/>
          <w:rFonts w:ascii="Times New Roman" w:hAnsi="Times New Roman" w:cs="Times New Roman"/>
          <w:sz w:val="28"/>
          <w:szCs w:val="28"/>
        </w:rPr>
      </w:pPr>
      <w:r w:rsidRPr="00A43C8F">
        <w:rPr>
          <w:rStyle w:val="lev"/>
          <w:rFonts w:ascii="Times New Roman" w:hAnsi="Times New Roman" w:cs="Times New Roman"/>
          <w:sz w:val="28"/>
          <w:szCs w:val="28"/>
        </w:rPr>
        <w:t xml:space="preserve">Partie </w:t>
      </w:r>
      <w:r w:rsidR="00D10926">
        <w:rPr>
          <w:rStyle w:val="lev"/>
          <w:rFonts w:ascii="Times New Roman" w:hAnsi="Times New Roman" w:cs="Times New Roman"/>
          <w:sz w:val="28"/>
          <w:szCs w:val="28"/>
        </w:rPr>
        <w:t>I</w:t>
      </w:r>
      <w:r w:rsidRPr="00A43C8F">
        <w:rPr>
          <w:rStyle w:val="lev"/>
          <w:rFonts w:ascii="Times New Roman" w:hAnsi="Times New Roman" w:cs="Times New Roman"/>
          <w:sz w:val="28"/>
          <w:szCs w:val="28"/>
        </w:rPr>
        <w:t xml:space="preserve"> – cadre méthodologique </w:t>
      </w:r>
    </w:p>
    <w:p w14:paraId="450269F0" w14:textId="14E0359C" w:rsidR="00B72E63" w:rsidRDefault="00B72E63" w:rsidP="00787703">
      <w:pPr>
        <w:ind w:left="360"/>
        <w:jc w:val="both"/>
        <w:rPr>
          <w:rStyle w:val="lev"/>
        </w:rPr>
      </w:pPr>
      <w:r w:rsidRPr="00B72E63">
        <w:rPr>
          <w:rStyle w:val="lev"/>
        </w:rPr>
        <w:t>Chapitre 1 – Cadre méthodologique</w:t>
      </w:r>
      <w:r w:rsidR="00D10926">
        <w:rPr>
          <w:rStyle w:val="lev"/>
        </w:rPr>
        <w:t xml:space="preserve"> générale</w:t>
      </w:r>
      <w:r w:rsidRPr="00B72E63">
        <w:rPr>
          <w:rStyle w:val="lev"/>
        </w:rPr>
        <w:t xml:space="preserve">  : données cliniques, déséquilibre de classes, classification et incertitude</w:t>
      </w:r>
    </w:p>
    <w:p w14:paraId="03F21F39" w14:textId="1959FFBA" w:rsidR="00EF6623" w:rsidRPr="00D10926" w:rsidRDefault="00EF6623" w:rsidP="00787703">
      <w:pPr>
        <w:ind w:left="360"/>
        <w:jc w:val="both"/>
        <w:rPr>
          <w:rFonts w:ascii="Times New Roman" w:hAnsi="Times New Roman" w:cs="Times New Roman"/>
          <w:b/>
          <w:bCs/>
        </w:rPr>
      </w:pPr>
      <w:r w:rsidRPr="00D10926">
        <w:rPr>
          <w:rFonts w:ascii="Times New Roman" w:hAnsi="Times New Roman" w:cs="Times New Roman"/>
          <w:b/>
          <w:bCs/>
        </w:rPr>
        <w:t>Données étudiées</w:t>
      </w:r>
    </w:p>
    <w:p w14:paraId="5FC8221B" w14:textId="5AF48CC0" w:rsidR="00EF6623" w:rsidRPr="00EF6623" w:rsidRDefault="00EF6623" w:rsidP="00EF6623">
      <w:pPr>
        <w:ind w:left="360"/>
        <w:jc w:val="both"/>
        <w:rPr>
          <w:rFonts w:ascii="Times New Roman" w:hAnsi="Times New Roman" w:cs="Times New Roman"/>
        </w:rPr>
      </w:pPr>
      <w:r w:rsidRPr="00EF6623">
        <w:rPr>
          <w:rFonts w:ascii="Times New Roman" w:hAnsi="Times New Roman" w:cs="Times New Roman"/>
        </w:rPr>
        <w:t>Ce</w:t>
      </w:r>
      <w:r w:rsidR="00D10926">
        <w:rPr>
          <w:rFonts w:ascii="Times New Roman" w:hAnsi="Times New Roman" w:cs="Times New Roman"/>
        </w:rPr>
        <w:t xml:space="preserve"> travail</w:t>
      </w:r>
      <w:r w:rsidRPr="00EF6623">
        <w:rPr>
          <w:rFonts w:ascii="Times New Roman" w:hAnsi="Times New Roman" w:cs="Times New Roman"/>
        </w:rPr>
        <w:t xml:space="preserve"> mobilise deux types de données cliniques, correspondant à deux applications complémentaires de la classification supervisée en santé.</w:t>
      </w:r>
    </w:p>
    <w:p w14:paraId="1A70062E" w14:textId="4BAEBDAE" w:rsidR="00EF6623" w:rsidRDefault="00EF6623" w:rsidP="00EF6623">
      <w:pPr>
        <w:ind w:left="360"/>
        <w:jc w:val="both"/>
        <w:rPr>
          <w:rFonts w:ascii="Times New Roman" w:hAnsi="Times New Roman" w:cs="Times New Roman"/>
        </w:rPr>
      </w:pPr>
      <w:r w:rsidRPr="00EF6623">
        <w:rPr>
          <w:rFonts w:ascii="Times New Roman" w:hAnsi="Times New Roman" w:cs="Times New Roman"/>
        </w:rPr>
        <w:t xml:space="preserve">D’une part, un jeu de données tabulaires dérivé de la Framingham Heart Study, grande cohorte de population générale utilisée depuis plusieurs décennies pour développer des fonctions de risque cardiovasculaire à 10 ans à partir de facteurs de risque cliniques, biologiques et comportementaux </w:t>
      </w:r>
      <w:r>
        <w:rPr>
          <w:rFonts w:ascii="Times New Roman" w:hAnsi="Times New Roman" w:cs="Times New Roman"/>
        </w:rPr>
        <w:fldChar w:fldCharType="begin"/>
      </w:r>
      <w:r w:rsidR="00A43C8F">
        <w:rPr>
          <w:rFonts w:ascii="Times New Roman" w:hAnsi="Times New Roman" w:cs="Times New Roman"/>
        </w:rPr>
        <w:instrText xml:space="preserve"> ADDIN ZOTERO_ITEM CSL_CITATION {"citationID":"FoIMEAnf","properties":{"formattedCitation":"[8]","plainCitation":"[8]","noteIndex":0},"citationItems":[{"id":738,"uris":["http://zotero.org/users/11240916/items/VJCMLQ6F"],"itemData":{"id":738,"type":"article-journal","abstract":"Cardiovascular disease (CVD) is among the leading causes of death and disability worldwide. Since its beginning, the Framingham study has been a leader in identifying CVD risk factors. Clinical trials have demonstrated that when the modiﬁable risk factors are treated and corrected, the chances of CVD occurring can be reduced. The Framingham study also recognized that CVD risk factors are multifactorial and interact over time to produce CVD. In response, Framingham investigators developed the Framingham Risk Functions (also called Framingham Risk Scores) to evaluate the chance or likelihood of developing CVD in individuals. These functions are multivariate functions (algorithms) that combine the information in CVD risk factors such as sex, age, systolic blood pressure, total cholesterol, high-density lipoprotein cholesterol, smoking behavior, and diabetes status to produce an estimate (or risk) of developing CVD or a component of CVD (such as coronary heart disease, stroke, peripheral vascular disease, or heart failure) over a ﬁxed time, for example, the next 10 years. These estimates of CVD risk are often major inputs in recommending drug treatments such as cholesterol-lowering drugs.","container-title":"Global Heart","DOI":"10.1016/j.gheart.2013.01.001","ISSN":"2211-8179, 2211-8160","issue":"1","journalAbbreviation":"gh","language":"en","license":"https://www.elsevier.com/tdm/userlicense/1.0/","page":"11","source":"DOI.org (Crossref)","title":"Cardiovascular Disease Risk Assessment: Insights from Framingham","title-short":"Cardiovascular Disease Risk Assessment","volume":"8","author":[{"family":"D’Agostino Sr.","given":"Ralph B."},{"family":"Pencina","given":"Michael J."},{"family":"Massaro","given":"Joseph M."},{"family":"Coady","given":"Sean"}],"issued":{"date-parts":[["2013",3,1]]}}}],"schema":"https://github.com/citation-style-language/schema/raw/master/csl-citation.json"} </w:instrText>
      </w:r>
      <w:r>
        <w:rPr>
          <w:rFonts w:ascii="Times New Roman" w:hAnsi="Times New Roman" w:cs="Times New Roman"/>
        </w:rPr>
        <w:fldChar w:fldCharType="separate"/>
      </w:r>
      <w:r w:rsidR="00A43C8F" w:rsidRPr="00A43C8F">
        <w:rPr>
          <w:rFonts w:ascii="Times New Roman" w:hAnsi="Times New Roman" w:cs="Times New Roman"/>
        </w:rPr>
        <w:t>[8]</w:t>
      </w:r>
      <w:r>
        <w:rPr>
          <w:rFonts w:ascii="Times New Roman" w:hAnsi="Times New Roman" w:cs="Times New Roman"/>
        </w:rPr>
        <w:fldChar w:fldCharType="end"/>
      </w:r>
      <w:r w:rsidRPr="00EF6623">
        <w:rPr>
          <w:rFonts w:ascii="Times New Roman" w:hAnsi="Times New Roman" w:cs="Times New Roman"/>
        </w:rPr>
        <w:t xml:space="preserve"> . </w:t>
      </w:r>
    </w:p>
    <w:p w14:paraId="1128300E" w14:textId="0A5B7D6F" w:rsidR="00EF6623" w:rsidRDefault="00D736FF" w:rsidP="00EF6623">
      <w:pPr>
        <w:ind w:left="360"/>
        <w:jc w:val="both"/>
        <w:rPr>
          <w:rFonts w:ascii="Times New Roman" w:hAnsi="Times New Roman" w:cs="Times New Roman"/>
        </w:rPr>
      </w:pPr>
      <w:r w:rsidRPr="00D736FF">
        <w:rPr>
          <w:rFonts w:ascii="Times New Roman" w:hAnsi="Times New Roman" w:cs="Times New Roman"/>
        </w:rPr>
        <w:lastRenderedPageBreak/>
        <w:t xml:space="preserve">D’autre part, un jeu d’images radiographiques thoraciques pédiatriques annotées, dérivé d’une base de référence largement diffusée (type </w:t>
      </w:r>
      <w:proofErr w:type="spellStart"/>
      <w:r w:rsidRPr="00D736FF">
        <w:rPr>
          <w:rFonts w:ascii="Times New Roman" w:hAnsi="Times New Roman" w:cs="Times New Roman"/>
        </w:rPr>
        <w:t>Kermany</w:t>
      </w:r>
      <w:proofErr w:type="spellEnd"/>
      <w:r w:rsidRPr="00D736FF">
        <w:rPr>
          <w:rFonts w:ascii="Times New Roman" w:hAnsi="Times New Roman" w:cs="Times New Roman"/>
        </w:rPr>
        <w:t xml:space="preserve"> et al. / </w:t>
      </w:r>
      <w:proofErr w:type="spellStart"/>
      <w:r w:rsidRPr="00D736FF">
        <w:rPr>
          <w:rFonts w:ascii="Times New Roman" w:hAnsi="Times New Roman" w:cs="Times New Roman"/>
        </w:rPr>
        <w:t>Kaggle</w:t>
      </w:r>
      <w:proofErr w:type="spellEnd"/>
      <w:r w:rsidRPr="00D736FF">
        <w:rPr>
          <w:rFonts w:ascii="Times New Roman" w:hAnsi="Times New Roman" w:cs="Times New Roman"/>
        </w:rPr>
        <w:t xml:space="preserve"> Chest X-Ray Pneumonia), utilisée pour l’entraînement et l’évaluation de modèles de </w:t>
      </w:r>
      <w:proofErr w:type="spellStart"/>
      <w:r w:rsidRPr="00D736FF">
        <w:rPr>
          <w:rFonts w:ascii="Times New Roman" w:hAnsi="Times New Roman" w:cs="Times New Roman"/>
        </w:rPr>
        <w:t>deep</w:t>
      </w:r>
      <w:proofErr w:type="spellEnd"/>
      <w:r w:rsidRPr="00D736FF">
        <w:rPr>
          <w:rFonts w:ascii="Times New Roman" w:hAnsi="Times New Roman" w:cs="Times New Roman"/>
        </w:rPr>
        <w:t xml:space="preserve"> </w:t>
      </w:r>
      <w:proofErr w:type="spellStart"/>
      <w:r w:rsidRPr="00D736FF">
        <w:rPr>
          <w:rFonts w:ascii="Times New Roman" w:hAnsi="Times New Roman" w:cs="Times New Roman"/>
        </w:rPr>
        <w:t>learning</w:t>
      </w:r>
      <w:proofErr w:type="spellEnd"/>
      <w:r w:rsidRPr="00D736FF">
        <w:rPr>
          <w:rFonts w:ascii="Times New Roman" w:hAnsi="Times New Roman" w:cs="Times New Roman"/>
        </w:rPr>
        <w:t xml:space="preserve"> en détection de pneumonie, et distinguant systématiquement des clichés normaux de cas de pneumonie bactérienne ou virale</w:t>
      </w:r>
      <w:r>
        <w:rPr>
          <w:rFonts w:ascii="Times New Roman" w:hAnsi="Times New Roman" w:cs="Times New Roman"/>
        </w:rPr>
        <w:t xml:space="preserve"> </w:t>
      </w:r>
      <w:r w:rsidR="00EF6623">
        <w:rPr>
          <w:rFonts w:ascii="Times New Roman" w:hAnsi="Times New Roman" w:cs="Times New Roman"/>
        </w:rPr>
        <w:fldChar w:fldCharType="begin"/>
      </w:r>
      <w:r>
        <w:rPr>
          <w:rFonts w:ascii="Times New Roman" w:hAnsi="Times New Roman" w:cs="Times New Roman"/>
        </w:rPr>
        <w:instrText xml:space="preserve"> ADDIN ZOTERO_ITEM CSL_CITATION {"citationID":"r2R0BW9n","properties":{"formattedCitation":"[9]","plainCitation":"[9]","noteIndex":0},"citationItems":[{"id":791,"uris":["http://zotero.org/users/11240916/items/S6HW8QXK"],"itemData":{"id":791,"type":"webpage","abstract":"The authors of the ZhanLabData: Large Dataset of Labeled Optical Coherence Tomography (OCT) and Chest X-Ray Images addressed challenges related to reliability and interpretability in the implementation of clinical-decision support algorithms for medical imaging. The Chest XRay part has a total of 5,856 patients contributed to the dataset, with 4,273 images characterized as depicting PNEUMONIA_BACTERIA and PNEUMONIA_VIRUS (rest - NORMAL images). They established a diagnostic tool based on a deep-learning framework specifically designed for the screening of patients with common treatable blinding retinal diseases.","container-title":"Dataset Ninja","language":"en","title":"ZhangLabData: Chest X-Ray","title-short":"ZhangLabData","URL":"https://datasetninja.com/zhang-lab-data-chest-xray","author":[{"family":"https://datasetninja.com/zhang-lab-data-chest-xray","given":""}],"accessed":{"date-parts":[["2026",1,28]]}}}],"schema":"https://github.com/citation-style-language/schema/raw/master/csl-citation.json"} </w:instrText>
      </w:r>
      <w:r w:rsidR="00EF6623">
        <w:rPr>
          <w:rFonts w:ascii="Times New Roman" w:hAnsi="Times New Roman" w:cs="Times New Roman"/>
        </w:rPr>
        <w:fldChar w:fldCharType="separate"/>
      </w:r>
      <w:r w:rsidRPr="00D736FF">
        <w:rPr>
          <w:rFonts w:ascii="Times New Roman" w:hAnsi="Times New Roman" w:cs="Times New Roman"/>
        </w:rPr>
        <w:t>[9]</w:t>
      </w:r>
      <w:r w:rsidR="00EF6623">
        <w:rPr>
          <w:rFonts w:ascii="Times New Roman" w:hAnsi="Times New Roman" w:cs="Times New Roman"/>
        </w:rPr>
        <w:fldChar w:fldCharType="end"/>
      </w:r>
      <w:r w:rsidR="00EF6623">
        <w:rPr>
          <w:rFonts w:ascii="Times New Roman" w:hAnsi="Times New Roman" w:cs="Times New Roman"/>
        </w:rPr>
        <w:t>.</w:t>
      </w:r>
    </w:p>
    <w:p w14:paraId="74DB2680" w14:textId="77777777" w:rsidR="00D736FF" w:rsidRDefault="00D736FF" w:rsidP="00EF6623">
      <w:pPr>
        <w:ind w:left="360"/>
        <w:jc w:val="both"/>
        <w:rPr>
          <w:rFonts w:ascii="Times New Roman" w:hAnsi="Times New Roman" w:cs="Times New Roman"/>
        </w:rPr>
      </w:pPr>
      <w:r w:rsidRPr="00D736FF">
        <w:rPr>
          <w:rFonts w:ascii="Times New Roman" w:hAnsi="Times New Roman" w:cs="Times New Roman"/>
        </w:rPr>
        <w:t>Dans les deux applications, le travail porte sur des tâches de classification supervisée à sortie catégorielle (présence ou absence d’événement coronarien d’une part, type d’atteinte pulmonaire d’autre part). Les caractéristiques propres à chaque jeu de données – population étudiée, variables disponibles, étapes de prétraitement – sont détaillées dans les sections applicatives correspondantes (Partie II pour les données tabulaires, Partie III pour les images).</w:t>
      </w:r>
    </w:p>
    <w:p w14:paraId="57A2B173" w14:textId="2653B889" w:rsidR="002918BE" w:rsidRPr="00A52B2A" w:rsidRDefault="00A52B2A" w:rsidP="00EF6623">
      <w:pPr>
        <w:ind w:left="360"/>
        <w:jc w:val="both"/>
        <w:rPr>
          <w:rFonts w:ascii="Times New Roman" w:hAnsi="Times New Roman" w:cs="Times New Roman"/>
          <w:b/>
          <w:bCs/>
        </w:rPr>
      </w:pPr>
      <w:r w:rsidRPr="00A52B2A">
        <w:rPr>
          <w:rFonts w:ascii="Times New Roman" w:hAnsi="Times New Roman" w:cs="Times New Roman"/>
          <w:b/>
          <w:bCs/>
        </w:rPr>
        <w:t>Données déséquilibrées : définition et stratégies utilisées</w:t>
      </w:r>
    </w:p>
    <w:p w14:paraId="6A4ED272" w14:textId="5F0BD876" w:rsidR="00A52B2A" w:rsidRDefault="00A01D5F" w:rsidP="00EF6623">
      <w:pPr>
        <w:ind w:left="360"/>
        <w:jc w:val="both"/>
        <w:rPr>
          <w:rFonts w:ascii="Times New Roman" w:hAnsi="Times New Roman" w:cs="Times New Roman"/>
        </w:rPr>
      </w:pPr>
      <w:r w:rsidRPr="00A01D5F">
        <w:rPr>
          <w:rFonts w:ascii="Times New Roman" w:hAnsi="Times New Roman" w:cs="Times New Roman"/>
        </w:rPr>
        <w:t>Dans de nombreux jeux de données médicaux, la classe d’intérêt (patients avec événement cardiovasculaire ou atteinte pulmonaire spécifique) est beaucoup moins fréquente que la classe de référence. On parle alors de déséquilibre de classes : le modèle est exposé majoritairement aux non-cas, et peut apprendre à prédire presque toujours la classe majoritaire tout en affichant une accuracy élevée</w:t>
      </w:r>
      <w:r w:rsidR="00D736FF">
        <w:rPr>
          <w:rFonts w:ascii="Times New Roman" w:hAnsi="Times New Roman" w:cs="Times New Roman"/>
        </w:rPr>
        <w:t xml:space="preserve"> </w:t>
      </w:r>
      <w:r w:rsidRPr="00A01D5F">
        <w:rPr>
          <w:rFonts w:ascii="Times New Roman" w:hAnsi="Times New Roman" w:cs="Times New Roman"/>
        </w:rPr>
        <w:t>mais au prix d’un rappel très faible pour la classe cliniquement importante, ce qui est particulièrement problématique dans un contexte de dépistage ou de triage</w:t>
      </w:r>
      <w:r w:rsidR="00D736FF">
        <w:rPr>
          <w:rFonts w:ascii="Times New Roman" w:hAnsi="Times New Roman" w:cs="Times New Roman"/>
        </w:rPr>
        <w:t xml:space="preserve"> </w:t>
      </w:r>
      <w:r w:rsidR="00C31D3E">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{"citationID":"Eh5GzryW","properties":{"formattedCitation":"[10]","plainCitation":"[10]","noteIndex":0},"citationItems":[{"id":742,"uris":["http://zotero.org/users/11240916/items/6H3BQUDR"],"itemData":{"id":742,"type":"article-journal","abstract":"A major assumption in many machine learning and data mining algorithms is that the training and future data must be in the same feature space and have the same distribution. However, in many real-world applications, this assumption may not hold. For example, we sometimes have a classification task in one domain of interest, but we only have sufficient training data in another domain of interest, where the latter data may be in a different feature space or follow a different data distribution. In such cases, knowledge transfer, if done successfully, would greatly improve the performance of learning by avoiding much expensive data-labeling efforts. In recent years, transfer learning has emerged as a new learning framework to address this problem. This survey focuses on categorizing and reviewing the current progress on transfer learning for classification, regression, and clustering problems. In this survey, we discuss the relationship between transfer learning and other related machine learning techniques such as domain adaptation, multitask learning and sample selection bias, as well as covariate shift. We also explore some potential future issues in transfer learning research.","container-title":"IEEE Transactions on Knowledge and Data Engineering","DOI":"10.1109/TKDE.2009.191","ISSN":"1558-2191","issue":"10","page":"1345-1359","source":"IEEE Xplore","title":"A Survey on Transfer Learning","volume":"22","author":[{"family":"Pan","given":"Sinno Jialin"},{"family":"Yang","given":"Qiang"}],"issued":{"date-parts":[["2010",10]]}}}],"schema":"https://github.com/citation-style-language/schema/raw/master/csl-citation.json"} </w:instrText>
      </w:r>
      <w:r w:rsidR="00C31D3E">
        <w:rPr>
          <w:rFonts w:ascii="Times New Roman" w:hAnsi="Times New Roman" w:cs="Times New Roman"/>
        </w:rPr>
        <w:fldChar w:fldCharType="separate"/>
      </w:r>
      <w:r w:rsidR="00D736FF" w:rsidRPr="00D736FF">
        <w:rPr>
          <w:rFonts w:ascii="Times New Roman" w:hAnsi="Times New Roman" w:cs="Times New Roman"/>
        </w:rPr>
        <w:t>[10]</w:t>
      </w:r>
      <w:r w:rsidR="00C31D3E">
        <w:rPr>
          <w:rFonts w:ascii="Times New Roman" w:hAnsi="Times New Roman" w:cs="Times New Roman"/>
        </w:rPr>
        <w:fldChar w:fldCharType="end"/>
      </w:r>
      <w:r w:rsidRPr="00A01D5F">
        <w:rPr>
          <w:rFonts w:ascii="Times New Roman" w:hAnsi="Times New Roman" w:cs="Times New Roman"/>
        </w:rPr>
        <w:t xml:space="preserve"> </w:t>
      </w:r>
      <w:r w:rsidR="00A52B2A">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{"citationID":"Y8ajVgaZ","properties":{"formattedCitation":"[11]","plainCitation":"[11]","noteIndex":0},"citationItems":[{"id":739,"uris":["http://zotero.org/users/11240916/items/XBYWAIFZ"],"itemData":{"id":739,"type":"article-journal","abstract":"&lt;p&gt;The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implementation.&lt;/p&gt;","container-title":"BMJ","DOI":"10.1136/bmj-2023-078378","ISSN":"1756-1833","journalAbbreviation":"BMJ","language":"en","license":"©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http://creativecommons.org/licenses/by/4.0/.","page":"e078378","PMID":"38626948","publisher":"British Medical Journal Publishing Group","section":"Research Methods &amp;amp; Reporting","source":"www.bmj.com","title":"TRIPOD+AI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L."},{"family":"Calster","given":"Ben Van"},{"family":"Ghassemi","given":"Marzyeh"},{"family":"Liu","given":"Xiaoxuan"},{"family":"Reitsma","given":"Johannes B."},{"family":"Smeden","given":"Maarten","dropping-particle":"van"},{"family":"Boulesteix","given":"Anne-Laure"},{"family":"Camaradou","given":"Jennifer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A52B2A">
        <w:rPr>
          <w:rFonts w:ascii="Times New Roman" w:hAnsi="Times New Roman" w:cs="Times New Roman"/>
        </w:rPr>
        <w:fldChar w:fldCharType="separate"/>
      </w:r>
      <w:r w:rsidR="00D736FF" w:rsidRPr="00D736FF">
        <w:rPr>
          <w:rFonts w:ascii="Times New Roman" w:hAnsi="Times New Roman" w:cs="Times New Roman"/>
        </w:rPr>
        <w:t>[11]</w:t>
      </w:r>
      <w:r w:rsidR="00A52B2A">
        <w:rPr>
          <w:rFonts w:ascii="Times New Roman" w:hAnsi="Times New Roman" w:cs="Times New Roman"/>
        </w:rPr>
        <w:fldChar w:fldCharType="end"/>
      </w:r>
      <w:r w:rsidR="00A52B2A" w:rsidRPr="00A52B2A">
        <w:rPr>
          <w:rFonts w:ascii="Times New Roman" w:hAnsi="Times New Roman" w:cs="Times New Roman"/>
        </w:rPr>
        <w:t>.</w:t>
      </w:r>
    </w:p>
    <w:p w14:paraId="4520814E" w14:textId="27C64F60" w:rsidR="00A52B2A" w:rsidRDefault="00A01D5F" w:rsidP="00EF6623">
      <w:pPr>
        <w:ind w:left="360"/>
        <w:jc w:val="both"/>
        <w:rPr>
          <w:rFonts w:ascii="Times New Roman" w:hAnsi="Times New Roman" w:cs="Times New Roman"/>
        </w:rPr>
      </w:pPr>
      <w:r w:rsidRPr="00A01D5F">
        <w:rPr>
          <w:rFonts w:ascii="Times New Roman" w:hAnsi="Times New Roman" w:cs="Times New Roman"/>
        </w:rPr>
        <w:t>Dans ce travail, trois approches complémentaires ont été mises en œuvre pour limiter ce biais, en fonction du type de données et des modèles utilisés :</w:t>
      </w:r>
    </w:p>
    <w:p w14:paraId="7CBC5DA9" w14:textId="4400BB97" w:rsidR="00A01D5F" w:rsidRPr="00A01D5F" w:rsidRDefault="00A01D5F" w:rsidP="00A01D5F">
      <w:pPr>
        <w:jc w:val="both"/>
        <w:rPr>
          <w:rFonts w:ascii="Times New Roman" w:hAnsi="Times New Roman" w:cs="Times New Roman"/>
          <w:b/>
          <w:bCs/>
        </w:rPr>
      </w:pPr>
      <w:r>
        <w:rPr>
          <w:rFonts w:ascii="Times New Roman" w:hAnsi="Times New Roman" w:cs="Times New Roman"/>
          <w:b/>
          <w:bCs/>
        </w:rPr>
        <w:t xml:space="preserve">      (i)</w:t>
      </w:r>
      <w:r w:rsidRPr="00A01D5F">
        <w:rPr>
          <w:rFonts w:ascii="Times New Roman" w:hAnsi="Times New Roman" w:cs="Times New Roman"/>
          <w:b/>
          <w:bCs/>
        </w:rPr>
        <w:t>Pondération des classes pour les modèles d’images</w:t>
      </w:r>
    </w:p>
    <w:p w14:paraId="633CE6DE" w14:textId="7C25B86B" w:rsidR="00A01D5F" w:rsidRDefault="00A01D5F" w:rsidP="00A01D5F">
      <w:pPr>
        <w:ind w:left="360"/>
        <w:jc w:val="both"/>
        <w:rPr>
          <w:rFonts w:ascii="Times New Roman" w:hAnsi="Times New Roman" w:cs="Times New Roman"/>
        </w:rPr>
      </w:pPr>
      <w:r w:rsidRPr="00A01D5F">
        <w:rPr>
          <w:rFonts w:ascii="Times New Roman" w:hAnsi="Times New Roman" w:cs="Times New Roman"/>
        </w:rPr>
        <w:t xml:space="preserve">Dans le cas des radiographies thoraciques, les trois classes (NORMAL, PNEUMONIA_BACTERIA, PNEUMONIA_VIRUS) ne sont pas représentées de manière homogène : la classe bactérienne domine largement les autres. Sans correction, le réseau de neurones optimiserait surtout ses performances sur cette classe majoritaire. Pour contrer cet effet, une pondération des classes (class </w:t>
      </w:r>
      <w:proofErr w:type="spellStart"/>
      <w:r w:rsidRPr="00A01D5F">
        <w:rPr>
          <w:rFonts w:ascii="Times New Roman" w:hAnsi="Times New Roman" w:cs="Times New Roman"/>
        </w:rPr>
        <w:t>weights</w:t>
      </w:r>
      <w:proofErr w:type="spellEnd"/>
      <w:r w:rsidRPr="00A01D5F">
        <w:rPr>
          <w:rFonts w:ascii="Times New Roman" w:hAnsi="Times New Roman" w:cs="Times New Roman"/>
        </w:rPr>
        <w:t>) a été appliquée dans la fonction de perte : les erreurs sur les classes peu représentées sont pénalisées plus fortement que celles sur la classe majoritaire. Le modèle est ainsi incité à mieux prendre en compte les classes minoritaires, sans modifier artificiellement la distribution des données d’entraînement</w:t>
      </w:r>
      <w:r w:rsidR="00C31D3E">
        <w:rPr>
          <w:rFonts w:ascii="Times New Roman" w:hAnsi="Times New Roman" w:cs="Times New Roman"/>
        </w:rPr>
        <w:t xml:space="preserve"> </w:t>
      </w:r>
      <w:r w:rsidR="00C31D3E">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{"citationID":"1c2PGg2D","properties":{"formattedCitation":"[12]","plainCitation":"[12]","noteIndex":0},"citationItems":[{"id":750,"uris":["http://zotero.org/users/11240916/items/7LGT9ML6"],"itemData":{"id":750,"type":"article-journal","abstract":"In clinical settings, a lot of medical image datasets suffer from the imbalance problem which hampers the detection of outliers (rare health care events), as most classification methods assume an equal occurrence of classes. In this way, identifying outliers in imbalanced datasets has become a crucial issue. To help address this challenge, one-class classification, which focuses on learning a model using samples from only a single given class, has attracted increasing attention. Previous one-class modeling usually uses feature mapping or feature fitting to enforce the feature learning process. However, these methods are limited for medical images which usually have complex features. In this paper, a novel method is proposed to enable deep learning models to optimally learn single-class-relevant inherent imaging features by leveraging the concept of imaging complexity. We investigate and compare the effects of simple but effective perturbing operations applied to images to capture imaging complexity and to enhance feature learning. Extensive experiments are performed on four clinical datasets to show that the proposed method outperforms four state-of-the-art methods.","container-title":"Artificial Intelligence in Medicine","DOI":"10.1016/j.artmed.2020.101935","ISSN":"0933-3657","journalAbbreviation":"Artificial Intelligence in Medicine","page":"101935","source":"ScienceDirect","title":"Handling imbalanced medical image data: A deep-learning-based one-class classification approach","title-short":"Handling imbalanced medical image data","volume":"108","author":[{"family":"Gao","given":"Long"},{"family":"Zhang","given":"Lei"},{"family":"Liu","given":"Chang"},{"family":"Wu","given":"Shandong"}],"issued":{"date-parts":[["2020",8,1]]}}}],"schema":"https://github.com/citation-style-language/schema/raw/master/csl-citation.json"} </w:instrText>
      </w:r>
      <w:r w:rsidR="00C31D3E">
        <w:rPr>
          <w:rFonts w:ascii="Times New Roman" w:hAnsi="Times New Roman" w:cs="Times New Roman"/>
        </w:rPr>
        <w:fldChar w:fldCharType="separate"/>
      </w:r>
      <w:r w:rsidR="00D736FF" w:rsidRPr="00D736FF">
        <w:rPr>
          <w:rFonts w:ascii="Times New Roman" w:hAnsi="Times New Roman" w:cs="Times New Roman"/>
        </w:rPr>
        <w:t>[12]</w:t>
      </w:r>
      <w:r w:rsidR="00C31D3E">
        <w:rPr>
          <w:rFonts w:ascii="Times New Roman" w:hAnsi="Times New Roman" w:cs="Times New Roman"/>
        </w:rPr>
        <w:fldChar w:fldCharType="end"/>
      </w:r>
      <w:r w:rsidRPr="00A01D5F">
        <w:rPr>
          <w:rFonts w:ascii="Times New Roman" w:hAnsi="Times New Roman" w:cs="Times New Roman"/>
        </w:rPr>
        <w:t xml:space="preserve"> .</w:t>
      </w:r>
    </w:p>
    <w:p w14:paraId="435103D4" w14:textId="77777777" w:rsidR="00A01D5F" w:rsidRPr="00A01D5F" w:rsidRDefault="00A01D5F" w:rsidP="00A01D5F">
      <w:pPr>
        <w:ind w:left="360"/>
        <w:jc w:val="both"/>
        <w:rPr>
          <w:rFonts w:ascii="Times New Roman" w:hAnsi="Times New Roman" w:cs="Times New Roman"/>
          <w:b/>
          <w:bCs/>
        </w:rPr>
      </w:pPr>
      <w:r w:rsidRPr="00A01D5F">
        <w:rPr>
          <w:rFonts w:ascii="Times New Roman" w:hAnsi="Times New Roman" w:cs="Times New Roman"/>
          <w:b/>
          <w:bCs/>
        </w:rPr>
        <w:t>(ii) Sur-échantillonnage synthétique par SMOTE pour les données tabulaires</w:t>
      </w:r>
    </w:p>
    <w:p w14:paraId="7E286111" w14:textId="1A7FDACB" w:rsidR="00A01D5F" w:rsidRPr="00A01D5F" w:rsidRDefault="00A01D5F" w:rsidP="00ED7FC8">
      <w:pPr>
        <w:ind w:left="360"/>
        <w:jc w:val="both"/>
        <w:rPr>
          <w:rFonts w:ascii="Times New Roman" w:hAnsi="Times New Roman" w:cs="Times New Roman"/>
        </w:rPr>
      </w:pPr>
      <w:r w:rsidRPr="00A01D5F">
        <w:rPr>
          <w:rFonts w:ascii="Times New Roman" w:hAnsi="Times New Roman" w:cs="Times New Roman"/>
        </w:rPr>
        <w:t>Pour les données tabulaires de Framingham, la classe “risque coronarien à 10 ans” représente environ 15 % de la cohorte. Le déséquilibre est pris en charge au niveau du jeu d’apprentissage via la méthode SMOTE (</w:t>
      </w:r>
      <w:proofErr w:type="spellStart"/>
      <w:r w:rsidRPr="00A01D5F">
        <w:rPr>
          <w:rFonts w:ascii="Times New Roman" w:hAnsi="Times New Roman" w:cs="Times New Roman"/>
        </w:rPr>
        <w:t>Synthetic</w:t>
      </w:r>
      <w:proofErr w:type="spellEnd"/>
      <w:r w:rsidRPr="00A01D5F">
        <w:rPr>
          <w:rFonts w:ascii="Times New Roman" w:hAnsi="Times New Roman" w:cs="Times New Roman"/>
        </w:rPr>
        <w:t xml:space="preserve"> </w:t>
      </w:r>
      <w:proofErr w:type="spellStart"/>
      <w:r w:rsidRPr="00A01D5F">
        <w:rPr>
          <w:rFonts w:ascii="Times New Roman" w:hAnsi="Times New Roman" w:cs="Times New Roman"/>
        </w:rPr>
        <w:t>Minority</w:t>
      </w:r>
      <w:proofErr w:type="spellEnd"/>
      <w:r w:rsidRPr="00A01D5F">
        <w:rPr>
          <w:rFonts w:ascii="Times New Roman" w:hAnsi="Times New Roman" w:cs="Times New Roman"/>
        </w:rPr>
        <w:t xml:space="preserve"> Over-sampling Technique), qui génère des observations synthétiques de la classe minoritaire par interpolation entre patients à haut risque présentant des profils proches. L’objectif est d’augmenter la représentation de la classe positive lors de l’entraînement, tout en conservant un jeu de test </w:t>
      </w:r>
      <w:r w:rsidRPr="00A01D5F">
        <w:rPr>
          <w:rFonts w:ascii="Times New Roman" w:hAnsi="Times New Roman" w:cs="Times New Roman"/>
        </w:rPr>
        <w:lastRenderedPageBreak/>
        <w:t xml:space="preserve">non modifié, avec sa prévalence naturelle, pour évaluer les modèles dans des conditions réalistes </w:t>
      </w:r>
      <w:r w:rsidR="00C31D3E">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{"citationID":"NGIZVoe3","properties":{"formattedCitation":"[13]","plainCitation":"[13]","noteIndex":0},"citationItems":[{"id":746,"uris":["http://zotero.org/users/11240916/items/IA35LTMM"],"itemData":{"id":746,"type":"article-journal","abstract":"An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Research","DOI":"10.1613/jair.953","ISSN":"1076-9757","language":"en","license":"Copyright (c)","page":"321-357","source":"www.jair.org","title":"SMOTE: Synthetic Minority Over-sampling Technique","title-short":"SMOTE","volume":"16","author":[{"family":"Chawla","given":"N. V."},{"family":"Bowyer","given":"K. W."},{"family":"Hall","given":"L. O."},{"family":"Kegelmeyer","given":"W. P."}],"issued":{"date-parts":[["2002",6,1]]}}}],"schema":"https://github.com/citation-style-language/schema/raw/master/csl-citation.json"} </w:instrText>
      </w:r>
      <w:r w:rsidR="00C31D3E">
        <w:rPr>
          <w:rFonts w:ascii="Times New Roman" w:hAnsi="Times New Roman" w:cs="Times New Roman"/>
        </w:rPr>
        <w:fldChar w:fldCharType="separate"/>
      </w:r>
      <w:r w:rsidR="00D736FF" w:rsidRPr="00D736FF">
        <w:rPr>
          <w:rFonts w:ascii="Times New Roman" w:hAnsi="Times New Roman" w:cs="Times New Roman"/>
        </w:rPr>
        <w:t>[13]</w:t>
      </w:r>
      <w:r w:rsidR="00C31D3E">
        <w:rPr>
          <w:rFonts w:ascii="Times New Roman" w:hAnsi="Times New Roman" w:cs="Times New Roman"/>
        </w:rPr>
        <w:fldChar w:fldCharType="end"/>
      </w:r>
      <w:r w:rsidRPr="00A01D5F">
        <w:rPr>
          <w:rFonts w:ascii="Times New Roman" w:hAnsi="Times New Roman" w:cs="Times New Roman"/>
        </w:rPr>
        <w:t>.</w:t>
      </w:r>
    </w:p>
    <w:p w14:paraId="6E20C734" w14:textId="77777777" w:rsidR="00A01D5F" w:rsidRPr="00A01D5F" w:rsidRDefault="00A01D5F" w:rsidP="00A01D5F">
      <w:pPr>
        <w:ind w:left="360"/>
        <w:jc w:val="both"/>
        <w:rPr>
          <w:rFonts w:ascii="Times New Roman" w:hAnsi="Times New Roman" w:cs="Times New Roman"/>
          <w:b/>
          <w:bCs/>
        </w:rPr>
      </w:pPr>
      <w:r w:rsidRPr="00A01D5F">
        <w:rPr>
          <w:rFonts w:ascii="Times New Roman" w:hAnsi="Times New Roman" w:cs="Times New Roman"/>
          <w:b/>
          <w:bCs/>
        </w:rPr>
        <w:t>(iii) Ajustement du seuil de décision pour les modèles probabilistes</w:t>
      </w:r>
    </w:p>
    <w:p w14:paraId="341697D2" w14:textId="7A77725D" w:rsidR="00A01D5F" w:rsidRDefault="00A01D5F" w:rsidP="00A01D5F">
      <w:pPr>
        <w:ind w:left="360"/>
        <w:jc w:val="both"/>
        <w:rPr>
          <w:rFonts w:ascii="Times New Roman" w:hAnsi="Times New Roman" w:cs="Times New Roman"/>
        </w:rPr>
      </w:pPr>
      <w:r w:rsidRPr="00A01D5F">
        <w:rPr>
          <w:rFonts w:ascii="Times New Roman" w:hAnsi="Times New Roman" w:cs="Times New Roman"/>
        </w:rPr>
        <w:t xml:space="preserve">Enfin, pour la régression logistique appliquée aux données de Framingham, le déséquilibre n’est pas seulement traité par le </w:t>
      </w:r>
      <w:r w:rsidR="00C31D3E" w:rsidRPr="00A01D5F">
        <w:rPr>
          <w:rFonts w:ascii="Times New Roman" w:hAnsi="Times New Roman" w:cs="Times New Roman"/>
        </w:rPr>
        <w:t>rééchantillonnage</w:t>
      </w:r>
      <w:r w:rsidRPr="00A01D5F">
        <w:rPr>
          <w:rFonts w:ascii="Times New Roman" w:hAnsi="Times New Roman" w:cs="Times New Roman"/>
        </w:rPr>
        <w:t xml:space="preserve">, mais aussi par l’ajustement du seuil de décision. Plutôt que d’utiliser le seuil conventionnel de 0,50, un seuil optimal est déterminé a posteriori en maximisant le F1-score de la classe à risque. Cette stratégie permet d’augmenter le rappel (détection des patients à haut risque) au prix d’une baisse de l’accuracy globale et d’une augmentation du nombre de faux positifs, ce qui correspond à un compromis attendu en prévention primaire, où les faux négatifs sont particulièrement coûteux </w:t>
      </w:r>
      <w:r w:rsidR="00C31D3E">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{"citationID":"J1clAwL0","properties":{"formattedCitation":"[14]","plainCitation":"[14]","noteIndex":0},"citationItems":[{"id":748,"uris":["http://zotero.org/users/11240916/items/II7XF8VZ"],"itemData":{"id":748,"type":"webpage","abstract":"This study explores the importance of risk stratification in patients undergoing coronary revascularization and the need for comprehensive assessment of clinical and angiographic factors.","language":"fr","title":"A guide to interpreting and assessing the performance of prediction models","URL":"https://eurointervention.pcronline.com/article/a-guide-to-interpreting-and-assessing-the-performance-of-prediction-models","author":[{"family":"Farooq","given":"Vasim"},{"family":"Brugaletta","given":"Salvatore"},{"family":"Vranckx","given":"Pascal"},{"family":"Serruys","given":"Patrick W."}],"accessed":{"date-parts":[["2026",1,28]]}}}],"schema":"https://github.com/citation-style-language/schema/raw/master/csl-citation.json"} </w:instrText>
      </w:r>
      <w:r w:rsidR="00C31D3E">
        <w:rPr>
          <w:rFonts w:ascii="Times New Roman" w:hAnsi="Times New Roman" w:cs="Times New Roman"/>
        </w:rPr>
        <w:fldChar w:fldCharType="separate"/>
      </w:r>
      <w:r w:rsidR="00D736FF" w:rsidRPr="00D736FF">
        <w:rPr>
          <w:rFonts w:ascii="Times New Roman" w:hAnsi="Times New Roman" w:cs="Times New Roman"/>
        </w:rPr>
        <w:t>[14]</w:t>
      </w:r>
      <w:r w:rsidR="00C31D3E">
        <w:rPr>
          <w:rFonts w:ascii="Times New Roman" w:hAnsi="Times New Roman" w:cs="Times New Roman"/>
        </w:rPr>
        <w:fldChar w:fldCharType="end"/>
      </w:r>
      <w:r w:rsidRPr="00A01D5F">
        <w:rPr>
          <w:rFonts w:ascii="Times New Roman" w:hAnsi="Times New Roman" w:cs="Times New Roman"/>
        </w:rPr>
        <w:t>.</w:t>
      </w:r>
    </w:p>
    <w:p w14:paraId="09F2432C" w14:textId="77777777" w:rsidR="00CC17CB" w:rsidRDefault="00CC17CB" w:rsidP="007F265B">
      <w:pPr>
        <w:ind w:left="360"/>
        <w:jc w:val="both"/>
        <w:rPr>
          <w:rFonts w:ascii="Times New Roman" w:hAnsi="Times New Roman" w:cs="Times New Roman"/>
          <w:b/>
          <w:bCs/>
        </w:rPr>
      </w:pPr>
      <w:r w:rsidRPr="00CC17CB">
        <w:rPr>
          <w:rFonts w:ascii="Times New Roman" w:hAnsi="Times New Roman" w:cs="Times New Roman"/>
          <w:b/>
          <w:bCs/>
        </w:rPr>
        <w:t>Tâches de classification et évaluation des modèles</w:t>
      </w:r>
    </w:p>
    <w:p w14:paraId="34D258C5" w14:textId="3F8FC7D6"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Dans ce projet, la tâche statistique commune est un problème de classification supervisée : à partir de données d’entrée x, il s’agit de prédire une étiquette catégorielle y (présence ou absence de maladie coronarienne, type d’atteinte pulmonaire). Deux familles de modèles sont mobilisées :</w:t>
      </w:r>
    </w:p>
    <w:p w14:paraId="401DBB8E" w14:textId="27D50E33" w:rsidR="00EF6623" w:rsidRDefault="007F265B" w:rsidP="007F265B">
      <w:pPr>
        <w:ind w:left="360"/>
        <w:jc w:val="both"/>
        <w:rPr>
          <w:rFonts w:ascii="Times New Roman" w:hAnsi="Times New Roman" w:cs="Times New Roman"/>
        </w:rPr>
      </w:pPr>
      <w:r w:rsidRPr="007F265B">
        <w:rPr>
          <w:rFonts w:ascii="Times New Roman" w:hAnsi="Times New Roman" w:cs="Times New Roman"/>
        </w:rPr>
        <w:t xml:space="preserve">des algorithmes d’apprentissage supervisé sur données tabulaires (régression logistique, forêts aléatoires, gradient boosting, </w:t>
      </w:r>
      <w:proofErr w:type="spellStart"/>
      <w:r w:rsidRPr="007F265B">
        <w:rPr>
          <w:rFonts w:ascii="Times New Roman" w:hAnsi="Times New Roman" w:cs="Times New Roman"/>
        </w:rPr>
        <w:t>XGBoost</w:t>
      </w:r>
      <w:proofErr w:type="spellEnd"/>
      <w:r w:rsidRPr="007F265B">
        <w:rPr>
          <w:rFonts w:ascii="Times New Roman" w:hAnsi="Times New Roman" w:cs="Times New Roman"/>
        </w:rPr>
        <w:t>, SVM) pour l’estimation du risque coronarien à 10 ans à partir des variables cliniques et biologiques issues de Framingham ;</w:t>
      </w:r>
      <w:r>
        <w:rPr>
          <w:rFonts w:ascii="Times New Roman" w:hAnsi="Times New Roman" w:cs="Times New Roman"/>
        </w:rPr>
        <w:t xml:space="preserve"> </w:t>
      </w:r>
      <w:r w:rsidRPr="007F265B">
        <w:rPr>
          <w:rFonts w:ascii="Times New Roman" w:hAnsi="Times New Roman" w:cs="Times New Roman"/>
        </w:rPr>
        <w:t>des réseaux de neurones appliqués à des images médicales (MLP sur des caractéristiques dérivées, puis CNN directement sur les radiographies thoraciques) pour la classification de pathologies pulmonaires.</w:t>
      </w:r>
      <w:r>
        <w:rPr>
          <w:rFonts w:ascii="Times New Roman" w:hAnsi="Times New Roman" w:cs="Times New Roman"/>
        </w:rPr>
        <w:t xml:space="preserve"> </w:t>
      </w:r>
      <w:r w:rsidRPr="007F265B">
        <w:rPr>
          <w:rFonts w:ascii="Times New Roman" w:hAnsi="Times New Roman" w:cs="Times New Roman"/>
        </w:rPr>
        <w:t>Dans les deux cas, les modèles produisent pour chaque individu soit une classe prédite, soit une probabilité par classe, convertie ensuite en décision (binaire ou multi-classe) via un seuil.</w:t>
      </w:r>
    </w:p>
    <w:p w14:paraId="7F4EF248" w14:textId="0C06D77B" w:rsidR="007F265B" w:rsidRDefault="007F265B" w:rsidP="007F265B">
      <w:pPr>
        <w:ind w:left="360"/>
        <w:jc w:val="both"/>
        <w:rPr>
          <w:rFonts w:ascii="Times New Roman" w:hAnsi="Times New Roman" w:cs="Times New Roman"/>
          <w:b/>
          <w:bCs/>
        </w:rPr>
      </w:pPr>
      <w:r w:rsidRPr="007F265B">
        <w:rPr>
          <w:rFonts w:ascii="Times New Roman" w:hAnsi="Times New Roman" w:cs="Times New Roman"/>
          <w:b/>
          <w:bCs/>
        </w:rPr>
        <w:t>Matrice de confusion et notions de base</w:t>
      </w:r>
    </w:p>
    <w:p w14:paraId="5C8C0B51" w14:textId="3AF9C2E3"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La performance de classification est résumée par la matrice de confusion, qui oppose classes réelles et classes prédites :</w:t>
      </w:r>
    </w:p>
    <w:p w14:paraId="6FF9DE43" w14:textId="1AB651F0"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Vrais positifs (TP) : observations réellement malades correctement classées comme telles ;</w:t>
      </w:r>
    </w:p>
    <w:p w14:paraId="6439D46E" w14:textId="5F722500"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Faux positifs (FP) : sujets indemnes classés à tort comme malades ;</w:t>
      </w:r>
    </w:p>
    <w:p w14:paraId="6231130B" w14:textId="39024F69"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Vrais négatifs (TN) : sujets indemnes correctement classés comme non malades ;</w:t>
      </w:r>
    </w:p>
    <w:p w14:paraId="18E7F9C0" w14:textId="705F945C"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Faux négatifs (FN) : patients malades classés à tort comme non malades</w:t>
      </w:r>
      <w:r w:rsidR="00180430">
        <w:rPr>
          <w:rFonts w:ascii="Times New Roman" w:hAnsi="Times New Roman" w:cs="Times New Roman"/>
        </w:rPr>
        <w:t xml:space="preserve"> </w:t>
      </w:r>
      <w:r w:rsidR="00180430">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{"citationID":"eDVnk2sN","properties":{"formattedCitation":"[15]","plainCitation":"[15]","noteIndex":0},"citationItems":[{"id":752,"uris":["http://zotero.org/users/11240916/items/EJRLHW38"],"itemData":{"id":752,"type":"webpage","abstract":"The second edition of this volume provides insight and practical illustrations on how modern statistical concepts and re...","container-title":"dokumen.pub","language":"fr","title":"Clinical Prediction Models: A Practical Approach to Development, Validation, and Updating [2nd ed.] 978-3-030-16398-3;978-3-030-16399-0","title-short":"Clinical Prediction Models","URL":"https://dokumen.pub/clinical-prediction-models-a-practical-approach-to-development-validation-and-updating-2nd-ed-978-3-030-16398-3978-3-030-16399-0.html","accessed":{"date-parts":[["2026",1,28]]}}}],"schema":"https://github.com/citation-style-language/schema/raw/master/csl-citation.json"} </w:instrText>
      </w:r>
      <w:r w:rsidR="00180430">
        <w:rPr>
          <w:rFonts w:ascii="Times New Roman" w:hAnsi="Times New Roman" w:cs="Times New Roman"/>
        </w:rPr>
        <w:fldChar w:fldCharType="separate"/>
      </w:r>
      <w:r w:rsidR="00D736FF" w:rsidRPr="00D736FF">
        <w:rPr>
          <w:rFonts w:ascii="Times New Roman" w:hAnsi="Times New Roman" w:cs="Times New Roman"/>
        </w:rPr>
        <w:t>[15]</w:t>
      </w:r>
      <w:r w:rsidR="00180430">
        <w:rPr>
          <w:rFonts w:ascii="Times New Roman" w:hAnsi="Times New Roman" w:cs="Times New Roman"/>
        </w:rPr>
        <w:fldChar w:fldCharType="end"/>
      </w:r>
      <w:r w:rsidRPr="007F265B">
        <w:rPr>
          <w:rFonts w:ascii="Times New Roman" w:hAnsi="Times New Roman" w:cs="Times New Roman"/>
        </w:rPr>
        <w:t>.</w:t>
      </w:r>
    </w:p>
    <w:p w14:paraId="29E00A43" w14:textId="52221BBD" w:rsidR="007F265B" w:rsidRDefault="007F265B" w:rsidP="007F265B">
      <w:pPr>
        <w:ind w:left="360"/>
        <w:jc w:val="both"/>
        <w:rPr>
          <w:rFonts w:ascii="Times New Roman" w:hAnsi="Times New Roman" w:cs="Times New Roman"/>
        </w:rPr>
      </w:pPr>
      <w:r w:rsidRPr="007F265B">
        <w:rPr>
          <w:rFonts w:ascii="Times New Roman" w:hAnsi="Times New Roman" w:cs="Times New Roman"/>
        </w:rPr>
        <w:t>Ces quatre quantités constituent la base des métriques d’évaluation utilisées en prédiction clinique et, plus largement, en apprentissage supervisé</w:t>
      </w:r>
      <w:r w:rsidR="00AE6F52">
        <w:rPr>
          <w:rFonts w:ascii="Times New Roman" w:hAnsi="Times New Roman" w:cs="Times New Roman"/>
        </w:rPr>
        <w:t xml:space="preserve"> </w:t>
      </w:r>
      <w:r w:rsidR="00AE6F52">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{"citationID":"Lrye3u9C","properties":{"formattedCitation":"[16]","plainCitation":"[16]","noteIndex":0},"citationItems":[{"id":754,"uris":["http://zotero.org/users/11240916/items/DQGBVLKB"],"itemData":{"id":754,"type":"article","abstract":"A myriad of measures to illustrate performance of predictive artificial intelligence (AI) models have been proposed in the literature. Selecting appropriate performance measures is essential for predictive AI models that are developed to be used in medical practice, because poorly performing models may harm patients and lead to increased costs. We aim to assess the merits of classic and contemporary performance measures when validating predictive AI models for use in medical practice. We focus on models with a binary outcome. We discuss 32 performance measures covering five performance domains (discrimination, calibration, overall, classification, and clinical utility) along with accompanying graphical assessments. The first four domains cover statistical performance, the fifth domain covers decision-analytic performance. We explain why two key characteristics are important when selecting which performance measures to assess: (1) whether the measure's expected value is optimized when it is calculated using the correct probabilities (i.e., a \"proper\" measure), and (2) whether they reflect either purely statistical performance or decision-analytic performance by properly considering misclassification costs. Seventeen measures exhibit both characteristics, fourteen measures exhibited one characteristic, and one measure possessed neither characteristic (the F1 measure). All classification measures (such as classification accuracy and F1) are improper for clinically relevant decision thresholds other than 0.5 or the prevalence. We recommend the following measures and plots as essential to report: AUROC, calibration plot, a clinical utility measure such as net benefit with decision curve analysis, and a plot with probability distributions per outcome category.","DOI":"10.48550/arXiv.2412.10288","note":"arXiv:2412.10288 [cs]","number":"arXiv:2412.10288","publisher":"arXiv","source":"arXiv.org","title":"Performance evaluation of predictive AI models to support medical decisions: Overview and guidance","title-short":"Performance evaluation of predictive AI models to support medical decisions","URL":"http://arxiv.org/abs/2412.10288","author":[{"family":"Calster","given":"Ben Van"},{"family":"Collins","given":"Gary S."},{"family":"Vickers","given":"Andrew J."},{"family":"Wynants","given":"Laure"},{"family":"Kerr","given":"Kathleen F."},{"family":"Barreñada","given":"Lasai"},{"family":"Varoquaux","given":"Gael"},{"family":"Singh","given":"Karandeep"},{"family":"Moons","given":"Karel G. M."},{"family":"Hernandez-boussard","given":"Tina"},{"family":"Timmerman","given":"Dirk"},{"family":"Mclernon","given":"David J."},{"family":"Smeden","given":"Maarten Van"},{"family":"Steyerberg","given":"Ewout W."}],"accessed":{"date-parts":[["2026",1,28]]},"issued":{"date-parts":[["2024",12,13]]}}}],"schema":"https://github.com/citation-style-language/schema/raw/master/csl-citation.json"} </w:instrText>
      </w:r>
      <w:r w:rsidR="00AE6F52">
        <w:rPr>
          <w:rFonts w:ascii="Times New Roman" w:hAnsi="Times New Roman" w:cs="Times New Roman"/>
        </w:rPr>
        <w:fldChar w:fldCharType="separate"/>
      </w:r>
      <w:r w:rsidR="00D736FF" w:rsidRPr="00D736FF">
        <w:rPr>
          <w:rFonts w:ascii="Times New Roman" w:hAnsi="Times New Roman" w:cs="Times New Roman"/>
        </w:rPr>
        <w:t>[16]</w:t>
      </w:r>
      <w:r w:rsidR="00AE6F52">
        <w:rPr>
          <w:rFonts w:ascii="Times New Roman" w:hAnsi="Times New Roman" w:cs="Times New Roman"/>
        </w:rPr>
        <w:fldChar w:fldCharType="end"/>
      </w:r>
      <w:r w:rsidRPr="007F265B">
        <w:rPr>
          <w:rFonts w:ascii="Times New Roman" w:hAnsi="Times New Roman" w:cs="Times New Roman"/>
        </w:rPr>
        <w:t>.</w:t>
      </w:r>
    </w:p>
    <w:p w14:paraId="4A14C62B" w14:textId="5D268598" w:rsidR="007F265B" w:rsidRDefault="007F265B" w:rsidP="007F265B">
      <w:pPr>
        <w:ind w:left="360"/>
        <w:jc w:val="both"/>
        <w:rPr>
          <w:rFonts w:ascii="Times New Roman" w:hAnsi="Times New Roman" w:cs="Times New Roman"/>
          <w:b/>
          <w:bCs/>
        </w:rPr>
      </w:pPr>
      <w:r w:rsidRPr="007F265B">
        <w:rPr>
          <w:rFonts w:ascii="Times New Roman" w:hAnsi="Times New Roman" w:cs="Times New Roman"/>
          <w:b/>
          <w:bCs/>
        </w:rPr>
        <w:t>Métriques d’évaluation dérivées de la matrice de confusion</w:t>
      </w:r>
    </w:p>
    <w:p w14:paraId="413C3B93" w14:textId="77777777" w:rsidR="007F265B" w:rsidRPr="007F265B" w:rsidRDefault="007F265B" w:rsidP="007F265B">
      <w:pPr>
        <w:ind w:left="360"/>
        <w:jc w:val="both"/>
        <w:rPr>
          <w:rFonts w:ascii="Times New Roman" w:hAnsi="Times New Roman" w:cs="Times New Roman"/>
        </w:rPr>
      </w:pPr>
      <w:r w:rsidRPr="007F265B">
        <w:rPr>
          <w:rFonts w:ascii="Times New Roman" w:hAnsi="Times New Roman" w:cs="Times New Roman"/>
        </w:rPr>
        <w:t>À partir de la matrice de confusion, les principales métriques d’évaluation des modèles de classification sont définies comme suit et calculées pour chaque configuration de modèle :</w:t>
      </w:r>
    </w:p>
    <w:p w14:paraId="3EC63FE8" w14:textId="77777777" w:rsidR="007F265B" w:rsidRPr="007F265B" w:rsidRDefault="007F265B" w:rsidP="007F265B">
      <w:pPr>
        <w:ind w:left="360"/>
        <w:jc w:val="both"/>
        <w:rPr>
          <w:rFonts w:ascii="Times New Roman" w:hAnsi="Times New Roman" w:cs="Times New Roman"/>
          <w:b/>
          <w:bCs/>
        </w:rPr>
      </w:pPr>
    </w:p>
    <w:p w14:paraId="13674857" w14:textId="568E8863" w:rsidR="007F265B" w:rsidRPr="00A43C8F" w:rsidRDefault="007F265B" w:rsidP="007F265B">
      <w:pPr>
        <w:ind w:left="360"/>
        <w:jc w:val="both"/>
        <w:rPr>
          <w:rFonts w:ascii="Times New Roman" w:hAnsi="Times New Roman" w:cs="Times New Roman"/>
          <w:b/>
          <w:bCs/>
          <w:lang w:val="en-US"/>
        </w:rPr>
      </w:pPr>
      <w:r w:rsidRPr="00A43C8F">
        <w:rPr>
          <w:rFonts w:ascii="Times New Roman" w:hAnsi="Times New Roman" w:cs="Times New Roman"/>
          <w:b/>
          <w:bCs/>
          <w:lang w:val="en-US"/>
        </w:rPr>
        <w:t xml:space="preserve">Exactitude </w:t>
      </w:r>
      <w:proofErr w:type="spellStart"/>
      <w:r w:rsidRPr="00A43C8F">
        <w:rPr>
          <w:rFonts w:ascii="Times New Roman" w:hAnsi="Times New Roman" w:cs="Times New Roman"/>
          <w:b/>
          <w:bCs/>
          <w:lang w:val="en-US"/>
        </w:rPr>
        <w:t>globale</w:t>
      </w:r>
      <w:proofErr w:type="spellEnd"/>
      <w:r w:rsidRPr="00A43C8F">
        <w:rPr>
          <w:rFonts w:ascii="Times New Roman" w:hAnsi="Times New Roman" w:cs="Times New Roman"/>
          <w:b/>
          <w:bCs/>
          <w:lang w:val="en-US"/>
        </w:rPr>
        <w:t xml:space="preserve"> (accuracy)</w:t>
      </w:r>
    </w:p>
    <w:p w14:paraId="3ADAF09C" w14:textId="517718C1" w:rsidR="007F265B" w:rsidRPr="00180430" w:rsidRDefault="00180430" w:rsidP="007F265B">
      <w:pPr>
        <w:ind w:left="360"/>
        <w:jc w:val="both"/>
        <w:rPr>
          <w:rFonts w:ascii="Times New Roman" w:hAnsi="Times New Roman" w:cs="Times New Roman"/>
          <w:b/>
          <w:bCs/>
          <w:lang w:val="en-US"/>
        </w:rPr>
      </w:pPr>
      <w:r w:rsidRPr="00180430">
        <w:rPr>
          <w:rFonts w:ascii="Times New Roman" w:hAnsi="Times New Roman" w:cs="Times New Roman"/>
          <w:b/>
          <w:bCs/>
          <w:lang w:val="en-US"/>
        </w:rPr>
        <w:t>Accuracy=TP+TN/FP+FN+TP+TN​</w:t>
      </w:r>
    </w:p>
    <w:p w14:paraId="7696B9AA" w14:textId="0B049B03" w:rsidR="00180430" w:rsidRDefault="00180430" w:rsidP="007F265B">
      <w:pPr>
        <w:ind w:left="360"/>
        <w:jc w:val="both"/>
        <w:rPr>
          <w:rFonts w:ascii="Times New Roman" w:hAnsi="Times New Roman" w:cs="Times New Roman"/>
        </w:rPr>
      </w:pPr>
      <w:r w:rsidRPr="00180430">
        <w:rPr>
          <w:rFonts w:ascii="Times New Roman" w:hAnsi="Times New Roman" w:cs="Times New Roman"/>
        </w:rPr>
        <w:t>Elle mesure la proportion totale de classifications correctes. En présence de classes déséquilibrées, une accuracy élevée peut toutefois masquer une performance très faible sur la classe minoritaire, si le modèle privilégie la classe majoritaire.</w:t>
      </w:r>
    </w:p>
    <w:p w14:paraId="630C47B1" w14:textId="59EA889B" w:rsidR="00180430" w:rsidRDefault="00180430" w:rsidP="007F265B">
      <w:pPr>
        <w:ind w:left="360"/>
        <w:jc w:val="both"/>
        <w:rPr>
          <w:rFonts w:ascii="Times New Roman" w:hAnsi="Times New Roman" w:cs="Times New Roman"/>
          <w:b/>
          <w:bCs/>
        </w:rPr>
      </w:pPr>
      <w:r w:rsidRPr="00180430">
        <w:rPr>
          <w:rFonts w:ascii="Times New Roman" w:hAnsi="Times New Roman" w:cs="Times New Roman"/>
          <w:b/>
          <w:bCs/>
        </w:rPr>
        <w:t>Rappel (</w:t>
      </w:r>
      <w:proofErr w:type="spellStart"/>
      <w:r w:rsidRPr="00180430">
        <w:rPr>
          <w:rFonts w:ascii="Times New Roman" w:hAnsi="Times New Roman" w:cs="Times New Roman"/>
          <w:b/>
          <w:bCs/>
        </w:rPr>
        <w:t>recall</w:t>
      </w:r>
      <w:proofErr w:type="spellEnd"/>
      <w:r w:rsidRPr="00180430">
        <w:rPr>
          <w:rFonts w:ascii="Times New Roman" w:hAnsi="Times New Roman" w:cs="Times New Roman"/>
          <w:b/>
          <w:bCs/>
        </w:rPr>
        <w:t>, sensibilité)</w:t>
      </w:r>
    </w:p>
    <w:p w14:paraId="77D4EFE4" w14:textId="6B408D19" w:rsidR="00180430" w:rsidRDefault="00180430" w:rsidP="00180430">
      <w:pPr>
        <w:ind w:left="360"/>
        <w:jc w:val="both"/>
        <w:rPr>
          <w:rFonts w:ascii="Times New Roman" w:hAnsi="Times New Roman" w:cs="Times New Roman"/>
          <w:b/>
          <w:bCs/>
        </w:rPr>
      </w:pPr>
      <w:proofErr w:type="spellStart"/>
      <w:r w:rsidRPr="00180430">
        <w:rPr>
          <w:rFonts w:ascii="Times New Roman" w:hAnsi="Times New Roman" w:cs="Times New Roman"/>
          <w:b/>
          <w:bCs/>
        </w:rPr>
        <w:t>Recall</w:t>
      </w:r>
      <w:proofErr w:type="spellEnd"/>
      <w:r w:rsidRPr="00180430">
        <w:rPr>
          <w:rFonts w:ascii="Times New Roman" w:hAnsi="Times New Roman" w:cs="Times New Roman"/>
          <w:b/>
          <w:bCs/>
        </w:rPr>
        <w:t>=</w:t>
      </w:r>
      <w:r>
        <w:rPr>
          <w:rFonts w:ascii="Times New Roman" w:hAnsi="Times New Roman" w:cs="Times New Roman"/>
          <w:b/>
          <w:bCs/>
        </w:rPr>
        <w:t xml:space="preserve"> </w:t>
      </w:r>
      <w:r w:rsidRPr="00180430">
        <w:rPr>
          <w:rFonts w:ascii="Times New Roman" w:hAnsi="Times New Roman" w:cs="Times New Roman"/>
          <w:b/>
          <w:bCs/>
        </w:rPr>
        <w:t>TP</w:t>
      </w:r>
      <w:r>
        <w:rPr>
          <w:rFonts w:ascii="Times New Roman" w:hAnsi="Times New Roman" w:cs="Times New Roman"/>
          <w:b/>
          <w:bCs/>
        </w:rPr>
        <w:t> /</w:t>
      </w:r>
      <w:r w:rsidRPr="00180430">
        <w:rPr>
          <w:rFonts w:ascii="Times New Roman" w:hAnsi="Times New Roman" w:cs="Times New Roman"/>
          <w:b/>
          <w:bCs/>
        </w:rPr>
        <w:t>FN</w:t>
      </w:r>
      <w:r>
        <w:rPr>
          <w:rFonts w:ascii="Times New Roman" w:hAnsi="Times New Roman" w:cs="Times New Roman"/>
          <w:b/>
          <w:bCs/>
        </w:rPr>
        <w:t>=</w:t>
      </w:r>
      <w:r w:rsidRPr="00180430">
        <w:rPr>
          <w:rFonts w:ascii="Times New Roman" w:hAnsi="Times New Roman" w:cs="Times New Roman"/>
          <w:b/>
          <w:bCs/>
        </w:rPr>
        <w:t>TP</w:t>
      </w:r>
    </w:p>
    <w:p w14:paraId="7CD05FF4" w14:textId="2C096F6E" w:rsidR="00180430" w:rsidRPr="00180430" w:rsidRDefault="00180430" w:rsidP="00180430">
      <w:pPr>
        <w:ind w:left="360"/>
        <w:jc w:val="both"/>
        <w:rPr>
          <w:rFonts w:ascii="Times New Roman" w:hAnsi="Times New Roman" w:cs="Times New Roman"/>
        </w:rPr>
      </w:pPr>
      <w:r w:rsidRPr="00180430">
        <w:rPr>
          <w:rFonts w:ascii="Times New Roman" w:hAnsi="Times New Roman" w:cs="Times New Roman"/>
        </w:rPr>
        <w:t>Le rappel quantifie la capacité du modèle à détecter les sujets réellement malades. Un rappel faible signifie que de nombreux cas sont manqués (faux négatifs), ce qui est particulièrement problématique en contexte clinique.</w:t>
      </w:r>
    </w:p>
    <w:p w14:paraId="0D758428" w14:textId="67C6CB56" w:rsidR="00180430" w:rsidRDefault="00180430" w:rsidP="00180430">
      <w:pPr>
        <w:ind w:left="360"/>
        <w:jc w:val="both"/>
        <w:rPr>
          <w:rFonts w:ascii="Times New Roman" w:hAnsi="Times New Roman" w:cs="Times New Roman"/>
          <w:b/>
          <w:bCs/>
        </w:rPr>
      </w:pPr>
      <w:r w:rsidRPr="00180430">
        <w:rPr>
          <w:rFonts w:ascii="Times New Roman" w:hAnsi="Times New Roman" w:cs="Times New Roman"/>
          <w:b/>
          <w:bCs/>
        </w:rPr>
        <w:t>Précision (</w:t>
      </w:r>
      <w:proofErr w:type="spellStart"/>
      <w:r w:rsidRPr="00180430">
        <w:rPr>
          <w:rFonts w:ascii="Times New Roman" w:hAnsi="Times New Roman" w:cs="Times New Roman"/>
          <w:b/>
          <w:bCs/>
        </w:rPr>
        <w:t>precision</w:t>
      </w:r>
      <w:proofErr w:type="spellEnd"/>
      <w:r w:rsidRPr="00180430">
        <w:rPr>
          <w:rFonts w:ascii="Times New Roman" w:hAnsi="Times New Roman" w:cs="Times New Roman"/>
          <w:b/>
          <w:bCs/>
        </w:rPr>
        <w:t>, valeur prédictive positive)</w:t>
      </w:r>
    </w:p>
    <w:p w14:paraId="7BAAE96F" w14:textId="0761CF5C" w:rsidR="00180430" w:rsidRDefault="00180430" w:rsidP="00180430">
      <w:pPr>
        <w:ind w:left="360"/>
        <w:jc w:val="both"/>
        <w:rPr>
          <w:rFonts w:ascii="Times New Roman" w:hAnsi="Times New Roman" w:cs="Times New Roman"/>
          <w:b/>
          <w:bCs/>
        </w:rPr>
      </w:pPr>
      <w:proofErr w:type="spellStart"/>
      <w:r w:rsidRPr="00180430">
        <w:rPr>
          <w:rFonts w:ascii="Times New Roman" w:hAnsi="Times New Roman" w:cs="Times New Roman"/>
          <w:b/>
          <w:bCs/>
        </w:rPr>
        <w:t>Precision</w:t>
      </w:r>
      <w:proofErr w:type="spellEnd"/>
      <w:r w:rsidRPr="00180430">
        <w:rPr>
          <w:rFonts w:ascii="Times New Roman" w:hAnsi="Times New Roman" w:cs="Times New Roman"/>
          <w:b/>
          <w:bCs/>
        </w:rPr>
        <w:t>=TP</w:t>
      </w:r>
      <w:r>
        <w:rPr>
          <w:rFonts w:ascii="Times New Roman" w:hAnsi="Times New Roman" w:cs="Times New Roman"/>
          <w:b/>
          <w:bCs/>
        </w:rPr>
        <w:t>/</w:t>
      </w:r>
      <w:r w:rsidRPr="00180430">
        <w:rPr>
          <w:rFonts w:ascii="Times New Roman" w:hAnsi="Times New Roman" w:cs="Times New Roman"/>
          <w:b/>
          <w:bCs/>
        </w:rPr>
        <w:t>FP</w:t>
      </w:r>
      <w:r>
        <w:rPr>
          <w:rFonts w:ascii="Times New Roman" w:hAnsi="Times New Roman" w:cs="Times New Roman"/>
          <w:b/>
          <w:bCs/>
        </w:rPr>
        <w:t>+</w:t>
      </w:r>
      <w:r w:rsidRPr="00180430">
        <w:rPr>
          <w:rFonts w:ascii="Times New Roman" w:hAnsi="Times New Roman" w:cs="Times New Roman"/>
          <w:b/>
          <w:bCs/>
        </w:rPr>
        <w:t>TP​</w:t>
      </w:r>
    </w:p>
    <w:p w14:paraId="56226438" w14:textId="01150396" w:rsidR="00180430" w:rsidRPr="00180430" w:rsidRDefault="00180430" w:rsidP="00180430">
      <w:pPr>
        <w:ind w:left="360"/>
        <w:jc w:val="both"/>
        <w:rPr>
          <w:rFonts w:ascii="Times New Roman" w:hAnsi="Times New Roman" w:cs="Times New Roman"/>
        </w:rPr>
      </w:pPr>
      <w:r w:rsidRPr="00180430">
        <w:rPr>
          <w:rFonts w:ascii="Times New Roman" w:hAnsi="Times New Roman" w:cs="Times New Roman"/>
        </w:rPr>
        <w:t>La précision mesure, parmi les sujets classés “positifs” par le modèle, la proportion qui est effectivement malade. Elle renseigne sur le “coût” des faux positifs en termes d’examens ou de traitements inutiles.</w:t>
      </w:r>
    </w:p>
    <w:p w14:paraId="5BA3D30C" w14:textId="0F8F3FB3" w:rsidR="007F265B" w:rsidRPr="00A43C8F" w:rsidRDefault="00180430" w:rsidP="007F265B">
      <w:pPr>
        <w:ind w:left="360"/>
        <w:jc w:val="both"/>
        <w:rPr>
          <w:rFonts w:ascii="Times New Roman" w:hAnsi="Times New Roman" w:cs="Times New Roman"/>
          <w:b/>
          <w:bCs/>
          <w:lang w:val="en-US"/>
        </w:rPr>
      </w:pPr>
      <w:r w:rsidRPr="00A43C8F">
        <w:rPr>
          <w:rFonts w:ascii="Times New Roman" w:hAnsi="Times New Roman" w:cs="Times New Roman"/>
          <w:b/>
          <w:bCs/>
          <w:lang w:val="en-US"/>
        </w:rPr>
        <w:t>F1-score</w:t>
      </w:r>
    </w:p>
    <w:p w14:paraId="2634F795" w14:textId="275D863D" w:rsidR="00180430" w:rsidRDefault="00180430" w:rsidP="00180430">
      <w:pPr>
        <w:ind w:left="360"/>
        <w:jc w:val="both"/>
        <w:rPr>
          <w:rFonts w:ascii="Times New Roman" w:hAnsi="Times New Roman" w:cs="Times New Roman"/>
          <w:lang w:val="en-US"/>
        </w:rPr>
      </w:pPr>
      <w:r w:rsidRPr="00180430">
        <w:rPr>
          <w:rFonts w:ascii="Times New Roman" w:hAnsi="Times New Roman" w:cs="Times New Roman"/>
          <w:lang w:val="en-US"/>
        </w:rPr>
        <w:t>F1=2×Precision1 x Recall1/Precision1 + Recall1</w:t>
      </w:r>
    </w:p>
    <w:p w14:paraId="21402E86" w14:textId="09084A03" w:rsidR="00180430" w:rsidRDefault="00180430" w:rsidP="00180430">
      <w:pPr>
        <w:ind w:left="360"/>
        <w:jc w:val="both"/>
        <w:rPr>
          <w:rFonts w:ascii="Times New Roman" w:hAnsi="Times New Roman" w:cs="Times New Roman"/>
        </w:rPr>
      </w:pPr>
      <w:r w:rsidRPr="00180430">
        <w:rPr>
          <w:rFonts w:ascii="Times New Roman" w:hAnsi="Times New Roman" w:cs="Times New Roman"/>
        </w:rPr>
        <w:t>Le F1-score est la moyenne harmonique de la précision et du rappel. Il est particulièrement utile lorsque les classes sont déséquilibrées, car il pénalise les modèles pour lesquels l’une des deux composantes (rappel ou précision) reste très faible malgré une performance correcte sur l’autre.</w:t>
      </w:r>
    </w:p>
    <w:p w14:paraId="4E7DB6AD" w14:textId="1200AFAF" w:rsidR="00180430" w:rsidRDefault="00180430" w:rsidP="00180430">
      <w:pPr>
        <w:ind w:left="360"/>
        <w:jc w:val="both"/>
        <w:rPr>
          <w:rFonts w:ascii="Times New Roman" w:hAnsi="Times New Roman" w:cs="Times New Roman"/>
        </w:rPr>
      </w:pPr>
      <w:r w:rsidRPr="00180430">
        <w:rPr>
          <w:rFonts w:ascii="Times New Roman" w:hAnsi="Times New Roman" w:cs="Times New Roman"/>
        </w:rPr>
        <w:t>Dans l’application tabulaire, la classe positive correspond à la survenue d’un événement coronarien à dix ans ; dans l’application imagerie, elle correspond à la présence d’une pathologie pulmonaire spécifique (ou à une classe pathologique dans le cadre multi-classe).</w:t>
      </w:r>
    </w:p>
    <w:p w14:paraId="622276A7" w14:textId="190E01F7" w:rsidR="00180430" w:rsidRPr="00180430" w:rsidRDefault="00180430" w:rsidP="00180430">
      <w:pPr>
        <w:ind w:left="360"/>
        <w:jc w:val="both"/>
        <w:rPr>
          <w:rFonts w:ascii="Times New Roman" w:hAnsi="Times New Roman" w:cs="Times New Roman"/>
          <w:b/>
          <w:bCs/>
        </w:rPr>
      </w:pPr>
      <w:r w:rsidRPr="00180430">
        <w:rPr>
          <w:rFonts w:ascii="Times New Roman" w:hAnsi="Times New Roman" w:cs="Times New Roman"/>
          <w:b/>
          <w:bCs/>
        </w:rPr>
        <w:t>Discrimination globale : courbes ROC et précision–rappel</w:t>
      </w:r>
    </w:p>
    <w:p w14:paraId="220133DD" w14:textId="496E2404" w:rsidR="00180430" w:rsidRPr="00180430" w:rsidRDefault="00180430" w:rsidP="00180430">
      <w:pPr>
        <w:ind w:left="360"/>
        <w:jc w:val="both"/>
        <w:rPr>
          <w:rFonts w:ascii="Times New Roman" w:hAnsi="Times New Roman" w:cs="Times New Roman"/>
        </w:rPr>
      </w:pPr>
      <w:r w:rsidRPr="00180430">
        <w:rPr>
          <w:rFonts w:ascii="Times New Roman" w:hAnsi="Times New Roman" w:cs="Times New Roman"/>
        </w:rPr>
        <w:t>Au-delà de ces indicateurs ponctuels, la capacité de discrimination globale des modèles (tabulaires et images) est appréciée à l’aide de courbes et d’aires sous courbes :</w:t>
      </w:r>
    </w:p>
    <w:p w14:paraId="6B9DB4CD" w14:textId="21688BA4" w:rsidR="00180430" w:rsidRPr="00180430" w:rsidRDefault="00180430" w:rsidP="00180430">
      <w:pPr>
        <w:ind w:left="360"/>
        <w:jc w:val="both"/>
        <w:rPr>
          <w:rFonts w:ascii="Times New Roman" w:hAnsi="Times New Roman" w:cs="Times New Roman"/>
        </w:rPr>
      </w:pPr>
      <w:r w:rsidRPr="00180430">
        <w:rPr>
          <w:rFonts w:ascii="Times New Roman" w:hAnsi="Times New Roman" w:cs="Times New Roman"/>
        </w:rPr>
        <w:t>La courbe ROC (</w:t>
      </w:r>
      <w:proofErr w:type="spellStart"/>
      <w:r w:rsidRPr="00180430">
        <w:rPr>
          <w:rFonts w:ascii="Times New Roman" w:hAnsi="Times New Roman" w:cs="Times New Roman"/>
        </w:rPr>
        <w:t>Receiver</w:t>
      </w:r>
      <w:proofErr w:type="spellEnd"/>
      <w:r w:rsidRPr="00180430">
        <w:rPr>
          <w:rFonts w:ascii="Times New Roman" w:hAnsi="Times New Roman" w:cs="Times New Roman"/>
        </w:rPr>
        <w:t xml:space="preserve"> Operating </w:t>
      </w:r>
      <w:proofErr w:type="spellStart"/>
      <w:r w:rsidRPr="00180430">
        <w:rPr>
          <w:rFonts w:ascii="Times New Roman" w:hAnsi="Times New Roman" w:cs="Times New Roman"/>
        </w:rPr>
        <w:t>Characteristic</w:t>
      </w:r>
      <w:proofErr w:type="spellEnd"/>
      <w:r w:rsidRPr="00180430">
        <w:rPr>
          <w:rFonts w:ascii="Times New Roman" w:hAnsi="Times New Roman" w:cs="Times New Roman"/>
        </w:rPr>
        <w:t>) représente, pour l’ensemble des seuils de décision possibles, le compromis entre taux de vrais positifs (sensibilité) et taux de faux positifs (1–spécificité). L’aire sous la courbe (AUC-ROC) mesure la capacité du modèle à attribuer en moyenne des scores plus élevés aux sujets malades qu’aux sujets indemnes.</w:t>
      </w:r>
    </w:p>
    <w:p w14:paraId="1C2E0D64" w14:textId="77777777" w:rsidR="00180430" w:rsidRPr="00180430" w:rsidRDefault="00180430" w:rsidP="00180430">
      <w:pPr>
        <w:ind w:left="360"/>
        <w:jc w:val="both"/>
        <w:rPr>
          <w:rFonts w:ascii="Times New Roman" w:hAnsi="Times New Roman" w:cs="Times New Roman"/>
        </w:rPr>
      </w:pPr>
      <w:r w:rsidRPr="00180430">
        <w:rPr>
          <w:rFonts w:ascii="Times New Roman" w:hAnsi="Times New Roman" w:cs="Times New Roman"/>
        </w:rPr>
        <w:t xml:space="preserve">La courbe précision–rappel (PR) trace, là aussi pour tous les seuils, la relation entre précision et rappel pour la classe d’intérêt. Dans les situations de classe rare, l’aire sous la </w:t>
      </w:r>
      <w:r w:rsidRPr="00180430">
        <w:rPr>
          <w:rFonts w:ascii="Times New Roman" w:hAnsi="Times New Roman" w:cs="Times New Roman"/>
        </w:rPr>
        <w:lastRenderedPageBreak/>
        <w:t>courbe PR (AUC-PR) est généralement plus informative que l’AUC-ROC, car elle se focalise spécifiquement sur la performance du modèle dans la classe minoritaire.</w:t>
      </w:r>
    </w:p>
    <w:p w14:paraId="2DC484FA" w14:textId="77777777" w:rsidR="00180430" w:rsidRPr="00180430" w:rsidRDefault="00180430" w:rsidP="00180430">
      <w:pPr>
        <w:ind w:left="360"/>
        <w:jc w:val="both"/>
        <w:rPr>
          <w:rFonts w:ascii="Times New Roman" w:hAnsi="Times New Roman" w:cs="Times New Roman"/>
        </w:rPr>
      </w:pPr>
    </w:p>
    <w:p w14:paraId="7670499F" w14:textId="0D874E6A" w:rsidR="00180430" w:rsidRDefault="00180430" w:rsidP="00180430">
      <w:pPr>
        <w:ind w:left="360"/>
        <w:jc w:val="both"/>
        <w:rPr>
          <w:rFonts w:ascii="Times New Roman" w:hAnsi="Times New Roman" w:cs="Times New Roman"/>
        </w:rPr>
      </w:pPr>
      <w:r w:rsidRPr="00180430">
        <w:rPr>
          <w:rFonts w:ascii="Times New Roman" w:hAnsi="Times New Roman" w:cs="Times New Roman"/>
        </w:rPr>
        <w:t>Dans les deux volets du travail, l’analyse conjointe de l’accuracy, du rappel, de la précision, du F1-score, de l’AUC-ROC et de l’AUC-PR permet d’évaluer non seulement la performance globale, mais surtout la capacité des modèles tabulaires et neuronaux à détecter correctement les cas cliniquement critiques dans un contexte de classes déséquilibrées</w:t>
      </w:r>
      <w:r w:rsidR="00AE6F52">
        <w:rPr>
          <w:rFonts w:ascii="Times New Roman" w:hAnsi="Times New Roman" w:cs="Times New Roman"/>
        </w:rPr>
        <w:t xml:space="preserve"> </w:t>
      </w:r>
      <w:r w:rsidR="00AE6F52">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{"citationID":"Hrp6ieLV","properties":{"formattedCitation":"[17]","plainCitation":"[17]","noteIndex":0},"citationItems":[{"id":758,"uris":["http://zotero.org/users/11240916/items/WZRM4XUR"],"itemData":{"id":758,"type":"article-journal","abstract":"Binary classifiers are routinely evaluated with performance measures such as sensitivity and specificity, and performance is frequently illustrated with Receiver Operating Characteristics (ROC) plots. Alternative measures such as positive predictive value (PPV) and the associated Precision/Recall (PRC) plots are used less frequently. Many bioinformatics studies develop and evaluate classifiers that are to be applied to strongly imbalanced datasets in which the number of negatives outweighs the number of positives significantly. While ROC plots are visually appealing and provide an overview of a classifier's performance across a wide range of specificities, one can ask whether ROC plots could be misleading when applied in imbalanced classification scenarios. We show here that the visual interpretability of ROC plots in the context of imbalanced datasets can be deceptive with respect to conclusions about the reliability of classification performance, owing to an intuitive but wrong interpretation of specificity. PRC plots, on the other hand, can provide the viewer with an accurate prediction of future classification performance due to the fact that they evaluate the fraction of true positives among positive predictions. Our findings have potential implications for the interpretation of a large number of studies that use ROC plots on imbalanced datasets.","container-title":"PLOS ONE","DOI":"10.1371/journal.pone.0118432","ISSN":"1932-6203","issue":"3","journalAbbreviation":"PLOS ONE","language":"fr","page":"e0118432","publisher":"Public Library of Science","source":"PLoS Journals","title":"The Precision-Recall Plot Is More Informative than the ROC Plot When Evaluating Binary Classifiers on Imbalanced Datasets","volume":"10","author":[{"family":"Saito","given":"Takaya"},{"family":"Rehmsmeier","given":"Marc"}],"issued":{"date-parts":[["2015",3,4]]}}}],"schema":"https://github.com/citation-style-language/schema/raw/master/csl-citation.json"} </w:instrText>
      </w:r>
      <w:r w:rsidR="00AE6F52">
        <w:rPr>
          <w:rFonts w:ascii="Times New Roman" w:hAnsi="Times New Roman" w:cs="Times New Roman"/>
        </w:rPr>
        <w:fldChar w:fldCharType="separate"/>
      </w:r>
      <w:r w:rsidR="00D736FF" w:rsidRPr="00D736FF">
        <w:rPr>
          <w:rFonts w:ascii="Times New Roman" w:hAnsi="Times New Roman" w:cs="Times New Roman"/>
        </w:rPr>
        <w:t>[17]</w:t>
      </w:r>
      <w:r w:rsidR="00AE6F52">
        <w:rPr>
          <w:rFonts w:ascii="Times New Roman" w:hAnsi="Times New Roman" w:cs="Times New Roman"/>
        </w:rPr>
        <w:fldChar w:fldCharType="end"/>
      </w:r>
      <w:r w:rsidRPr="00180430">
        <w:rPr>
          <w:rFonts w:ascii="Times New Roman" w:hAnsi="Times New Roman" w:cs="Times New Roman"/>
        </w:rPr>
        <w:t>.</w:t>
      </w:r>
    </w:p>
    <w:p w14:paraId="0F64A959" w14:textId="77777777" w:rsidR="00823767" w:rsidRDefault="00030F69" w:rsidP="00180430">
      <w:pPr>
        <w:ind w:left="360"/>
        <w:jc w:val="both"/>
        <w:rPr>
          <w:rFonts w:ascii="Times New Roman" w:hAnsi="Times New Roman" w:cs="Times New Roman"/>
          <w:b/>
          <w:bCs/>
        </w:rPr>
      </w:pPr>
      <w:r w:rsidRPr="00030F69">
        <w:rPr>
          <w:rFonts w:ascii="Times New Roman" w:hAnsi="Times New Roman" w:cs="Times New Roman"/>
          <w:b/>
          <w:bCs/>
        </w:rPr>
        <w:t xml:space="preserve">Quantification de  l’incertitude    des prédictions : </w:t>
      </w:r>
      <w:r w:rsidR="00823767" w:rsidRPr="00823767">
        <w:rPr>
          <w:rFonts w:ascii="Times New Roman" w:hAnsi="Times New Roman" w:cs="Times New Roman"/>
          <w:b/>
          <w:bCs/>
        </w:rPr>
        <w:t>cadre clinique et méthodes appliquées</w:t>
      </w:r>
    </w:p>
    <w:p w14:paraId="2D8ADF07" w14:textId="7272B450" w:rsidR="00030F69" w:rsidRDefault="00C97397" w:rsidP="00180430">
      <w:pPr>
        <w:ind w:left="360"/>
        <w:jc w:val="both"/>
        <w:rPr>
          <w:rFonts w:ascii="Times New Roman" w:hAnsi="Times New Roman" w:cs="Times New Roman"/>
        </w:rPr>
      </w:pPr>
      <w:r w:rsidRPr="00C97397">
        <w:rPr>
          <w:rFonts w:ascii="Times New Roman" w:hAnsi="Times New Roman" w:cs="Times New Roman"/>
        </w:rPr>
        <w:t>Dans un contexte clinique, la qualité d’un modèle ne se résume pas à sa capacité de “bien classer” en moyenne ; le clinicien a également besoin de savoir dans quelle mesure il peut faire confiance à chaque prédiction individuelle. Une probabilité de 0,90 n’a pas la même portée si le modèle est bien calibré et capable de signaler ses zones d’ignorance, ou au contraire s’il est systématiquement sur-confiant, comme cela a été montré pour de nombreux réseaux de neurones modernes en vision médicale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{"citationID":"a9dtph0N","properties":{"formattedCitation":"[18]","plainCitation":"[18]","noteIndex":0},"citationItems":[{"id":761,"uris":["http://zotero.org/users/11240916/items/C4VQQUKM"],"itemData":{"id":761,"type":"paper-conference","abstract":"Confidence calibration - the process to calibrate the output probability distribution of neural networks - is essential for safety-critical applications of such networks. Recent works verify the link between mis-calibration and overfitting. However, early stopping, as a well-known technique to mitigate overfitting, fails to calibrate networks. In this work, we study the limitions of early stopping and comprehensively analyze the overfitting problem of a network considering each individual block. We then propose a novel regularization method, predecessor combination search (PCS), to improve calibration by searching a combination of best-fitting block predecessors, where block predecessors are the corresponding network blocks with weight parameters from earlier training stages. PCS achieves the state-of-the-art calibration performance on multiple datasets and architectures. In addition, PCS improves model robustness under dataset distribution shift. Supplementary material and code are available at https://github.com/Linwei94/PCS","container-title":"Proceedings of the Thirty-Second International Joint Conference on Artificial Intelligence","DOI":"10.24963/ijcai.2023/475","event-title":"Thirty-Second International Joint Conference on Artificial Intelligence {IJCAI-23}","ISBN":"978-1-956792-03-4","language":"en","page":"4271-4279","publisher":"International Joint Conferences on Artificial Intelligence Organization","publisher-place":"Macau, SAR China","source":"DOI.org (Crossref)","title":"Calibrating a Deep Neural Network with Its Predecessors","URL":"https://www.ijcai.org/proceedings/2023/475","author":[{"family":"Tao","given":"Linwei"},{"family":"Dong","given":"Minjing"},{"family":"Liu","given":"Daochang"},{"family":"Sun","given":"Changming"},{"family":"Xu","given":"Chang"}],"accessed":{"date-parts":[["2026",1,28]]},"issued":{"date-parts":[["2023",8]]}}}],"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[18]</w:t>
      </w:r>
      <w:r>
        <w:rPr>
          <w:rFonts w:ascii="Times New Roman" w:hAnsi="Times New Roman" w:cs="Times New Roman"/>
        </w:rPr>
        <w:fldChar w:fldCharType="end"/>
      </w:r>
      <w:r w:rsidRPr="00C97397">
        <w:rPr>
          <w:rFonts w:ascii="Times New Roman" w:hAnsi="Times New Roman" w:cs="Times New Roman"/>
        </w:rPr>
        <w:t>.</w:t>
      </w:r>
    </w:p>
    <w:p w14:paraId="4C8F2C73" w14:textId="77777777" w:rsidR="00CC17CB" w:rsidRDefault="00CC17CB" w:rsidP="00823767">
      <w:pPr>
        <w:ind w:left="360"/>
        <w:jc w:val="both"/>
        <w:rPr>
          <w:rFonts w:ascii="Times New Roman" w:hAnsi="Times New Roman" w:cs="Times New Roman"/>
        </w:rPr>
      </w:pPr>
      <w:r w:rsidRPr="00CC17CB">
        <w:rPr>
          <w:rFonts w:ascii="Times New Roman" w:hAnsi="Times New Roman" w:cs="Times New Roman"/>
        </w:rPr>
        <w:t>Dans ce projet, la quantification de l’incertitude poursuit deux objectifs complémentaires : d’une part, évaluer la stabilité globale des performances des modèles (incertitude « au niveau du modèle ») ; d’autre part, apprécier la fiabilité de chaque prédiction individuelle (incertitude « au niveau du patient » ou de l’image), afin d’identifier les situations nécessitant une interprétation prudente. Pour cela, deux familles d’approches sont mobilisées : des méthodes probabilistes et de type bayésien approximatif pour les modèles d’images, et des approches de rééchantillonnage et de prédiction conforme pour les modèles tabulaires.</w:t>
      </w:r>
    </w:p>
    <w:p w14:paraId="7F89FE41" w14:textId="706E2505" w:rsidR="00823767" w:rsidRPr="00823767" w:rsidRDefault="00823767" w:rsidP="00823767">
      <w:pPr>
        <w:ind w:left="360"/>
        <w:jc w:val="both"/>
        <w:rPr>
          <w:rFonts w:ascii="Times New Roman" w:hAnsi="Times New Roman" w:cs="Times New Roman"/>
          <w:b/>
          <w:bCs/>
        </w:rPr>
      </w:pPr>
      <w:r w:rsidRPr="00823767">
        <w:rPr>
          <w:rFonts w:ascii="Times New Roman" w:hAnsi="Times New Roman" w:cs="Times New Roman"/>
          <w:b/>
          <w:bCs/>
        </w:rPr>
        <w:t>Incertitude pour les modèles d’images (MLP et CNN)</w:t>
      </w:r>
    </w:p>
    <w:p w14:paraId="572A8861" w14:textId="62218FFA" w:rsidR="00823767" w:rsidRPr="00823767" w:rsidRDefault="00823767" w:rsidP="00823767">
      <w:pPr>
        <w:ind w:left="360"/>
        <w:jc w:val="both"/>
        <w:rPr>
          <w:rFonts w:ascii="Times New Roman" w:hAnsi="Times New Roman" w:cs="Times New Roman"/>
          <w:b/>
          <w:bCs/>
        </w:rPr>
      </w:pPr>
      <w:r w:rsidRPr="00823767">
        <w:rPr>
          <w:rFonts w:ascii="Times New Roman" w:hAnsi="Times New Roman" w:cs="Times New Roman"/>
          <w:b/>
          <w:bCs/>
        </w:rPr>
        <w:t xml:space="preserve">Incertitude basée sur le score de probabilité (1 – max </w:t>
      </w:r>
      <w:proofErr w:type="spellStart"/>
      <w:r w:rsidRPr="00823767">
        <w:rPr>
          <w:rFonts w:ascii="Times New Roman" w:hAnsi="Times New Roman" w:cs="Times New Roman"/>
          <w:b/>
          <w:bCs/>
        </w:rPr>
        <w:t>Softmax</w:t>
      </w:r>
      <w:proofErr w:type="spellEnd"/>
      <w:r w:rsidRPr="00823767">
        <w:rPr>
          <w:rFonts w:ascii="Times New Roman" w:hAnsi="Times New Roman" w:cs="Times New Roman"/>
          <w:b/>
          <w:bCs/>
        </w:rPr>
        <w:t>)</w:t>
      </w:r>
    </w:p>
    <w:p w14:paraId="7BC00A20" w14:textId="15BEE082" w:rsidR="00823767" w:rsidRDefault="00823767" w:rsidP="00823767">
      <w:pPr>
        <w:ind w:left="360"/>
        <w:jc w:val="both"/>
        <w:rPr>
          <w:rFonts w:ascii="Times New Roman" w:hAnsi="Times New Roman" w:cs="Times New Roman"/>
        </w:rPr>
      </w:pPr>
      <w:r w:rsidRPr="00823767">
        <w:rPr>
          <w:rFonts w:ascii="Times New Roman" w:hAnsi="Times New Roman" w:cs="Times New Roman"/>
        </w:rPr>
        <w:t xml:space="preserve">Les modèles de classification d’images utilisés (MLP après réduction de dimension et CNN) produisent, en sortie, un vecteur de probabilités sur les classes via une fonction </w:t>
      </w:r>
      <w:proofErr w:type="spellStart"/>
      <w:r w:rsidRPr="00823767">
        <w:rPr>
          <w:rFonts w:ascii="Times New Roman" w:hAnsi="Times New Roman" w:cs="Times New Roman"/>
        </w:rPr>
        <w:t>Softmax</w:t>
      </w:r>
      <w:proofErr w:type="spellEnd"/>
      <w:r w:rsidRPr="00823767">
        <w:rPr>
          <w:rFonts w:ascii="Times New Roman" w:hAnsi="Times New Roman" w:cs="Times New Roman"/>
        </w:rPr>
        <w:t>. La confiance du modèle est définie comme la probabilité maximale parmi les classes ; l’incertitude simple est alors mesurée par :</w:t>
      </w:r>
    </w:p>
    <w:p w14:paraId="7819DD7C" w14:textId="3C5330EB" w:rsidR="00823767" w:rsidRDefault="002A5753" w:rsidP="00823767">
      <w:pPr>
        <w:ind w:left="360"/>
        <w:jc w:val="both"/>
        <w:rPr>
          <w:rFonts w:ascii="Times New Roman" w:hAnsi="Times New Roman" w:cs="Times New Roman"/>
          <w:b/>
          <w:bCs/>
        </w:rPr>
      </w:pPr>
      <w:r>
        <w:rPr>
          <w:rFonts w:ascii="Times New Roman" w:hAnsi="Times New Roman" w:cs="Times New Roman"/>
          <w:b/>
          <w:bCs/>
        </w:rPr>
        <w:t>(i)</w:t>
      </w:r>
      <w:r w:rsidR="00823767" w:rsidRPr="00823767">
        <w:rPr>
          <w:rFonts w:ascii="Times New Roman" w:hAnsi="Times New Roman" w:cs="Times New Roman"/>
          <w:b/>
          <w:bCs/>
        </w:rPr>
        <w:t xml:space="preserve">Incertitude = 1 – </w:t>
      </w:r>
      <w:proofErr w:type="spellStart"/>
      <w:r w:rsidR="00823767" w:rsidRPr="00823767">
        <w:rPr>
          <w:rFonts w:ascii="Times New Roman" w:hAnsi="Times New Roman" w:cs="Times New Roman"/>
          <w:b/>
          <w:bCs/>
        </w:rPr>
        <w:t>max_c</w:t>
      </w:r>
      <w:proofErr w:type="spellEnd"/>
      <w:r w:rsidR="00823767" w:rsidRPr="00823767">
        <w:rPr>
          <w:rFonts w:ascii="Times New Roman" w:hAnsi="Times New Roman" w:cs="Times New Roman"/>
          <w:b/>
          <w:bCs/>
        </w:rPr>
        <w:t xml:space="preserve"> p(c | image)</w:t>
      </w:r>
    </w:p>
    <w:p w14:paraId="5B60B8BB" w14:textId="3F5DA34B" w:rsidR="00823767" w:rsidRDefault="00823767" w:rsidP="00823767">
      <w:pPr>
        <w:ind w:left="360"/>
        <w:jc w:val="both"/>
        <w:rPr>
          <w:rFonts w:ascii="Times New Roman" w:hAnsi="Times New Roman" w:cs="Times New Roman"/>
        </w:rPr>
      </w:pPr>
      <w:r w:rsidRPr="00823767">
        <w:rPr>
          <w:rFonts w:ascii="Times New Roman" w:hAnsi="Times New Roman" w:cs="Times New Roman"/>
        </w:rPr>
        <w:t>Ainsi,</w:t>
      </w:r>
      <w:r>
        <w:rPr>
          <w:rFonts w:ascii="Times New Roman" w:hAnsi="Times New Roman" w:cs="Times New Roman"/>
        </w:rPr>
        <w:t xml:space="preserve"> </w:t>
      </w:r>
      <w:r w:rsidRPr="00823767">
        <w:rPr>
          <w:rFonts w:ascii="Times New Roman" w:hAnsi="Times New Roman" w:cs="Times New Roman"/>
        </w:rPr>
        <w:t>une probabilité maximale proche de 1 correspond à une incertitude faible (modèle “sûr” de sa prédiction),</w:t>
      </w:r>
      <w:r>
        <w:rPr>
          <w:rFonts w:ascii="Times New Roman" w:hAnsi="Times New Roman" w:cs="Times New Roman"/>
        </w:rPr>
        <w:t xml:space="preserve"> </w:t>
      </w:r>
      <w:r w:rsidRPr="00823767">
        <w:rPr>
          <w:rFonts w:ascii="Times New Roman" w:hAnsi="Times New Roman" w:cs="Times New Roman"/>
        </w:rPr>
        <w:t>une probabilité maximale plus modérée traduit une incertitude plus élevée (modèle hésitant entre plusieurs diagnostics)</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{"citationID":"ztfwaqlr","properties":{"formattedCitation":"[18]","plainCitation":"[18]","noteIndex":0},"citationItems":[{"id":761,"uris":["http://zotero.org/users/11240916/items/C4VQQUKM"],"itemData":{"id":761,"type":"paper-conference","abstract":"Confidence calibration - the process to calibrate the output probability distribution of neural networks - is essential for safety-critical applications of such networks. Recent works verify the link between mis-calibration and overfitting. However, early stopping, as a well-known technique to mitigate overfitting, fails to calibrate networks. In this work, we study the limitions of early stopping and comprehensively analyze the overfitting problem of a network considering each individual block. We then propose a novel regularization method, predecessor combination search (PCS), to improve calibration by searching a combination of best-fitting block predecessors, where block predecessors are the corresponding network blocks with weight parameters from earlier training stages. PCS achieves the state-of-the-art calibration performance on multiple datasets and architectures. In addition, PCS improves model robustness under dataset distribution shift. Supplementary material and code are available at https://github.com/Linwei94/PCS","container-title":"Proceedings of the Thirty-Second International Joint Conference on Artificial Intelligence","DOI":"10.24963/ijcai.2023/475","event-title":"Thirty-Second International Joint Conference on Artificial Intelligence {IJCAI-23}","ISBN":"978-1-956792-03-4","language":"en","page":"4271-4279","publisher":"International Joint Conferences on Artificial Intelligence Organization","publisher-place":"Macau, SAR China","source":"DOI.org (Crossref)","title":"Calibrating a Deep Neural Network with Its Predecessors","URL":"https://www.ijcai.org/proceedings/2023/475","author":[{"family":"Tao","given":"Linwei"},{"family":"Dong","given":"Minjing"},{"family":"Liu","given":"Daochang"},{"family":"Sun","given":"Changming"},{"family":"Xu","given":"Chang"}],"accessed":{"date-parts":[["2026",1,28]]},"issued":{"date-parts":[["2023",8]]}}}],"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[18]</w:t>
      </w:r>
      <w:r>
        <w:rPr>
          <w:rFonts w:ascii="Times New Roman" w:hAnsi="Times New Roman" w:cs="Times New Roman"/>
        </w:rPr>
        <w:fldChar w:fldCharType="end"/>
      </w:r>
      <w:r w:rsidRPr="00823767">
        <w:rPr>
          <w:rFonts w:ascii="Times New Roman" w:hAnsi="Times New Roman" w:cs="Times New Roman"/>
        </w:rPr>
        <w:t>.</w:t>
      </w:r>
      <w:r>
        <w:rPr>
          <w:rFonts w:ascii="Times New Roman" w:hAnsi="Times New Roman" w:cs="Times New Roman"/>
        </w:rPr>
        <w:t xml:space="preserve"> </w:t>
      </w:r>
      <w:r w:rsidRPr="00823767">
        <w:rPr>
          <w:rFonts w:ascii="Times New Roman" w:hAnsi="Times New Roman" w:cs="Times New Roman"/>
        </w:rPr>
        <w:t xml:space="preserve">Cette mesure, appliquée aux prédictions du MLP+PCA et du CNN, permet une première stratification des cas selon leur fiabilité apparente : images “certaines”, pour lesquelles le modèle est très confiant, et images “ambiguës”, qui devraient idéalement être revues par un expert humain. Ce type </w:t>
      </w:r>
      <w:r w:rsidRPr="00823767">
        <w:rPr>
          <w:rFonts w:ascii="Times New Roman" w:hAnsi="Times New Roman" w:cs="Times New Roman"/>
        </w:rPr>
        <w:lastRenderedPageBreak/>
        <w:t>d’indicateur est couramment utilisé pour prioriser les revues humaines en imagerie médicale assistée par IA</w:t>
      </w:r>
    </w:p>
    <w:p w14:paraId="6D82338B" w14:textId="480BAEE8" w:rsidR="00823767" w:rsidRDefault="002A5753" w:rsidP="00823767">
      <w:pPr>
        <w:ind w:left="360"/>
        <w:jc w:val="both"/>
        <w:rPr>
          <w:rFonts w:ascii="Times New Roman" w:hAnsi="Times New Roman" w:cs="Times New Roman"/>
          <w:b/>
          <w:bCs/>
        </w:rPr>
      </w:pPr>
      <w:r>
        <w:rPr>
          <w:rFonts w:ascii="Times New Roman" w:hAnsi="Times New Roman" w:cs="Times New Roman"/>
          <w:b/>
          <w:bCs/>
        </w:rPr>
        <w:t xml:space="preserve">(ii) </w:t>
      </w:r>
      <w:r w:rsidR="00823767" w:rsidRPr="00823767">
        <w:rPr>
          <w:rFonts w:ascii="Times New Roman" w:hAnsi="Times New Roman" w:cs="Times New Roman"/>
          <w:b/>
          <w:bCs/>
        </w:rPr>
        <w:t>MC Dropout : approximation bayésienne et incertitude prédictive</w:t>
      </w:r>
    </w:p>
    <w:p w14:paraId="2EF5925E" w14:textId="02C1B55E" w:rsidR="002A5753" w:rsidRPr="002A5753" w:rsidRDefault="002A5753" w:rsidP="002A5753">
      <w:pPr>
        <w:ind w:left="360"/>
        <w:jc w:val="both"/>
        <w:rPr>
          <w:rFonts w:ascii="Times New Roman" w:hAnsi="Times New Roman" w:cs="Times New Roman"/>
        </w:rPr>
      </w:pPr>
      <w:r w:rsidRPr="002A5753">
        <w:rPr>
          <w:rFonts w:ascii="Times New Roman" w:hAnsi="Times New Roman" w:cs="Times New Roman"/>
        </w:rPr>
        <w:t>Pour aller au-delà de cette mesure simple, une approche de type MC Dropout (Monte-Carlo Dropout) est utilisée, en particulier pour le CNN. L’idée, proposée par Gal et Ghahramani, consiste à interpréter le dropout comme une approximation bayésienne : en laissant le dropout activé également à l’inférence et en répétant plusieurs passes sur une même image, on obtient une distribution de prédictions qui reflète l’incertitude du modèle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{"citationID":"Ux7ahKmO","properties":{"formattedCitation":"[19]","plainCitation":"[19]","noteIndex":0},"citationItems":[{"id":763,"uris":["http://zotero.org/users/11240916/items/K9Z7PXEN"],"itemData":{"id":763,"type":"article-journal","container-title":"Two cultures","language":"en","source":"Zotero","title":"Lecture 3: Conformal prediction","author":[{"family":"Vovk","given":"Vladimir"}]}}],"schema":"https://github.com/citation-style-language/schema/raw/master/csl-citation.json"}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[19]</w:t>
      </w:r>
      <w:r>
        <w:rPr>
          <w:rFonts w:ascii="Times New Roman" w:hAnsi="Times New Roman" w:cs="Times New Roman"/>
        </w:rPr>
        <w:fldChar w:fldCharType="end"/>
      </w:r>
      <w:r w:rsidRPr="002A5753">
        <w:rPr>
          <w:rFonts w:ascii="Times New Roman" w:hAnsi="Times New Roman" w:cs="Times New Roman"/>
        </w:rPr>
        <w:t xml:space="preserve"> .</w:t>
      </w:r>
    </w:p>
    <w:p w14:paraId="2E7CE60C" w14:textId="77777777" w:rsidR="00CC17CB" w:rsidRDefault="00CC17CB" w:rsidP="002A5753">
      <w:pPr>
        <w:ind w:left="360"/>
        <w:jc w:val="both"/>
        <w:rPr>
          <w:rFonts w:ascii="Times New Roman" w:hAnsi="Times New Roman" w:cs="Times New Roman"/>
        </w:rPr>
      </w:pPr>
      <w:r w:rsidRPr="00CC17CB">
        <w:rPr>
          <w:rFonts w:ascii="Times New Roman" w:hAnsi="Times New Roman" w:cs="Times New Roman"/>
        </w:rPr>
        <w:t>Dans ce travail, chaque image du jeu de test est évaluée plusieurs fois avec le dropout activé. Pour chaque image, on calcule la probabilité moyenne (utilisée comme prédiction finale), ainsi que la variance des probabilités et, le cas échéant, l’entropie prédictive. Une variance ou une entropie élevées signalent une prédiction instable, le modèle hésitant entre plusieurs classes ; à l’inverse, des valeurs faibles traduisent une décision robuste. Cette approche permet d’identifier les radiographies pour lesquelles le CNN est réellement incertain, même lorsque la probabilité moyenne d’une classe apparaît élevée, et d’éviter ainsi une sur-confiance trompeuse dans des situations ambiguës.</w:t>
      </w:r>
    </w:p>
    <w:p w14:paraId="19B0BAE1" w14:textId="6E14C956" w:rsidR="002A5753" w:rsidRPr="002A5753" w:rsidRDefault="002A5753" w:rsidP="002A5753">
      <w:pPr>
        <w:ind w:left="360"/>
        <w:jc w:val="both"/>
        <w:rPr>
          <w:rFonts w:ascii="Times New Roman" w:hAnsi="Times New Roman" w:cs="Times New Roman"/>
          <w:b/>
          <w:bCs/>
        </w:rPr>
      </w:pPr>
      <w:r w:rsidRPr="002A5753">
        <w:rPr>
          <w:rFonts w:ascii="Times New Roman" w:hAnsi="Times New Roman" w:cs="Times New Roman"/>
          <w:b/>
          <w:bCs/>
        </w:rPr>
        <w:t>Incertitude pour les modèles tabulaires (régression logistique et arbres d’ensemble)</w:t>
      </w:r>
    </w:p>
    <w:p w14:paraId="4B55083A" w14:textId="6F63A60D" w:rsidR="002A5753" w:rsidRPr="002A5753" w:rsidRDefault="002A5753" w:rsidP="002A5753">
      <w:pPr>
        <w:jc w:val="both"/>
        <w:rPr>
          <w:rFonts w:ascii="Times New Roman" w:hAnsi="Times New Roman" w:cs="Times New Roman"/>
          <w:b/>
          <w:bCs/>
        </w:rPr>
      </w:pPr>
      <w:r w:rsidRPr="002A5753">
        <w:rPr>
          <w:rFonts w:ascii="Times New Roman" w:hAnsi="Times New Roman" w:cs="Times New Roman"/>
          <w:b/>
          <w:bCs/>
        </w:rPr>
        <w:t xml:space="preserve">      (i)Bootstrap des métriques de performance</w:t>
      </w:r>
    </w:p>
    <w:p w14:paraId="0B26EF6E" w14:textId="46ED051A" w:rsidR="002A5753" w:rsidRPr="002A5753" w:rsidRDefault="002A5753" w:rsidP="002A5753">
      <w:pPr>
        <w:ind w:left="360"/>
        <w:jc w:val="both"/>
        <w:rPr>
          <w:rFonts w:ascii="Times New Roman" w:hAnsi="Times New Roman" w:cs="Times New Roman"/>
        </w:rPr>
      </w:pPr>
      <w:r w:rsidRPr="002A5753">
        <w:rPr>
          <w:rFonts w:ascii="Times New Roman" w:hAnsi="Times New Roman" w:cs="Times New Roman"/>
        </w:rPr>
        <w:t xml:space="preserve">Pour les modèles entraînés sur les données tabulaires de la cohorte Framingham, l’incertitude globale des performances est quantifiée à l’aide du </w:t>
      </w:r>
      <w:proofErr w:type="spellStart"/>
      <w:r w:rsidRPr="002A5753">
        <w:rPr>
          <w:rFonts w:ascii="Times New Roman" w:hAnsi="Times New Roman" w:cs="Times New Roman"/>
        </w:rPr>
        <w:t>bootstrap</w:t>
      </w:r>
      <w:proofErr w:type="spellEnd"/>
      <w:r w:rsidRPr="002A5753">
        <w:rPr>
          <w:rFonts w:ascii="Times New Roman" w:hAnsi="Times New Roman" w:cs="Times New Roman"/>
        </w:rPr>
        <w:t>. Le principe consiste à rééchantillonner de nombreuses fois (avec remise) le jeu de test, à recalculer les principales métriques (accuracy, rappel, F1, AUC-ROC, AUC-PR, Brier score), puis à en déduire des intervalles de confiance empiriques .</w:t>
      </w:r>
    </w:p>
    <w:p w14:paraId="3CB5277A" w14:textId="14DE0276" w:rsidR="002A5753" w:rsidRPr="002A5753" w:rsidRDefault="002A5753" w:rsidP="002A5753">
      <w:pPr>
        <w:ind w:left="360"/>
        <w:jc w:val="both"/>
        <w:rPr>
          <w:rFonts w:ascii="Times New Roman" w:hAnsi="Times New Roman" w:cs="Times New Roman"/>
        </w:rPr>
      </w:pPr>
      <w:r w:rsidRPr="002A5753">
        <w:rPr>
          <w:rFonts w:ascii="Times New Roman" w:hAnsi="Times New Roman" w:cs="Times New Roman"/>
        </w:rPr>
        <w:t xml:space="preserve">Cette </w:t>
      </w:r>
      <w:r w:rsidR="00CC17CB">
        <w:rPr>
          <w:rFonts w:ascii="Times New Roman" w:hAnsi="Times New Roman" w:cs="Times New Roman"/>
        </w:rPr>
        <w:t>approche</w:t>
      </w:r>
      <w:r w:rsidRPr="002A5753">
        <w:rPr>
          <w:rFonts w:ascii="Times New Roman" w:hAnsi="Times New Roman" w:cs="Times New Roman"/>
        </w:rPr>
        <w:t xml:space="preserve"> permet de :</w:t>
      </w:r>
      <w:r>
        <w:rPr>
          <w:rFonts w:ascii="Times New Roman" w:hAnsi="Times New Roman" w:cs="Times New Roman"/>
        </w:rPr>
        <w:t xml:space="preserve"> </w:t>
      </w:r>
      <w:r w:rsidRPr="002A5753">
        <w:rPr>
          <w:rFonts w:ascii="Times New Roman" w:hAnsi="Times New Roman" w:cs="Times New Roman"/>
        </w:rPr>
        <w:t>mesurer la variabilité des indicateurs de performance liée au caractère fini de l’échantillon ;</w:t>
      </w:r>
      <w:r>
        <w:rPr>
          <w:rFonts w:ascii="Times New Roman" w:hAnsi="Times New Roman" w:cs="Times New Roman"/>
        </w:rPr>
        <w:t xml:space="preserve"> </w:t>
      </w:r>
      <w:r w:rsidRPr="002A5753">
        <w:rPr>
          <w:rFonts w:ascii="Times New Roman" w:hAnsi="Times New Roman" w:cs="Times New Roman"/>
        </w:rPr>
        <w:t>repérer les modèles dont les performances sont instables (écarts importants entre itérations) ;</w:t>
      </w:r>
      <w:r>
        <w:rPr>
          <w:rFonts w:ascii="Times New Roman" w:hAnsi="Times New Roman" w:cs="Times New Roman"/>
        </w:rPr>
        <w:t xml:space="preserve"> </w:t>
      </w:r>
      <w:r w:rsidRPr="002A5753">
        <w:rPr>
          <w:rFonts w:ascii="Times New Roman" w:hAnsi="Times New Roman" w:cs="Times New Roman"/>
        </w:rPr>
        <w:t>présenter des résultats accompagnés d’une incertitude chiffrée, plutôt que de valeurs ponctuelles seules.</w:t>
      </w:r>
      <w:r>
        <w:rPr>
          <w:rFonts w:ascii="Times New Roman" w:hAnsi="Times New Roman" w:cs="Times New Roman"/>
        </w:rPr>
        <w:t xml:space="preserve"> </w:t>
      </w:r>
    </w:p>
    <w:p w14:paraId="134188EB" w14:textId="41CC05CD" w:rsidR="002A5753" w:rsidRPr="002A5753" w:rsidRDefault="002A5753" w:rsidP="002A5753">
      <w:pPr>
        <w:jc w:val="both"/>
        <w:rPr>
          <w:rFonts w:ascii="Times New Roman" w:hAnsi="Times New Roman" w:cs="Times New Roman"/>
          <w:b/>
          <w:bCs/>
        </w:rPr>
      </w:pPr>
      <w:r w:rsidRPr="002A5753">
        <w:rPr>
          <w:rFonts w:ascii="Times New Roman" w:hAnsi="Times New Roman" w:cs="Times New Roman"/>
          <w:b/>
          <w:bCs/>
        </w:rPr>
        <w:t xml:space="preserve">      (ii)Prédiction conforme (standard et Mondrian)</w:t>
      </w:r>
    </w:p>
    <w:p w14:paraId="106C5DA9" w14:textId="4B076915" w:rsidR="002A5753" w:rsidRDefault="002A5753" w:rsidP="002A5753">
      <w:pPr>
        <w:ind w:left="360"/>
        <w:jc w:val="both"/>
        <w:rPr>
          <w:rFonts w:ascii="Times New Roman" w:hAnsi="Times New Roman" w:cs="Times New Roman"/>
        </w:rPr>
      </w:pPr>
      <w:r w:rsidRPr="002A5753">
        <w:rPr>
          <w:rFonts w:ascii="Times New Roman" w:hAnsi="Times New Roman" w:cs="Times New Roman"/>
        </w:rPr>
        <w:t>En complément, la prédiction conforme est utilisée pour transformer les probabilités issues de la régression logistique finale en ensembles prédictifs assortis de garanties de couverture en échantillon fini .</w:t>
      </w:r>
    </w:p>
    <w:p w14:paraId="04AB9F7A" w14:textId="51565948" w:rsidR="00CC17CB" w:rsidRPr="002A5753" w:rsidRDefault="00CC17CB" w:rsidP="002A5753">
      <w:pPr>
        <w:ind w:left="360"/>
        <w:jc w:val="both"/>
        <w:rPr>
          <w:rFonts w:ascii="Times New Roman" w:hAnsi="Times New Roman" w:cs="Times New Roman"/>
        </w:rPr>
      </w:pPr>
      <w:r w:rsidRPr="00B30D68">
        <w:rPr>
          <w:rFonts w:ascii="Times New Roman" w:hAnsi="Times New Roman" w:cs="Times New Roman"/>
          <w:noProof/>
        </w:rPr>
        <w:drawing>
          <wp:inline distT="0" distB="0" distL="0" distR="0" wp14:anchorId="2EDAAE3E" wp14:editId="1204354F">
            <wp:extent cx="1790826" cy="177680"/>
            <wp:effectExtent l="0" t="0" r="0" b="0"/>
            <wp:docPr id="158793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30651" name=""/>
                    <pic:cNvPicPr/>
                  </pic:nvPicPr>
                  <pic:blipFill>
                    <a:blip r:embed="rId5"/>
                    <a:stretch>
                      <a:fillRect/>
                    </a:stretch>
                  </pic:blipFill>
                  <pic:spPr>
                    <a:xfrm>
                      <a:off x="0" y="0"/>
                      <a:ext cx="1893273" cy="187844"/>
                    </a:xfrm>
                    <a:prstGeom prst="rect">
                      <a:avLst/>
                    </a:prstGeom>
                  </pic:spPr>
                </pic:pic>
              </a:graphicData>
            </a:graphic>
          </wp:inline>
        </w:drawing>
      </w:r>
      <w:r>
        <w:rPr>
          <w:rFonts w:ascii="Times New Roman" w:hAnsi="Times New Roman" w:cs="Times New Roman"/>
        </w:rPr>
        <w:t xml:space="preserve">           </w:t>
      </w:r>
      <w:r w:rsidRPr="006158EF">
        <w:rPr>
          <w:rFonts w:ascii="Times New Roman" w:hAnsi="Times New Roman" w:cs="Times New Roman"/>
          <w:noProof/>
        </w:rPr>
        <w:drawing>
          <wp:inline distT="0" distB="0" distL="0" distR="0" wp14:anchorId="78ABFAB7" wp14:editId="6BC2E60C">
            <wp:extent cx="1495109" cy="190130"/>
            <wp:effectExtent l="0" t="0" r="0" b="635"/>
            <wp:docPr id="1378278747" name="Image 1" descr="Une image contenant Police, écriture manuscrite, text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78747" name="Image 1" descr="Une image contenant Police, écriture manuscrite, texte, typographie&#10;&#10;Le contenu généré par l’IA peut être incorrect."/>
                    <pic:cNvPicPr/>
                  </pic:nvPicPr>
                  <pic:blipFill>
                    <a:blip r:embed="rId6"/>
                    <a:stretch>
                      <a:fillRect/>
                    </a:stretch>
                  </pic:blipFill>
                  <pic:spPr>
                    <a:xfrm>
                      <a:off x="0" y="0"/>
                      <a:ext cx="1642364" cy="208856"/>
                    </a:xfrm>
                    <a:prstGeom prst="rect">
                      <a:avLst/>
                    </a:prstGeom>
                  </pic:spPr>
                </pic:pic>
              </a:graphicData>
            </a:graphic>
          </wp:inline>
        </w:drawing>
      </w:r>
      <w:r>
        <w:rPr>
          <w:rFonts w:ascii="Times New Roman" w:hAnsi="Times New Roman" w:cs="Times New Roman"/>
        </w:rPr>
        <w:t xml:space="preserve">          </w:t>
      </w:r>
    </w:p>
    <w:p w14:paraId="502A9CFB" w14:textId="40A37A52" w:rsidR="002A5753" w:rsidRPr="002A5753" w:rsidRDefault="002A5753" w:rsidP="00CC17CB">
      <w:pPr>
        <w:ind w:left="360"/>
        <w:jc w:val="both"/>
        <w:rPr>
          <w:rFonts w:ascii="Times New Roman" w:hAnsi="Times New Roman" w:cs="Times New Roman"/>
        </w:rPr>
      </w:pPr>
      <w:r w:rsidRPr="002A5753">
        <w:rPr>
          <w:rFonts w:ascii="Times New Roman" w:hAnsi="Times New Roman" w:cs="Times New Roman"/>
        </w:rPr>
        <w:t>Le principe général est le suivant :</w:t>
      </w:r>
      <w:r>
        <w:rPr>
          <w:rFonts w:ascii="Times New Roman" w:hAnsi="Times New Roman" w:cs="Times New Roman"/>
        </w:rPr>
        <w:t xml:space="preserve"> </w:t>
      </w:r>
      <w:r w:rsidRPr="002A5753">
        <w:rPr>
          <w:rFonts w:ascii="Times New Roman" w:hAnsi="Times New Roman" w:cs="Times New Roman"/>
        </w:rPr>
        <w:t>le jeu de données est scindé en un jeu d’apprentissage (pour estimer le modèle) et un jeu de calibration ;</w:t>
      </w:r>
      <w:r>
        <w:rPr>
          <w:rFonts w:ascii="Times New Roman" w:hAnsi="Times New Roman" w:cs="Times New Roman"/>
        </w:rPr>
        <w:t xml:space="preserve"> </w:t>
      </w:r>
      <w:r w:rsidRPr="002A5753">
        <w:rPr>
          <w:rFonts w:ascii="Times New Roman" w:hAnsi="Times New Roman" w:cs="Times New Roman"/>
        </w:rPr>
        <w:t>pour chaque observation de calibration, on calcule un score de non-conformité (par exemple 1 – probabilité associée à la classe vraie) ;</w:t>
      </w:r>
      <w:r>
        <w:rPr>
          <w:rFonts w:ascii="Times New Roman" w:hAnsi="Times New Roman" w:cs="Times New Roman"/>
        </w:rPr>
        <w:t xml:space="preserve"> </w:t>
      </w:r>
      <w:r w:rsidRPr="002A5753">
        <w:rPr>
          <w:rFonts w:ascii="Times New Roman" w:hAnsi="Times New Roman" w:cs="Times New Roman"/>
        </w:rPr>
        <w:t>pour une nouvelle observation, on construit, pour un niveau α donné, l’ensemble des classes dont le score hypothétique serait compatible avec la distribution observée sur la calibration.</w:t>
      </w:r>
    </w:p>
    <w:p w14:paraId="3161B7E2" w14:textId="77777777" w:rsidR="00CC17CB" w:rsidRDefault="002A5753" w:rsidP="002A5753">
      <w:pPr>
        <w:ind w:left="360"/>
        <w:jc w:val="both"/>
        <w:rPr>
          <w:rFonts w:ascii="Times New Roman" w:hAnsi="Times New Roman" w:cs="Times New Roman"/>
        </w:rPr>
      </w:pPr>
      <w:r w:rsidRPr="002A5753">
        <w:rPr>
          <w:rFonts w:ascii="Times New Roman" w:hAnsi="Times New Roman" w:cs="Times New Roman"/>
        </w:rPr>
        <w:lastRenderedPageBreak/>
        <w:t>Dans la version standard, la couverture (proportion de fois où la vraie classe appartient à l’ensemble prédictif) est garantie globalement sur l’ensemble des patients. La variante Mondrian ajuste la procédure par classe, de sorte que la couverture soit assurée séparément pour les classes événement et non-événement, ce qui est particulièrement pertinent en présence de déséquilibre .</w:t>
      </w:r>
      <w:r w:rsidR="00CC17CB">
        <w:rPr>
          <w:rFonts w:ascii="Times New Roman" w:hAnsi="Times New Roman" w:cs="Times New Roman"/>
        </w:rPr>
        <w:t xml:space="preserve">        </w:t>
      </w:r>
    </w:p>
    <w:p w14:paraId="47B2AC10" w14:textId="7235AB88" w:rsidR="002A5753" w:rsidRPr="002A5753" w:rsidRDefault="00CC17CB" w:rsidP="002A5753">
      <w:pPr>
        <w:ind w:left="360"/>
        <w:jc w:val="both"/>
        <w:rPr>
          <w:rFonts w:ascii="Times New Roman" w:hAnsi="Times New Roman" w:cs="Times New Roman"/>
        </w:rPr>
      </w:pPr>
      <w:r>
        <w:rPr>
          <w:rFonts w:ascii="Times New Roman" w:hAnsi="Times New Roman" w:cs="Times New Roman"/>
        </w:rPr>
        <w:t xml:space="preserve">                               </w:t>
      </w:r>
      <w:r w:rsidRPr="006158EF">
        <w:rPr>
          <w:rFonts w:ascii="Times New Roman" w:hAnsi="Times New Roman" w:cs="Times New Roman"/>
          <w:noProof/>
        </w:rPr>
        <w:drawing>
          <wp:inline distT="0" distB="0" distL="0" distR="0" wp14:anchorId="4CA30A2C" wp14:editId="099E6EEE">
            <wp:extent cx="2179826" cy="228747"/>
            <wp:effectExtent l="0" t="0" r="0" b="0"/>
            <wp:docPr id="1109644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522" name=""/>
                    <pic:cNvPicPr/>
                  </pic:nvPicPr>
                  <pic:blipFill>
                    <a:blip r:embed="rId7"/>
                    <a:stretch>
                      <a:fillRect/>
                    </a:stretch>
                  </pic:blipFill>
                  <pic:spPr>
                    <a:xfrm>
                      <a:off x="0" y="0"/>
                      <a:ext cx="2479681" cy="260213"/>
                    </a:xfrm>
                    <a:prstGeom prst="rect">
                      <a:avLst/>
                    </a:prstGeom>
                  </pic:spPr>
                </pic:pic>
              </a:graphicData>
            </a:graphic>
          </wp:inline>
        </w:drawing>
      </w:r>
    </w:p>
    <w:p w14:paraId="717D3EA7" w14:textId="35DCBC00" w:rsidR="002A5753" w:rsidRPr="002A5753" w:rsidRDefault="002A5753" w:rsidP="002A5753">
      <w:pPr>
        <w:ind w:left="360"/>
        <w:jc w:val="both"/>
        <w:rPr>
          <w:rFonts w:ascii="Times New Roman" w:hAnsi="Times New Roman" w:cs="Times New Roman"/>
        </w:rPr>
      </w:pPr>
      <w:r w:rsidRPr="002A5753">
        <w:rPr>
          <w:rFonts w:ascii="Times New Roman" w:hAnsi="Times New Roman" w:cs="Times New Roman"/>
        </w:rPr>
        <w:t>Dans ce projet, plusieurs niveaux de tolérance à l’erreur sont explorés (α = 0,05 ; 0,10 ; 0,20 ; 0,25), ce qui permet d’étudier le compromis entre :</w:t>
      </w:r>
      <w:r>
        <w:rPr>
          <w:rFonts w:ascii="Times New Roman" w:hAnsi="Times New Roman" w:cs="Times New Roman"/>
        </w:rPr>
        <w:t xml:space="preserve"> </w:t>
      </w:r>
      <w:r w:rsidRPr="002A5753">
        <w:rPr>
          <w:rFonts w:ascii="Times New Roman" w:hAnsi="Times New Roman" w:cs="Times New Roman"/>
        </w:rPr>
        <w:t>couverture cible (proportion minimale de cas correctement “couverts”) ;</w:t>
      </w:r>
      <w:r>
        <w:rPr>
          <w:rFonts w:ascii="Times New Roman" w:hAnsi="Times New Roman" w:cs="Times New Roman"/>
        </w:rPr>
        <w:t xml:space="preserve"> </w:t>
      </w:r>
      <w:r w:rsidRPr="002A5753">
        <w:rPr>
          <w:rFonts w:ascii="Times New Roman" w:hAnsi="Times New Roman" w:cs="Times New Roman"/>
        </w:rPr>
        <w:t>et taille moyenne des ensembles prédictifs ({0}, {1}, ou {0,1}).</w:t>
      </w:r>
      <w:r>
        <w:rPr>
          <w:rFonts w:ascii="Times New Roman" w:hAnsi="Times New Roman" w:cs="Times New Roman"/>
        </w:rPr>
        <w:t xml:space="preserve"> </w:t>
      </w:r>
      <w:r w:rsidRPr="002A5753">
        <w:rPr>
          <w:rFonts w:ascii="Times New Roman" w:hAnsi="Times New Roman" w:cs="Times New Roman"/>
        </w:rPr>
        <w:t>Pour des valeurs intermédiaires d’α, la procédure fournit des ensembles de taille moyenne modérée, tout en garantissant une couverture proche de la cible, ce qui offre une façon transparente de signaler les cas incertains via des ensembles {0,1} plutôt qu’une décision binaire forcée .</w:t>
      </w:r>
    </w:p>
    <w:p w14:paraId="7AAEB4E5" w14:textId="03560B37" w:rsidR="00C97397" w:rsidRDefault="00B72E63" w:rsidP="00180430">
      <w:pPr>
        <w:ind w:left="360"/>
        <w:jc w:val="both"/>
        <w:rPr>
          <w:rStyle w:val="lev"/>
        </w:rPr>
      </w:pPr>
      <w:r w:rsidRPr="00B72E63">
        <w:rPr>
          <w:rStyle w:val="lev"/>
        </w:rPr>
        <w:t>PARTIE II – Application 1 : prédiction du risque coronarien à partir de données tabulaires (cohorte Framingham)</w:t>
      </w:r>
    </w:p>
    <w:p w14:paraId="695B868D" w14:textId="52AF39AA" w:rsidR="00B72E63" w:rsidRDefault="00B72E63" w:rsidP="00180430">
      <w:pPr>
        <w:ind w:left="360"/>
        <w:jc w:val="both"/>
        <w:rPr>
          <w:rFonts w:ascii="Times New Roman" w:hAnsi="Times New Roman" w:cs="Times New Roman"/>
          <w:b/>
          <w:bCs/>
        </w:rPr>
      </w:pPr>
      <w:r w:rsidRPr="00B72E63">
        <w:rPr>
          <w:rFonts w:ascii="Times New Roman" w:hAnsi="Times New Roman" w:cs="Times New Roman"/>
          <w:b/>
          <w:bCs/>
        </w:rPr>
        <w:t>Données tabulaires : cohorte Framingham, variable cible et prédicteurs</w:t>
      </w:r>
    </w:p>
    <w:p w14:paraId="40E990EF" w14:textId="43518F28" w:rsidR="00B72E63" w:rsidRPr="00B72E63" w:rsidRDefault="00B72E63" w:rsidP="00B72E63">
      <w:pPr>
        <w:ind w:left="360"/>
        <w:jc w:val="both"/>
        <w:rPr>
          <w:rFonts w:ascii="Times New Roman" w:hAnsi="Times New Roman" w:cs="Times New Roman"/>
          <w:b/>
          <w:bCs/>
        </w:rPr>
      </w:pPr>
      <w:r w:rsidRPr="00B72E63">
        <w:rPr>
          <w:rFonts w:ascii="Times New Roman" w:hAnsi="Times New Roman" w:cs="Times New Roman"/>
          <w:b/>
          <w:bCs/>
        </w:rPr>
        <w:t>Source des données et population d’étude</w:t>
      </w:r>
    </w:p>
    <w:p w14:paraId="09D0D3CF" w14:textId="57AD5E9F" w:rsidR="00B72E63" w:rsidRPr="00B72E63" w:rsidRDefault="00B72E63" w:rsidP="00B72E63">
      <w:pPr>
        <w:ind w:left="360"/>
        <w:jc w:val="both"/>
        <w:rPr>
          <w:rFonts w:ascii="Times New Roman" w:hAnsi="Times New Roman" w:cs="Times New Roman"/>
        </w:rPr>
      </w:pPr>
      <w:r w:rsidRPr="00B72E63">
        <w:rPr>
          <w:rFonts w:ascii="Times New Roman" w:hAnsi="Times New Roman" w:cs="Times New Roman"/>
        </w:rPr>
        <w:t>L’analyse repose sur un jeu de données dérivé de la Framingham Heart Study, cohorte prospective de population générale initiée en 1948 à Framingham (Massachusetts, États-Unis) et largement utilisée pour le développement de fonctions de risque cardiovasculaire à dix ans. Ce sous-ensemble regroupe 4 239 adultes initialement indemnes de maladie coronarienne, disposant d’un suivi de dix ans et d’informations cliniques, biologiques et comportementales recueillies à l’inclusion</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{"citationID":"VeSfOvR1","properties":{"formattedCitation":"[20]","plainCitation":"[20]","noteIndex":0},"citationItems":[{"id":764,"uris":["http://zotero.org/users/11240916/items/XCYIB7G8"],"itemData":{"id":764,"type":"article-journal","abstract":"BACKGROUND: Separate multivariable risk algorithms are commonly used to assess risk of specific atherosclerotic cardiovascular disease (CVD) events, ie, coronary heart disease, cerebrovascular disease, peripheral vascular disease, and heart failure. The present report presents a single multivariable risk function that predicts risk of developing all CVD and of its constituents.\nMETHODS AND RESULTS: We used Cox proportional-hazards regression to evaluate the risk of developing a first CVD event in 8491 Framingham study participants (mean age, 49 years; 4522 women) who attended a routine examination between 30 and 74 years of age and were free of CVD. Sex-specific multivariable risk functions (\"general CVD\" algorithms) were derived that incorporated age, total and high-density lipoprotein cholesterol, systolic blood pressure, treatment for hypertension, smoking, and diabetes status. We assessed the performance of the general CVD algorithms for predicting individual CVD events (coronary heart disease, stroke, peripheral artery disease, or heart failure). Over 12 years of follow-up, 1174 participants (456 women) developed a first CVD event. All traditional risk factors evaluated predicted CVD risk (multivariable-adjusted P&lt;0.0001). The general CVD algorithm demonstrated good discrimination (C statistic, 0.763 [men] and 0.793 [women]) and calibration. Simple adjustments to the general CVD risk algorithms allowed estimation of the risks of each CVD component. Two simple risk scores are presented, 1 based on all traditional risk factors and the other based on non-laboratory-based predictors.\nCONCLUSIONS: A sex-specific multivariable risk factor algorithm can be conveniently used to assess general CVD risk and risk of individual CVD events (coronary, cerebrovascular, and peripheral arterial disease and heart failure). The estimated absolute CVD event rates can be used to quantify risk and to guide preventive care.","container-title":"Circulation","DOI":"10.1161/CIRCULATIONAHA.107.699579","ISSN":"1524-4539","issue":"6","journalAbbreviation":"Circulation","language":"eng","page":"743-753","PMID":"18212285","source":"PubMed","title":"General cardiovascular risk profile for use in primary care: the Framingham Heart Study","title-short":"General cardiovascular risk profile for use in primary care","volume":"117","author":[{"family":"D'Agostino","given":"Ralph B."},{"family":"Vasan","given":"Ramachandran S."},{"family":"Pencina","given":"Michael J."},{"family":"Wolf","given":"Philip A."},{"family":"Cobain","given":"Mark"},{"family":"Massaro","given":"Joseph M."},{"family":"Kannel","given":"William B."}],"issued":{"date-parts":[["2008",2,12]]}}}],"schema":"https://github.com/citation-style-language/schema/raw/master/csl-citation.json"}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[20]</w:t>
      </w:r>
      <w:r>
        <w:rPr>
          <w:rFonts w:ascii="Times New Roman" w:hAnsi="Times New Roman" w:cs="Times New Roman"/>
        </w:rPr>
        <w:fldChar w:fldCharType="end"/>
      </w:r>
      <w:r w:rsidRPr="00B72E63">
        <w:rPr>
          <w:rFonts w:ascii="Times New Roman" w:hAnsi="Times New Roman" w:cs="Times New Roman"/>
        </w:rPr>
        <w:t>.</w:t>
      </w:r>
    </w:p>
    <w:p w14:paraId="429FBDD8" w14:textId="7BBA7755" w:rsidR="00B72E63" w:rsidRPr="00B72E63" w:rsidRDefault="00B72E63" w:rsidP="00B72E63">
      <w:pPr>
        <w:ind w:left="360"/>
        <w:jc w:val="both"/>
        <w:rPr>
          <w:rFonts w:ascii="Times New Roman" w:hAnsi="Times New Roman" w:cs="Times New Roman"/>
        </w:rPr>
      </w:pPr>
      <w:r w:rsidRPr="00B72E63">
        <w:rPr>
          <w:rFonts w:ascii="Times New Roman" w:hAnsi="Times New Roman" w:cs="Times New Roman"/>
        </w:rPr>
        <w:t>Les participants inclus dans ce travail répondent aux critères suivants :</w:t>
      </w:r>
    </w:p>
    <w:p w14:paraId="3834D809" w14:textId="59BD2FB4" w:rsidR="00B72E63" w:rsidRPr="008E7341" w:rsidRDefault="00B72E63" w:rsidP="00B72E63">
      <w:pPr>
        <w:ind w:left="360"/>
        <w:jc w:val="both"/>
        <w:rPr>
          <w:rFonts w:ascii="Times New Roman" w:hAnsi="Times New Roman" w:cs="Times New Roman"/>
        </w:rPr>
      </w:pPr>
      <w:r w:rsidRPr="008E7341">
        <w:rPr>
          <w:rFonts w:ascii="Times New Roman" w:hAnsi="Times New Roman" w:cs="Times New Roman"/>
        </w:rPr>
        <w:t xml:space="preserve">âge ≥ 30 ans au moment de l’inclusion ; absence de maladie coronarienne connue à l’inclusion ;issue à dix ans documentée (variable </w:t>
      </w:r>
      <w:proofErr w:type="spellStart"/>
      <w:r w:rsidRPr="008E7341">
        <w:rPr>
          <w:rFonts w:ascii="Times New Roman" w:hAnsi="Times New Roman" w:cs="Times New Roman"/>
        </w:rPr>
        <w:t>TenYearCHD</w:t>
      </w:r>
      <w:proofErr w:type="spellEnd"/>
      <w:r w:rsidRPr="008E7341">
        <w:rPr>
          <w:rFonts w:ascii="Times New Roman" w:hAnsi="Times New Roman" w:cs="Times New Roman"/>
        </w:rPr>
        <w:t xml:space="preserve"> renseignée) ;au moins une mesure disponible pour les principaux facteurs de risque utilisés comme prédicteurs (pressions artérielles, cholestérol total, statut tabagique, IMC, glycémie, antécédents cardiovasculaires)</w:t>
      </w:r>
      <w:r w:rsidR="000153D0">
        <w:rPr>
          <w:rFonts w:ascii="Times New Roman" w:hAnsi="Times New Roman" w:cs="Times New Roman"/>
        </w:rPr>
        <w:t xml:space="preserve"> </w:t>
      </w:r>
      <w:r w:rsidR="008E7341">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{"citationID":"bD0aNVfe","properties":{"formattedCitation":"[21]","plainCitation":"[21]","noteIndex":0},"citationItems":[{"id":768,"uris":["http://zotero.org/users/11240916/items/VQ7VNM7U"],"itemData":{"id":768,"type":"article-journal","abstract":"Background\n              —The objective of this study was to examine the association of Joint National Committee (JNC-V) blood pressure and National Cholesterol Education Program (NCEP) cholesterol categories with coronary heart disease (CHD) risk, to incorporate them into coronary prediction algorithms, and to compare the discrimination properties of this approach with other noncategorical prediction functions.\n            \n            \n              Methods and Results\n              —This work was designed as a prospective, single-center study in the setting of a community-based cohort. The patients were 2489 men and 2856 women 30 to 74 years old at baseline with 12 years of follow-up. During the 12 years of follow-up, a total of 383 men and 227 women developed CHD, which was significantly associated with categories of blood pressure, total cholesterol, LDL cholesterol, and HDL cholesterol (all\n              P\n              &lt;.001). Sex-specific prediction equations were formulated to predict CHD risk according to age, diabetes, smoking, JNC-V blood pressure categories, and NCEP total cholesterol and LDL cholesterol categories. The accuracy of this categorical approach was found to be comparable to CHD prediction when the continuous variables themselves were used. After adjustment for other factors, ≈28% of CHD events in men and 29% in women were attributable to blood pressure levels that exceeded high normal (≥130/85). The corresponding multivariable-adjusted attributable risk percent associated with elevated total cholesterol (≥200 mg/dL) was 27% in men and 34% in women.\n            \n            \n              Conclusions\n              —Recommended guidelines of blood pressure, total cholesterol, and LDL cholesterol effectively predict CHD risk in a middle-aged white population sample. A simple coronary disease prediction algorithm was developed using categorical variables, which allows physicians to predict multivariate CHD risk in patients without overt CHD.","container-title":"Circulation","DOI":"10.1161/01.CIR.97.18.1837","ISSN":"0009-7322, 1524-4539","issue":"18","journalAbbreviation":"Circulation","language":"en","page":"1837-1847","source":"DOI.org (Crossref)","title":"Prediction of Coronary Heart Disease Using Risk Factor Categories","volume":"97","author":[{"family":"Wilson","given":"Peter W. F."},{"family":"D’Agostino","given":"Ralph B."},{"family":"Levy","given":"Daniel"},{"family":"Belanger","given":"Albert M."},{"family":"Silbershatz","given":"Halit"},{"family":"Kannel","given":"William B."}],"issued":{"date-parts":[["1998",5,12]]}}}],"schema":"https://github.com/citation-style-language/schema/raw/master/csl-citation.json"} </w:instrText>
      </w:r>
      <w:r w:rsidR="008E7341">
        <w:rPr>
          <w:rFonts w:ascii="Times New Roman" w:hAnsi="Times New Roman" w:cs="Times New Roman"/>
        </w:rPr>
        <w:fldChar w:fldCharType="separate"/>
      </w:r>
      <w:r w:rsidR="00D736FF" w:rsidRPr="00D736FF">
        <w:rPr>
          <w:rFonts w:ascii="Times New Roman" w:hAnsi="Times New Roman" w:cs="Times New Roman"/>
        </w:rPr>
        <w:t>[21]</w:t>
      </w:r>
      <w:r w:rsidR="008E7341">
        <w:rPr>
          <w:rFonts w:ascii="Times New Roman" w:hAnsi="Times New Roman" w:cs="Times New Roman"/>
        </w:rPr>
        <w:fldChar w:fldCharType="end"/>
      </w:r>
      <w:r w:rsidRPr="008E7341">
        <w:rPr>
          <w:rFonts w:ascii="Times New Roman" w:hAnsi="Times New Roman" w:cs="Times New Roman"/>
        </w:rPr>
        <w:t>.</w:t>
      </w:r>
    </w:p>
    <w:p w14:paraId="55685DDF" w14:textId="5818C0BD" w:rsidR="00B72E63" w:rsidRPr="00B72E63" w:rsidRDefault="00B72E63" w:rsidP="00B72E63">
      <w:pPr>
        <w:ind w:left="360"/>
        <w:jc w:val="both"/>
        <w:rPr>
          <w:rFonts w:ascii="Times New Roman" w:hAnsi="Times New Roman" w:cs="Times New Roman"/>
          <w:b/>
          <w:bCs/>
        </w:rPr>
      </w:pPr>
      <w:r w:rsidRPr="00B72E63">
        <w:rPr>
          <w:rFonts w:ascii="Times New Roman" w:hAnsi="Times New Roman" w:cs="Times New Roman"/>
          <w:b/>
          <w:bCs/>
        </w:rPr>
        <w:t>Ont été exclus :</w:t>
      </w:r>
    </w:p>
    <w:p w14:paraId="45DC91FD" w14:textId="672240E4" w:rsidR="00B72E63" w:rsidRPr="00B72E63" w:rsidRDefault="00B72E63" w:rsidP="00B72E63">
      <w:pPr>
        <w:ind w:left="360"/>
        <w:jc w:val="both"/>
        <w:rPr>
          <w:rFonts w:ascii="Times New Roman" w:hAnsi="Times New Roman" w:cs="Times New Roman"/>
        </w:rPr>
      </w:pPr>
      <w:r w:rsidRPr="00B72E63">
        <w:rPr>
          <w:rFonts w:ascii="Times New Roman" w:hAnsi="Times New Roman" w:cs="Times New Roman"/>
        </w:rPr>
        <w:t>les sujets avec maladie coronarienne prévalente ;les participants sans information sur l’issue à dix ans ;les enregistrements dépourvus de toute information exploitable sur les facteurs de risque principaux ;quelques observations présentant des valeurs manifestement incompatibles avec une physiologie réaliste, identifiées lors du contrôle initial de qualité des données.</w:t>
      </w:r>
    </w:p>
    <w:p w14:paraId="63B93F16" w14:textId="6D66D699" w:rsidR="00B72E63" w:rsidRPr="00B72E63" w:rsidRDefault="00B72E63" w:rsidP="008E7341">
      <w:pPr>
        <w:jc w:val="both"/>
        <w:rPr>
          <w:rFonts w:ascii="Times New Roman" w:hAnsi="Times New Roman" w:cs="Times New Roman"/>
        </w:rPr>
      </w:pPr>
      <w:r w:rsidRPr="00B72E63">
        <w:rPr>
          <w:rFonts w:ascii="Times New Roman" w:hAnsi="Times New Roman" w:cs="Times New Roman"/>
        </w:rPr>
        <w:lastRenderedPageBreak/>
        <w:t>Dans l’échantillon final, la proportion de participants ayant présenté un événement coronarien à dix ans est d’environ 15 %, ce qui se traduit par un déséquilibre marqué entre la classe « sans événement » (majoritaire) et la classe « avec événement » (minoritaire).</w:t>
      </w:r>
    </w:p>
    <w:p w14:paraId="6A351A3E" w14:textId="7F177F0A" w:rsidR="00B72E63" w:rsidRPr="00B72E63" w:rsidRDefault="00B72E63" w:rsidP="008E7341">
      <w:pPr>
        <w:jc w:val="both"/>
        <w:rPr>
          <w:rFonts w:ascii="Times New Roman" w:hAnsi="Times New Roman" w:cs="Times New Roman"/>
          <w:b/>
          <w:bCs/>
        </w:rPr>
      </w:pPr>
      <w:r w:rsidRPr="00B72E63">
        <w:rPr>
          <w:rFonts w:ascii="Times New Roman" w:hAnsi="Times New Roman" w:cs="Times New Roman"/>
          <w:b/>
          <w:bCs/>
        </w:rPr>
        <w:t>Variable cible</w:t>
      </w:r>
    </w:p>
    <w:p w14:paraId="2A5D103B" w14:textId="76DD3BCD" w:rsidR="00B72E63" w:rsidRPr="00B72E63" w:rsidRDefault="00B72E63" w:rsidP="008E7341">
      <w:pPr>
        <w:jc w:val="both"/>
        <w:rPr>
          <w:rFonts w:ascii="Times New Roman" w:hAnsi="Times New Roman" w:cs="Times New Roman"/>
        </w:rPr>
      </w:pPr>
      <w:r w:rsidRPr="00B72E63">
        <w:rPr>
          <w:rFonts w:ascii="Times New Roman" w:hAnsi="Times New Roman" w:cs="Times New Roman"/>
        </w:rPr>
        <w:t>La variable cible est un indicateur binaire de survenue d’un événement coronarien à dix ans :</w:t>
      </w:r>
      <w:r>
        <w:rPr>
          <w:rFonts w:ascii="Times New Roman" w:hAnsi="Times New Roman" w:cs="Times New Roman"/>
        </w:rPr>
        <w:t xml:space="preserve"> </w:t>
      </w:r>
      <w:r w:rsidRPr="00B72E63">
        <w:rPr>
          <w:rFonts w:ascii="Times New Roman" w:hAnsi="Times New Roman" w:cs="Times New Roman"/>
        </w:rPr>
        <w:t>0 : absence d’événement coronarien dans les dix ans suivant l’inclusion ;</w:t>
      </w:r>
    </w:p>
    <w:p w14:paraId="6B577E0A" w14:textId="25F0FA48" w:rsidR="00B72E63" w:rsidRPr="00B72E63" w:rsidRDefault="00B72E63" w:rsidP="008E7341">
      <w:pPr>
        <w:jc w:val="both"/>
        <w:rPr>
          <w:rFonts w:ascii="Times New Roman" w:hAnsi="Times New Roman" w:cs="Times New Roman"/>
        </w:rPr>
      </w:pPr>
      <w:r w:rsidRPr="00B72E63">
        <w:rPr>
          <w:rFonts w:ascii="Times New Roman" w:hAnsi="Times New Roman" w:cs="Times New Roman"/>
        </w:rPr>
        <w:t>1 : survenue d’un événement coronarien (angor, infarctus du myocarde, décès coronarien) dans les dix ans.</w:t>
      </w:r>
      <w:r>
        <w:rPr>
          <w:rFonts w:ascii="Times New Roman" w:hAnsi="Times New Roman" w:cs="Times New Roman"/>
        </w:rPr>
        <w:t xml:space="preserve"> </w:t>
      </w:r>
      <w:r w:rsidRPr="00B72E63">
        <w:rPr>
          <w:rFonts w:ascii="Times New Roman" w:hAnsi="Times New Roman" w:cs="Times New Roman"/>
        </w:rPr>
        <w:t xml:space="preserve">Cette variable est dérivée du champ original </w:t>
      </w:r>
      <w:proofErr w:type="spellStart"/>
      <w:r w:rsidRPr="00B72E63">
        <w:rPr>
          <w:rFonts w:ascii="Times New Roman" w:hAnsi="Times New Roman" w:cs="Times New Roman"/>
        </w:rPr>
        <w:t>TenYearCHD</w:t>
      </w:r>
      <w:proofErr w:type="spellEnd"/>
      <w:r w:rsidRPr="00B72E63">
        <w:rPr>
          <w:rFonts w:ascii="Times New Roman" w:hAnsi="Times New Roman" w:cs="Times New Roman"/>
        </w:rPr>
        <w:t xml:space="preserve"> de la base Framingham et définit la classe positive pour l’ensemble des modèles de classification.</w:t>
      </w:r>
    </w:p>
    <w:p w14:paraId="74797D26" w14:textId="6660B3C1" w:rsidR="00B72E63" w:rsidRPr="00B72E63" w:rsidRDefault="00B72E63" w:rsidP="008E7341">
      <w:pPr>
        <w:jc w:val="both"/>
        <w:rPr>
          <w:rFonts w:ascii="Times New Roman" w:hAnsi="Times New Roman" w:cs="Times New Roman"/>
          <w:b/>
          <w:bCs/>
        </w:rPr>
      </w:pPr>
      <w:r w:rsidRPr="00B72E63">
        <w:rPr>
          <w:rFonts w:ascii="Times New Roman" w:hAnsi="Times New Roman" w:cs="Times New Roman"/>
          <w:b/>
          <w:bCs/>
        </w:rPr>
        <w:t>Prédicteurs principaux</w:t>
      </w:r>
    </w:p>
    <w:p w14:paraId="1DF01910" w14:textId="49A79779" w:rsidR="00B72E63" w:rsidRDefault="00B72E63" w:rsidP="008E7341">
      <w:pPr>
        <w:jc w:val="both"/>
        <w:rPr>
          <w:rFonts w:ascii="Times New Roman" w:hAnsi="Times New Roman" w:cs="Times New Roman"/>
        </w:rPr>
      </w:pPr>
      <w:r w:rsidRPr="00B72E63">
        <w:rPr>
          <w:rFonts w:ascii="Times New Roman" w:hAnsi="Times New Roman" w:cs="Times New Roman"/>
        </w:rPr>
        <w:t xml:space="preserve">Les prédicteurs retenus correspondent aux facteurs de risque cardiovasculaire classiques décrits dans la littérature issue de la Framingham Heart Study </w:t>
      </w:r>
      <w:r w:rsidR="008E7341">
        <w:rPr>
          <w:rFonts w:ascii="Times New Roman" w:hAnsi="Times New Roman" w:cs="Times New Roman"/>
        </w:rPr>
        <w:fldChar w:fldCharType="begin"/>
      </w:r>
      <w:r w:rsidR="00A43C8F">
        <w:rPr>
          <w:rFonts w:ascii="Times New Roman" w:hAnsi="Times New Roman" w:cs="Times New Roman"/>
        </w:rPr>
        <w:instrText xml:space="preserve"> ADDIN ZOTERO_ITEM CSL_CITATION {"citationID":"U36GxLnh","properties":{"formattedCitation":"[7]","plainCitation":"[7]","noteIndex":0},"citationItems":[{"id":770,"uris":["http://zotero.org/users/11240916/items/D5UTKFIT"],"itemData":{"id":770,"type":"webpage","abstract":"This long-term, multigenerational study is designed to identify common factors or characteristics that contribute to cardiovascular disease.","language":"fr","title":"Framingham Heart Study (FHS) | NHLBI, NIH","URL":"https://www.nhlbi.nih.gov/science/framingham-heart-study-fhs","accessed":{"date-parts":[["2026",1,28]]}}}],"schema":"https://github.com/citation-style-language/schema/raw/master/csl-citation.json"} </w:instrText>
      </w:r>
      <w:r w:rsidR="008E7341">
        <w:rPr>
          <w:rFonts w:ascii="Times New Roman" w:hAnsi="Times New Roman" w:cs="Times New Roman"/>
        </w:rPr>
        <w:fldChar w:fldCharType="separate"/>
      </w:r>
      <w:r w:rsidR="00A43C8F" w:rsidRPr="00A43C8F">
        <w:rPr>
          <w:rFonts w:ascii="Times New Roman" w:hAnsi="Times New Roman" w:cs="Times New Roman"/>
        </w:rPr>
        <w:t>[7]</w:t>
      </w:r>
      <w:r w:rsidR="008E7341">
        <w:rPr>
          <w:rFonts w:ascii="Times New Roman" w:hAnsi="Times New Roman" w:cs="Times New Roman"/>
        </w:rPr>
        <w:fldChar w:fldCharType="end"/>
      </w:r>
      <w:r w:rsidRPr="00B72E63">
        <w:rPr>
          <w:rFonts w:ascii="Times New Roman" w:hAnsi="Times New Roman" w:cs="Times New Roman"/>
        </w:rPr>
        <w:t>.</w:t>
      </w:r>
    </w:p>
    <w:p w14:paraId="52DBA9C9" w14:textId="77777777" w:rsidR="008E7341" w:rsidRPr="008E7341" w:rsidRDefault="008E7341" w:rsidP="008E7341">
      <w:pPr>
        <w:jc w:val="both"/>
        <w:rPr>
          <w:rFonts w:ascii="Times New Roman" w:hAnsi="Times New Roman" w:cs="Times New Roman"/>
        </w:rPr>
      </w:pPr>
      <w:r w:rsidRPr="008E7341">
        <w:rPr>
          <w:rFonts w:ascii="Times New Roman" w:hAnsi="Times New Roman" w:cs="Times New Roman"/>
        </w:rPr>
        <w:t>Caractéristiques sociodémographiques : âge (continu), sexe.</w:t>
      </w:r>
    </w:p>
    <w:p w14:paraId="2C778B5A" w14:textId="77777777" w:rsidR="008E7341" w:rsidRPr="008E7341" w:rsidRDefault="008E7341" w:rsidP="008E7341">
      <w:pPr>
        <w:jc w:val="both"/>
        <w:rPr>
          <w:rFonts w:ascii="Times New Roman" w:hAnsi="Times New Roman" w:cs="Times New Roman"/>
        </w:rPr>
      </w:pPr>
      <w:r w:rsidRPr="008E7341">
        <w:rPr>
          <w:rFonts w:ascii="Times New Roman" w:hAnsi="Times New Roman" w:cs="Times New Roman"/>
        </w:rPr>
        <w:t>Facteurs biologiques : cholestérol total, cholestérol HDL ; lorsqu’elles sont disponibles dans la base, des variables dérivées (ratio cholestérol total/HDL, LDL calculé) peuvent être exploitées à titre exploratoire.</w:t>
      </w:r>
    </w:p>
    <w:p w14:paraId="3CC97C41" w14:textId="045999B3" w:rsidR="008E7341" w:rsidRPr="008E7341" w:rsidRDefault="008E7341" w:rsidP="008E7341">
      <w:pPr>
        <w:jc w:val="both"/>
        <w:rPr>
          <w:rFonts w:ascii="Times New Roman" w:hAnsi="Times New Roman" w:cs="Times New Roman"/>
        </w:rPr>
      </w:pPr>
      <w:r w:rsidRPr="008E7341">
        <w:rPr>
          <w:rFonts w:ascii="Times New Roman" w:hAnsi="Times New Roman" w:cs="Times New Roman"/>
        </w:rPr>
        <w:t>Facteurs tensionnels : pression artérielle systolique (et, le cas échéant, diastolique), ainsi qu’une variable indiquant si le sujet est traité pour une hypertension.</w:t>
      </w:r>
    </w:p>
    <w:p w14:paraId="489017E7" w14:textId="77777777" w:rsidR="008E7341" w:rsidRPr="008E7341" w:rsidRDefault="008E7341" w:rsidP="008E7341">
      <w:pPr>
        <w:jc w:val="both"/>
        <w:rPr>
          <w:rFonts w:ascii="Times New Roman" w:hAnsi="Times New Roman" w:cs="Times New Roman"/>
        </w:rPr>
      </w:pPr>
      <w:r w:rsidRPr="008E7341">
        <w:rPr>
          <w:rFonts w:ascii="Times New Roman" w:hAnsi="Times New Roman" w:cs="Times New Roman"/>
        </w:rPr>
        <w:t>Facteurs comportementaux : statut tabagique (fumeur actuel vs non-fumeur), parfois complété par des informations sur l’intensité ou la durée du tabagisme.</w:t>
      </w:r>
    </w:p>
    <w:p w14:paraId="37F9F7B3" w14:textId="0C71367B" w:rsidR="008E7341" w:rsidRDefault="008E7341" w:rsidP="008E7341">
      <w:pPr>
        <w:jc w:val="both"/>
        <w:rPr>
          <w:rFonts w:ascii="Times New Roman" w:hAnsi="Times New Roman" w:cs="Times New Roman"/>
        </w:rPr>
      </w:pPr>
      <w:r w:rsidRPr="008E7341">
        <w:rPr>
          <w:rFonts w:ascii="Times New Roman" w:hAnsi="Times New Roman" w:cs="Times New Roman"/>
        </w:rPr>
        <w:t>Comorbidités métaboliques : présence d’un diabète connu au moment de l’inclusion.</w:t>
      </w:r>
      <w:r>
        <w:rPr>
          <w:rFonts w:ascii="Times New Roman" w:hAnsi="Times New Roman" w:cs="Times New Roman"/>
        </w:rPr>
        <w:t xml:space="preserve"> </w:t>
      </w:r>
      <w:r w:rsidRPr="008E7341">
        <w:rPr>
          <w:rFonts w:ascii="Times New Roman" w:hAnsi="Times New Roman" w:cs="Times New Roman"/>
        </w:rPr>
        <w:t xml:space="preserve">Le tableau récapitulatif (Tableau </w:t>
      </w:r>
      <w:r>
        <w:rPr>
          <w:rFonts w:ascii="Times New Roman" w:hAnsi="Times New Roman" w:cs="Times New Roman"/>
        </w:rPr>
        <w:t>en annexes</w:t>
      </w:r>
      <w:r w:rsidRPr="008E7341">
        <w:rPr>
          <w:rFonts w:ascii="Times New Roman" w:hAnsi="Times New Roman" w:cs="Times New Roman"/>
        </w:rPr>
        <w:t>) reprend pour chaque variable : le nom, le type (binaire, catégorielle, continue), la définition opérationnelle dans notre base et, le cas échéant, les transformations appliquées</w:t>
      </w:r>
      <w:r>
        <w:rPr>
          <w:rFonts w:ascii="Times New Roman" w:hAnsi="Times New Roman" w:cs="Times New Roman"/>
        </w:rPr>
        <w:t>.</w:t>
      </w:r>
    </w:p>
    <w:p w14:paraId="368E267A" w14:textId="0703B312" w:rsidR="00BE7E63" w:rsidRPr="00BE7E63" w:rsidRDefault="00BE7E63" w:rsidP="00BE7E63">
      <w:pPr>
        <w:jc w:val="both"/>
        <w:rPr>
          <w:rFonts w:ascii="Times New Roman" w:hAnsi="Times New Roman" w:cs="Times New Roman"/>
          <w:b/>
          <w:bCs/>
        </w:rPr>
      </w:pPr>
      <w:r w:rsidRPr="00BE7E63">
        <w:rPr>
          <w:rFonts w:ascii="Times New Roman" w:hAnsi="Times New Roman" w:cs="Times New Roman"/>
          <w:b/>
          <w:bCs/>
        </w:rPr>
        <w:t xml:space="preserve">Prétraitement des données : split, imputation (MICE) et prévention du data </w:t>
      </w:r>
      <w:proofErr w:type="spellStart"/>
      <w:r w:rsidRPr="00BE7E63">
        <w:rPr>
          <w:rFonts w:ascii="Times New Roman" w:hAnsi="Times New Roman" w:cs="Times New Roman"/>
          <w:b/>
          <w:bCs/>
        </w:rPr>
        <w:t>leakage</w:t>
      </w:r>
      <w:proofErr w:type="spellEnd"/>
    </w:p>
    <w:p w14:paraId="70F01D49" w14:textId="1C3CDE9A" w:rsidR="00BE7E63" w:rsidRDefault="00BE7E63" w:rsidP="00BE7E63">
      <w:pPr>
        <w:jc w:val="both"/>
        <w:rPr>
          <w:rFonts w:ascii="Times New Roman" w:hAnsi="Times New Roman" w:cs="Times New Roman"/>
        </w:rPr>
      </w:pPr>
      <w:r w:rsidRPr="00BE7E63">
        <w:rPr>
          <w:rFonts w:ascii="Times New Roman" w:hAnsi="Times New Roman" w:cs="Times New Roman"/>
        </w:rPr>
        <w:t>Une analyse exploratoire initiale a d’abord permis de décrire la cohorte (≈ 4 200 participants, prévalence d’événement à dix ans d’environ 15 %) et de vérifier la plausibilité clinique des valeurs extrêmes (âge, pression artérielle, lipides, glycémie, IMC), sans mettre en évidence d’anomalies majeures nécessitant de troncature systématique. Le profil de valeurs manquantes est globalement faible, à l’exception du glucose (≈ 9 %), ce qui justifie le recours à une stratégie d’imputation plutôt qu’à une analyse en cas complets, connue pour induire perte de puissance et biais de sélection en présence de données manquantes au moins MAR</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{"citationID":"nyF4oXwA","properties":{"formattedCitation":"[22]","plainCitation":"[22]","noteIndex":0},"citationItems":[{"id":772,"uris":["http://zotero.org/users/11240916/items/A2WXUFXN"],"itemData":{"id":772,"type":"article-journal","abstract":"Missing data is a common occurrence in clinical research. Missing data occurs when the value of the variables of interest are not measured or recorded…","container-title":"Canadian Journal of Cardiology","DOI":"10.1016/j.cjca.2020.11.010","ISSN":"0828-282X","issue":"9","language":"fr","page":"1322-1331","publisher":"Elsevier","source":"www.sciencedirect.com","title":"Missing Data in Clinical Research: A Tutorial on Multiple Imputation","title-short":"Missing Data in Clinical Research","volume":"37","issued":{"date-parts":[["2021",9,1]]}}}],"schema":"https://github.com/citation-style-language/schema/raw/master/csl-citation.json"}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[22]</w:t>
      </w:r>
      <w:r>
        <w:rPr>
          <w:rFonts w:ascii="Times New Roman" w:hAnsi="Times New Roman" w:cs="Times New Roman"/>
        </w:rPr>
        <w:fldChar w:fldCharType="end"/>
      </w:r>
      <w:r w:rsidRPr="00BE7E63">
        <w:rPr>
          <w:rFonts w:ascii="Times New Roman" w:hAnsi="Times New Roman" w:cs="Times New Roman"/>
        </w:rPr>
        <w:t>.</w:t>
      </w:r>
    </w:p>
    <w:p w14:paraId="76493466" w14:textId="53A5A7BF" w:rsidR="00BE7E63" w:rsidRDefault="00BE7E63" w:rsidP="00BE7E63">
      <w:pPr>
        <w:jc w:val="both"/>
        <w:rPr>
          <w:rFonts w:ascii="Times New Roman" w:hAnsi="Times New Roman" w:cs="Times New Roman"/>
        </w:rPr>
      </w:pPr>
      <w:r w:rsidRPr="00BE7E63">
        <w:rPr>
          <w:rFonts w:ascii="Times New Roman" w:hAnsi="Times New Roman" w:cs="Times New Roman"/>
        </w:rPr>
        <w:t>Conformément aux recommandations en modélisation prédictive (TRIPOD/TRIPOD+AI), le partage apprentissage/test (80/20) a été réalisé en amont de toute transformation : tirage aléatoire stratifié sur la variable cible, préservant une prévalence d’événement voisine de 15 % dans les deux sous-échantillons</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{"citationID":"FKEAbUKN","properties":{"formattedCitation":"[23]","plainCitation":"[23]","noteIndex":0},"citationItems":[{"id":776,"uris":["http://zotero.org/users/11240916/items/SVNET8IM"],"itemData":{"id":776,"type":"article-journal","container-title":"Annals of Internal Medicine","DOI":"10.7326/M14-0698","ISSN":"0003-4819, 1539-3704","issue":"1","journalAbbreviation":"Ann Intern Med","language":"en","page":"W1-W73","source":"DOI.org (Crossref)","title":"Transparent Reporting of a multivariable prediction model for Individual Prognosis Or Diagnosis (TRIPOD): Explanation and Elaboration","title-short":"Transparent Reporting of a multivariable prediction model for Individual Prognosis Or Diagnosis (TRIPOD)","volume":"162","author":[{"family":"Moons","given":"Karel G.M."},{"family":"Altman","given":"Douglas G."},{"family":"Reitsma","given":"Johannes B."},{"family":"Ioannidis","given":"John P.A."},{"family":"Macaskill","given":"Petra"},{"family":"Steyerberg","given":"Ewout W."},{"family":"Vickers","given":"Andrew J."},{"family":"Ransohoff","given":"David F."},{"family":"Collins","given":"Gary S."}],"issued":{"date-parts":[["2015",1,6]]}}}],"schema":"https://github.com/citation-style-language/schema/raw/master/csl-citation.json"}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t xml:space="preserve"> </w:t>
      </w:r>
      <w:r w:rsidRPr="00BE7E63">
        <w:rPr>
          <w:rFonts w:ascii="Times New Roman" w:hAnsi="Times New Roman" w:cs="Times New Roman"/>
        </w:rPr>
        <w:t xml:space="preserve">Toutes les étapes ultérieures (imputation, standardisation, rééquilibrage de classes) ont été ajustées exclusivement sur le jeu d’apprentissage, puis </w:t>
      </w:r>
      <w:r w:rsidRPr="00BE7E63">
        <w:rPr>
          <w:rFonts w:ascii="Times New Roman" w:hAnsi="Times New Roman" w:cs="Times New Roman"/>
        </w:rPr>
        <w:lastRenderedPageBreak/>
        <w:t xml:space="preserve">appliquées au jeu de test, de manière à éviter toute fuite d’information (data </w:t>
      </w:r>
      <w:proofErr w:type="spellStart"/>
      <w:r w:rsidRPr="00BE7E63">
        <w:rPr>
          <w:rFonts w:ascii="Times New Roman" w:hAnsi="Times New Roman" w:cs="Times New Roman"/>
        </w:rPr>
        <w:t>leakage</w:t>
      </w:r>
      <w:proofErr w:type="spellEnd"/>
      <w:r w:rsidRPr="00BE7E63">
        <w:rPr>
          <w:rFonts w:ascii="Times New Roman" w:hAnsi="Times New Roman" w:cs="Times New Roman"/>
        </w:rPr>
        <w:t>) susceptible de surestimer les performances.</w:t>
      </w:r>
    </w:p>
    <w:p w14:paraId="35AA30C6" w14:textId="3AC51371" w:rsidR="00BE7E63" w:rsidRDefault="00BE7E63" w:rsidP="00BE7E63">
      <w:pPr>
        <w:jc w:val="both"/>
        <w:rPr>
          <w:rFonts w:ascii="Times New Roman" w:hAnsi="Times New Roman" w:cs="Times New Roman"/>
        </w:rPr>
      </w:pPr>
      <w:r w:rsidRPr="00BE7E63">
        <w:rPr>
          <w:rFonts w:ascii="Times New Roman" w:hAnsi="Times New Roman" w:cs="Times New Roman"/>
        </w:rPr>
        <w:t>La gestion des données manquantes repose sur l’imputation multivariée par équations en chaîne (MICE), largement recommandée en recherche clinique pour préserver la distribution des prédicteurs et leurs corrélations avec l’issue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{"citationID":"2trQwEXT","properties":{"formattedCitation":"[24]","plainCitation":"[24]","noteIndex":0},"citationItems":[{"id":777,"uris":["http://zotero.org/users/11240916/items/RE5S4LS7"],"itemData":{"id":777,"type":"article-journal","abstract":"Multivariate imputation by chained equations (MICE) has emerged as a principled method of dealing with missing data. Despite properties that make MICE particularly useful for large imputation procedures and advances in software development that now make it accessible to many researchers, many psychiatric researchers have not been trained in these methods and few practical resources exist to guide researchers in the implementation of this technique. This paper provides an introduction to the MICE method with a focus on practical aspects and challenges in using this method. A brief review of software programs available to implement MICE and then analyze multiply imputed data is also provided. Copyright © 2011 John Wiley &amp; Sons, Ltd.","container-title":"International Journal of Methods in Psychiatric Research","DOI":"10.1002/mpr.329","ISSN":"1049-8931","issue":"1","journalAbbreviation":"Int J Methods Psychiatr Res","page":"40-49","PMID":"21499542","PMCID":"PMC3074241","source":"PubMed Central","title":"Multiple imputation by chained equations: what is it and how does it work?","title-short":"Multiple imputation by chained equations","volume":"20","author":[{"family":"Azur","given":"Melissa J."},{"family":"Stuart","given":"Elizabeth A."},{"family":"Frangakis","given":"Constantine"},{"family":"Leaf","given":"Philip J."}],"issued":{"date-parts":[["2011",2,24]]}}}],"schema":"https://github.com/citation-style-language/schema/raw/master/csl-citation.json"}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[24]</w:t>
      </w:r>
      <w:r>
        <w:rPr>
          <w:rFonts w:ascii="Times New Roman" w:hAnsi="Times New Roman" w:cs="Times New Roman"/>
        </w:rPr>
        <w:fldChar w:fldCharType="end"/>
      </w:r>
      <w:r w:rsidRPr="00BE7E63">
        <w:rPr>
          <w:rFonts w:ascii="Times New Roman" w:hAnsi="Times New Roman" w:cs="Times New Roman"/>
        </w:rPr>
        <w:t xml:space="preserve">. Après comparaison avec une imputation simple médiane/mode et une imputation KNN (évaluées sur la cohérence des distributions et l’impact sur un modèle logistique de base), MICE a été retenue comme méthode principale, car elle permet de mieux conserver la variance et les structures multivariées sans dégradation des performances de base. Les matrices imputées </w:t>
      </w:r>
      <w:r w:rsidRPr="00BE7E63">
        <w:rPr>
          <w:rFonts w:ascii="Cambria Math" w:hAnsi="Cambria Math" w:cs="Cambria Math"/>
        </w:rPr>
        <w:t>𝑋</w:t>
      </w:r>
      <w:r w:rsidRPr="00BE7E63">
        <w:rPr>
          <w:rFonts w:ascii="Times New Roman" w:hAnsi="Times New Roman" w:cs="Times New Roman"/>
        </w:rPr>
        <w:t>train, MICE,</w:t>
      </w:r>
      <w:r w:rsidRPr="00BE7E63">
        <w:rPr>
          <w:rFonts w:ascii="Cambria Math" w:hAnsi="Cambria Math" w:cs="Cambria Math"/>
        </w:rPr>
        <w:t>𝑋</w:t>
      </w:r>
      <w:r w:rsidRPr="00BE7E63">
        <w:rPr>
          <w:rFonts w:ascii="Times New Roman" w:hAnsi="Times New Roman" w:cs="Times New Roman"/>
        </w:rPr>
        <w:t>test, MICE</w:t>
      </w:r>
      <w:r>
        <w:rPr>
          <w:rFonts w:ascii="Times New Roman" w:hAnsi="Times New Roman" w:cs="Times New Roman"/>
        </w:rPr>
        <w:t xml:space="preserve"> </w:t>
      </w:r>
      <w:r w:rsidRPr="00BE7E63">
        <w:rPr>
          <w:rFonts w:ascii="Times New Roman" w:hAnsi="Times New Roman" w:cs="Times New Roman"/>
        </w:rPr>
        <w:t>constituent ainsi le point de départ de la construction des jeux A1–A2–B1–B2.</w:t>
      </w:r>
    </w:p>
    <w:p w14:paraId="2B9EF256" w14:textId="5528DDD0" w:rsidR="00BE7E63" w:rsidRPr="00BE7E63" w:rsidRDefault="00BE7E63" w:rsidP="00BE7E63">
      <w:pPr>
        <w:jc w:val="both"/>
        <w:rPr>
          <w:rFonts w:ascii="Times New Roman" w:hAnsi="Times New Roman" w:cs="Times New Roman"/>
          <w:b/>
          <w:bCs/>
        </w:rPr>
      </w:pPr>
      <w:r w:rsidRPr="00BE7E63">
        <w:rPr>
          <w:rFonts w:ascii="Times New Roman" w:hAnsi="Times New Roman" w:cs="Times New Roman"/>
          <w:b/>
          <w:bCs/>
        </w:rPr>
        <w:t>Construction des jeux A1, A2, B1, B2</w:t>
      </w:r>
    </w:p>
    <w:p w14:paraId="6B309D77" w14:textId="098E6D93" w:rsidR="005F3F48" w:rsidRDefault="005F3F48">
      <w:pPr>
        <w:rPr>
          <w:rFonts w:ascii="Times New Roman" w:hAnsi="Times New Roman" w:cs="Times New Roman"/>
        </w:rPr>
      </w:pPr>
      <w:r w:rsidRPr="005F3F48">
        <w:rPr>
          <w:rFonts w:ascii="Times New Roman" w:hAnsi="Times New Roman" w:cs="Times New Roman"/>
        </w:rPr>
        <w:t>À partir des matrices imputées MICE, quatre jeux de données ont été définis de manière à dissocier l’effet de la standardisation de celui de la gestion explicite du déséquilibre de classes par SMOTE (</w:t>
      </w:r>
      <w:proofErr w:type="spellStart"/>
      <w:r w:rsidRPr="005F3F48">
        <w:rPr>
          <w:rFonts w:ascii="Times New Roman" w:hAnsi="Times New Roman" w:cs="Times New Roman"/>
        </w:rPr>
        <w:t>Synthetic</w:t>
      </w:r>
      <w:proofErr w:type="spellEnd"/>
      <w:r w:rsidRPr="005F3F48">
        <w:rPr>
          <w:rFonts w:ascii="Times New Roman" w:hAnsi="Times New Roman" w:cs="Times New Roman"/>
        </w:rPr>
        <w:t xml:space="preserve"> </w:t>
      </w:r>
      <w:proofErr w:type="spellStart"/>
      <w:r w:rsidRPr="005F3F48">
        <w:rPr>
          <w:rFonts w:ascii="Times New Roman" w:hAnsi="Times New Roman" w:cs="Times New Roman"/>
        </w:rPr>
        <w:t>Minority</w:t>
      </w:r>
      <w:proofErr w:type="spellEnd"/>
      <w:r w:rsidRPr="005F3F48">
        <w:rPr>
          <w:rFonts w:ascii="Times New Roman" w:hAnsi="Times New Roman" w:cs="Times New Roman"/>
        </w:rPr>
        <w:t xml:space="preserve"> </w:t>
      </w:r>
      <w:proofErr w:type="spellStart"/>
      <w:r w:rsidRPr="005F3F48">
        <w:rPr>
          <w:rFonts w:ascii="Times New Roman" w:hAnsi="Times New Roman" w:cs="Times New Roman"/>
        </w:rPr>
        <w:t>Oversampling</w:t>
      </w:r>
      <w:proofErr w:type="spellEnd"/>
      <w:r w:rsidRPr="005F3F48">
        <w:rPr>
          <w:rFonts w:ascii="Times New Roman" w:hAnsi="Times New Roman" w:cs="Times New Roman"/>
        </w:rPr>
        <w:t xml:space="preserve"> Technique)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{"citationID":"hzIboZQP","properties":{"formattedCitation":"[13]","plainCitation":"[13]","noteIndex":0},"citationItems":[{"id":746,"uris":["http://zotero.org/users/11240916/items/IA35LTMM"],"itemData":{"id":746,"type":"article-journal","abstract":"An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Research","DOI":"10.1613/jair.953","ISSN":"1076-9757","language":"en","license":"Copyright (c)","page":"321-357","source":"www.jair.org","title":"SMOTE: Synthetic Minority Over-sampling Technique","title-short":"SMOTE","volume":"16","author":[{"family":"Chawla","given":"N. V."},{"family":"Bowyer","given":"K. W."},{"family":"Hall","given":"L. O."},{"family":"Kegelmeyer","given":"W. P."}],"issued":{"date-parts":[["2002",6,1]]}}}],"schema":"https://github.com/citation-style-language/schema/raw/master/csl-citation.json"}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[13]</w:t>
      </w:r>
      <w:r>
        <w:rPr>
          <w:rFonts w:ascii="Times New Roman" w:hAnsi="Times New Roman" w:cs="Times New Roman"/>
        </w:rPr>
        <w:fldChar w:fldCharType="end"/>
      </w:r>
      <w:r w:rsidRPr="005F3F48">
        <w:rPr>
          <w:rFonts w:ascii="Times New Roman" w:hAnsi="Times New Roman" w:cs="Times New Roman"/>
        </w:rPr>
        <w:t>.</w:t>
      </w:r>
    </w:p>
    <w:p w14:paraId="11819FCA" w14:textId="77777777" w:rsidR="005F3F48" w:rsidRPr="005F3F48" w:rsidRDefault="005F3F48" w:rsidP="005F3F48">
      <w:pPr>
        <w:rPr>
          <w:rFonts w:ascii="Times New Roman" w:hAnsi="Times New Roman" w:cs="Times New Roman"/>
          <w:b/>
          <w:bCs/>
        </w:rPr>
      </w:pPr>
      <w:r w:rsidRPr="005F3F48">
        <w:rPr>
          <w:rFonts w:ascii="Times New Roman" w:hAnsi="Times New Roman" w:cs="Times New Roman"/>
          <w:b/>
          <w:bCs/>
        </w:rPr>
        <w:t>A1 – MICE, sans standardisation, sans rééquilibrage</w:t>
      </w:r>
    </w:p>
    <w:p w14:paraId="3E557B02" w14:textId="2E34664D" w:rsidR="005F3F48" w:rsidRPr="005F3F48" w:rsidRDefault="005F3F48" w:rsidP="005F3F48">
      <w:pPr>
        <w:rPr>
          <w:rFonts w:ascii="Times New Roman" w:hAnsi="Times New Roman" w:cs="Times New Roman"/>
        </w:rPr>
      </w:pPr>
      <w:r w:rsidRPr="005F3F48">
        <w:rPr>
          <w:rFonts w:ascii="Times New Roman" w:hAnsi="Times New Roman" w:cs="Times New Roman"/>
        </w:rPr>
        <w:t xml:space="preserve">Train : </w:t>
      </w:r>
      <w:r w:rsidRPr="005F3F48">
        <w:rPr>
          <w:rFonts w:ascii="Cambria Math" w:hAnsi="Cambria Math" w:cs="Cambria Math"/>
        </w:rPr>
        <w:t>𝑋</w:t>
      </w:r>
      <w:r w:rsidRPr="005F3F48">
        <w:rPr>
          <w:rFonts w:ascii="Times New Roman" w:hAnsi="Times New Roman" w:cs="Times New Roman"/>
        </w:rPr>
        <w:t>train, MICE,</w:t>
      </w:r>
      <w:r>
        <w:rPr>
          <w:rFonts w:ascii="Cambria Math" w:hAnsi="Cambria Math" w:cs="Cambria Math"/>
        </w:rPr>
        <w:t xml:space="preserve"> </w:t>
      </w:r>
      <w:proofErr w:type="spellStart"/>
      <w:r>
        <w:rPr>
          <w:rFonts w:ascii="Cambria Math" w:hAnsi="Cambria Math" w:cs="Cambria Math"/>
        </w:rPr>
        <w:t>Y</w:t>
      </w:r>
      <w:r w:rsidRPr="005F3F48">
        <w:rPr>
          <w:rFonts w:ascii="Times New Roman" w:hAnsi="Times New Roman" w:cs="Times New Roman"/>
        </w:rPr>
        <w:t>train</w:t>
      </w:r>
      <w:proofErr w:type="spellEnd"/>
      <w:r>
        <w:rPr>
          <w:rFonts w:ascii="Times New Roman" w:hAnsi="Times New Roman" w:cs="Times New Roman"/>
        </w:rPr>
        <w:t xml:space="preserve"> </w:t>
      </w:r>
      <w:r w:rsidRPr="005F3F48">
        <w:rPr>
          <w:rFonts w:ascii="Times New Roman" w:hAnsi="Times New Roman" w:cs="Times New Roman"/>
        </w:rPr>
        <w:t xml:space="preserve"> (distribution naturelle, ≈ 15 % d’événements).</w:t>
      </w:r>
    </w:p>
    <w:p w14:paraId="6B6B1935" w14:textId="7402770D" w:rsidR="005F3F48" w:rsidRPr="005F3F48" w:rsidRDefault="005F3F48" w:rsidP="005F3F48">
      <w:pPr>
        <w:rPr>
          <w:rFonts w:ascii="Times New Roman" w:hAnsi="Times New Roman" w:cs="Times New Roman"/>
        </w:rPr>
      </w:pPr>
      <w:r w:rsidRPr="005F3F48">
        <w:rPr>
          <w:rFonts w:ascii="Times New Roman" w:hAnsi="Times New Roman" w:cs="Times New Roman"/>
        </w:rPr>
        <w:t xml:space="preserve">Test : </w:t>
      </w:r>
      <w:r w:rsidRPr="005F3F48">
        <w:rPr>
          <w:rFonts w:ascii="Cambria Math" w:hAnsi="Cambria Math" w:cs="Cambria Math"/>
        </w:rPr>
        <w:t>𝑋</w:t>
      </w:r>
      <w:r w:rsidRPr="005F3F48">
        <w:rPr>
          <w:rFonts w:ascii="Times New Roman" w:hAnsi="Times New Roman" w:cs="Times New Roman"/>
        </w:rPr>
        <w:t>test, MICE,</w:t>
      </w:r>
      <w:r w:rsidRPr="005F3F48">
        <w:rPr>
          <w:rFonts w:ascii="Cambria Math" w:hAnsi="Cambria Math" w:cs="Cambria Math"/>
        </w:rPr>
        <w:t>𝑦</w:t>
      </w:r>
      <w:r w:rsidRPr="005F3F48">
        <w:rPr>
          <w:rFonts w:ascii="Times New Roman" w:hAnsi="Times New Roman" w:cs="Times New Roman"/>
        </w:rPr>
        <w:t>test</w:t>
      </w:r>
      <w:r>
        <w:rPr>
          <w:rFonts w:ascii="Times New Roman" w:hAnsi="Times New Roman" w:cs="Times New Roman"/>
        </w:rPr>
        <w:t> ; r</w:t>
      </w:r>
      <w:r w:rsidRPr="005F3F48">
        <w:rPr>
          <w:rFonts w:ascii="Times New Roman" w:hAnsi="Times New Roman" w:cs="Times New Roman"/>
        </w:rPr>
        <w:t>éférence pour les modèles peu sensibles à l’échelle (RF, XGB).</w:t>
      </w:r>
    </w:p>
    <w:p w14:paraId="1C5C3038" w14:textId="1D9E1594" w:rsidR="005F3F48" w:rsidRPr="005F3F48" w:rsidRDefault="005F3F48" w:rsidP="005F3F48">
      <w:pPr>
        <w:rPr>
          <w:rFonts w:ascii="Times New Roman" w:hAnsi="Times New Roman" w:cs="Times New Roman"/>
          <w:b/>
          <w:bCs/>
        </w:rPr>
      </w:pPr>
      <w:r w:rsidRPr="005F3F48">
        <w:rPr>
          <w:rFonts w:ascii="Times New Roman" w:hAnsi="Times New Roman" w:cs="Times New Roman"/>
          <w:b/>
          <w:bCs/>
        </w:rPr>
        <w:t>A2 – MICE + standardisation, sans rééquilibrage</w:t>
      </w:r>
    </w:p>
    <w:p w14:paraId="6F4098C3" w14:textId="664CB29F" w:rsidR="005F3F48" w:rsidRPr="005F3F48" w:rsidRDefault="005F3F48" w:rsidP="005F3F48">
      <w:pPr>
        <w:rPr>
          <w:rFonts w:ascii="Times New Roman" w:hAnsi="Times New Roman" w:cs="Times New Roman"/>
        </w:rPr>
      </w:pPr>
      <w:r w:rsidRPr="005F3F48">
        <w:rPr>
          <w:rFonts w:ascii="Times New Roman" w:hAnsi="Times New Roman" w:cs="Times New Roman"/>
        </w:rPr>
        <w:t>Standardisation (centrage–réduction) ajustée uniquement sur le train puis appliquée au test.</w:t>
      </w:r>
      <w:r>
        <w:rPr>
          <w:rFonts w:ascii="Times New Roman" w:hAnsi="Times New Roman" w:cs="Times New Roman"/>
        </w:rPr>
        <w:t xml:space="preserve"> </w:t>
      </w:r>
      <w:r w:rsidRPr="005F3F48">
        <w:rPr>
          <w:rFonts w:ascii="Times New Roman" w:hAnsi="Times New Roman" w:cs="Times New Roman"/>
        </w:rPr>
        <w:t>Destiné aux modèles sensibles à l’échelle (</w:t>
      </w:r>
      <w:proofErr w:type="spellStart"/>
      <w:r w:rsidRPr="005F3F48">
        <w:rPr>
          <w:rFonts w:ascii="Times New Roman" w:hAnsi="Times New Roman" w:cs="Times New Roman"/>
        </w:rPr>
        <w:t>LogReg</w:t>
      </w:r>
      <w:proofErr w:type="spellEnd"/>
      <w:r w:rsidRPr="005F3F48">
        <w:rPr>
          <w:rFonts w:ascii="Times New Roman" w:hAnsi="Times New Roman" w:cs="Times New Roman"/>
        </w:rPr>
        <w:t>, SVM).</w:t>
      </w:r>
    </w:p>
    <w:p w14:paraId="308B1C27" w14:textId="7151DDA7" w:rsidR="005F3F48" w:rsidRPr="005F3F48" w:rsidRDefault="005F3F48" w:rsidP="005F3F48">
      <w:pPr>
        <w:rPr>
          <w:rFonts w:ascii="Times New Roman" w:hAnsi="Times New Roman" w:cs="Times New Roman"/>
          <w:b/>
          <w:bCs/>
        </w:rPr>
      </w:pPr>
      <w:r w:rsidRPr="005F3F48">
        <w:rPr>
          <w:rFonts w:ascii="Times New Roman" w:hAnsi="Times New Roman" w:cs="Times New Roman"/>
          <w:b/>
          <w:bCs/>
        </w:rPr>
        <w:t>B1 – MICE + SMOTE sur le train, sans standardisation</w:t>
      </w:r>
    </w:p>
    <w:p w14:paraId="4F8378A8" w14:textId="77777777" w:rsidR="005F3F48" w:rsidRDefault="005F3F48" w:rsidP="005F3F48">
      <w:pPr>
        <w:rPr>
          <w:rFonts w:ascii="Times New Roman" w:hAnsi="Times New Roman" w:cs="Times New Roman"/>
        </w:rPr>
      </w:pPr>
      <w:r w:rsidRPr="005F3F48">
        <w:rPr>
          <w:rFonts w:ascii="Times New Roman" w:hAnsi="Times New Roman" w:cs="Times New Roman"/>
        </w:rPr>
        <w:t>SMOTE appliqué uniquement sur le train pour obtenir un train approximativement équilibré.</w:t>
      </w:r>
      <w:r>
        <w:rPr>
          <w:rFonts w:ascii="Times New Roman" w:hAnsi="Times New Roman" w:cs="Times New Roman"/>
        </w:rPr>
        <w:t xml:space="preserve"> </w:t>
      </w:r>
      <w:r w:rsidRPr="005F3F48">
        <w:rPr>
          <w:rFonts w:ascii="Times New Roman" w:hAnsi="Times New Roman" w:cs="Times New Roman"/>
        </w:rPr>
        <w:t>Test inchangé, conservant la prévalence réelle (~15 %).</w:t>
      </w:r>
    </w:p>
    <w:p w14:paraId="4FA77A56" w14:textId="01B89A9A" w:rsidR="005F3F48" w:rsidRPr="005F3F48" w:rsidRDefault="005F3F48" w:rsidP="005F3F48">
      <w:pPr>
        <w:rPr>
          <w:rFonts w:ascii="Times New Roman" w:hAnsi="Times New Roman" w:cs="Times New Roman"/>
          <w:b/>
          <w:bCs/>
        </w:rPr>
      </w:pPr>
      <w:r w:rsidRPr="005F3F48">
        <w:rPr>
          <w:rFonts w:ascii="Times New Roman" w:hAnsi="Times New Roman" w:cs="Times New Roman"/>
          <w:b/>
          <w:bCs/>
        </w:rPr>
        <w:t>B2 – MICE + SMOTE sur le train + standardisation</w:t>
      </w:r>
    </w:p>
    <w:p w14:paraId="49CD9610" w14:textId="77777777" w:rsidR="00B8398B" w:rsidRDefault="005F3F48" w:rsidP="005F3F48">
      <w:pPr>
        <w:rPr>
          <w:rFonts w:ascii="Times New Roman" w:hAnsi="Times New Roman" w:cs="Times New Roman"/>
        </w:rPr>
      </w:pPr>
      <w:r w:rsidRPr="005F3F48">
        <w:rPr>
          <w:rFonts w:ascii="Times New Roman" w:hAnsi="Times New Roman" w:cs="Times New Roman"/>
        </w:rPr>
        <w:t>SMOTE sur le train, puis standardisation ajustée sur le train rééchantillonné et appliquée au test.</w:t>
      </w:r>
      <w:r>
        <w:rPr>
          <w:rFonts w:ascii="Times New Roman" w:hAnsi="Times New Roman" w:cs="Times New Roman"/>
        </w:rPr>
        <w:t xml:space="preserve"> </w:t>
      </w:r>
      <w:r w:rsidRPr="005F3F48">
        <w:rPr>
          <w:rFonts w:ascii="Times New Roman" w:hAnsi="Times New Roman" w:cs="Times New Roman"/>
        </w:rPr>
        <w:t>Permet d’évaluer l’effet combiné rééquilibrage + standardisation pour les modèles sensibles à l’échelle.</w:t>
      </w:r>
      <w:r>
        <w:rPr>
          <w:rFonts w:ascii="Times New Roman" w:hAnsi="Times New Roman" w:cs="Times New Roman"/>
        </w:rPr>
        <w:t xml:space="preserve"> </w:t>
      </w:r>
      <w:r w:rsidRPr="005F3F48">
        <w:rPr>
          <w:rFonts w:ascii="Times New Roman" w:hAnsi="Times New Roman" w:cs="Times New Roman"/>
        </w:rPr>
        <w:t xml:space="preserve">Un tableau de synthèse (Annexe ) reprend, pour chaque jeu, le schéma d’imputation, la présence ou non de standardisation et de SMOTE, ainsi que la distribution des classes dans les jeux d’apprentissage et de test. </w:t>
      </w:r>
    </w:p>
    <w:p w14:paraId="025CB622" w14:textId="77777777" w:rsidR="00B8398B" w:rsidRPr="00B8398B" w:rsidRDefault="00B8398B" w:rsidP="00B8398B">
      <w:pPr>
        <w:rPr>
          <w:rFonts w:ascii="Times New Roman" w:hAnsi="Times New Roman" w:cs="Times New Roman"/>
          <w:b/>
          <w:bCs/>
        </w:rPr>
      </w:pPr>
      <w:r w:rsidRPr="00B8398B">
        <w:rPr>
          <w:rFonts w:ascii="Times New Roman" w:hAnsi="Times New Roman" w:cs="Times New Roman"/>
          <w:b/>
          <w:bCs/>
        </w:rPr>
        <w:t>Schéma de validation : validation croisée interne et évaluation sur test</w:t>
      </w:r>
    </w:p>
    <w:p w14:paraId="2C4477D0" w14:textId="758CEB40" w:rsidR="00B8398B" w:rsidRPr="00B8398B" w:rsidRDefault="00B8398B" w:rsidP="00B8398B">
      <w:pPr>
        <w:rPr>
          <w:rFonts w:ascii="Times New Roman" w:hAnsi="Times New Roman" w:cs="Times New Roman"/>
        </w:rPr>
      </w:pPr>
      <w:r w:rsidRPr="00B8398B">
        <w:rPr>
          <w:rFonts w:ascii="Times New Roman" w:hAnsi="Times New Roman" w:cs="Times New Roman"/>
        </w:rPr>
        <w:t xml:space="preserve">Le schéma de validation suit les principes de développement et d’évaluation interne des modèles prédictifs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{"citationID":"gUnHFUVH","properties":{"formattedCitation":"[23]","plainCitation":"[23]","noteIndex":0},"citationItems":[{"id":776,"uris":["http://zotero.org/users/11240916/items/SVNET8IM"],"itemData":{"id":776,"type":"article-journal","container-title":"Annals of Internal Medicine","DOI":"10.7326/M14-0698","ISSN":"0003-4819, 1539-3704","issue":"1","journalAbbreviation":"Ann Intern Med","language":"en","page":"W1-W73","source":"DOI.org (Crossref)","title":"Transparent Reporting of a multivariable prediction model for Individual Prognosis Or Diagnosis (TRIPOD): Explanation and Elaboration","title-short":"Transparent Reporting of a multivariable prediction model for Individual Prognosis Or Diagnosis (TRIPOD)","volume":"162","author":[{"family":"Moons","given":"Karel G.M."},{"family":"Altman","given":"Douglas G."},{"family":"Reitsma","given":"Johannes B."},{"family":"Ioannidis","given":"John P.A."},{"family":"Macaskill","given":"Petra"},{"family":"Steyerberg","given":"Ewout W."},{"family":"Vickers","given":"Andrew J."},{"family":"Ransohoff","given":"David F."},{"family":"Collins","given":"Gary S."}],"issued":{"date-parts":[["2015",1,6]]}}}],"schema":"https://github.com/citation-style-language/schema/raw/master/csl-citation.json"}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[23]</w:t>
      </w:r>
      <w:r>
        <w:rPr>
          <w:rFonts w:ascii="Times New Roman" w:hAnsi="Times New Roman" w:cs="Times New Roman"/>
        </w:rPr>
        <w:fldChar w:fldCharType="end"/>
      </w:r>
      <w:r w:rsidRPr="00B8398B">
        <w:rPr>
          <w:rFonts w:ascii="Times New Roman" w:hAnsi="Times New Roman" w:cs="Times New Roman"/>
        </w:rPr>
        <w:t>.</w:t>
      </w:r>
    </w:p>
    <w:p w14:paraId="59B5280C" w14:textId="049EA836" w:rsidR="00B8398B" w:rsidRPr="00767E5B" w:rsidRDefault="00767E5B" w:rsidP="00B8398B">
      <w:pPr>
        <w:rPr>
          <w:rFonts w:ascii="Times New Roman" w:hAnsi="Times New Roman" w:cs="Times New Roman"/>
          <w:b/>
          <w:bCs/>
        </w:rPr>
      </w:pPr>
      <w:r w:rsidRPr="00767E5B">
        <w:rPr>
          <w:rFonts w:ascii="Times New Roman" w:hAnsi="Times New Roman" w:cs="Times New Roman"/>
          <w:b/>
          <w:bCs/>
        </w:rPr>
        <w:t>Modèles entraînés</w:t>
      </w:r>
    </w:p>
    <w:p w14:paraId="3990DEF3" w14:textId="6380F199" w:rsidR="00B8398B" w:rsidRDefault="00767E5B" w:rsidP="00B8398B">
      <w:pPr>
        <w:rPr>
          <w:rFonts w:ascii="Times New Roman" w:hAnsi="Times New Roman" w:cs="Times New Roman"/>
        </w:rPr>
      </w:pPr>
      <w:r w:rsidRPr="00767E5B">
        <w:rPr>
          <w:rFonts w:ascii="Times New Roman" w:hAnsi="Times New Roman" w:cs="Times New Roman"/>
        </w:rPr>
        <w:lastRenderedPageBreak/>
        <w:t>Dans cette application, deux grandes familles de modèles de classification supervisée ont été considérées, en cohérence avec la littérature sur les modèles de prédiction clinique : modèles linéaires et modèles d’ensemble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{"citationID":"4Fhf1w9d","properties":{"formattedCitation":"[25]","plainCitation":"[25]","noteIndex":0},"citationItems":[{"id":782,"uris":["http://zotero.org/users/11240916/items/EXR8ESSW"],"itemData":{"id":782,"type":"book","abstract":"Prediction models are important in various fields, including medicine, physics, meteorology, and finance. Prediction models will become more relevant in the medical field with the increase in knowledge on potential predictors of outcome, e.g. from genetics. Also, the number of applications will increase, e.g. with targeted early detection of disease, and individualized approaches to diagnostic testing and treatment. The current era of evidence-based medicine asks for an individualized approach to medical decision-making. Evidence-based medicine has a central place for meta-analysis to summarize results from randomized controlled trials; similarly prediction models may summarize the effects of predictors to provide individu- ized predictions of a diagnostic or prognostic outcome. Why Read This Book? My motivation for working on this book stems primarily from the fact that the development and applications of prediction models are often suboptimal in medical publications. With this book Ihope to contribute to better understanding of relevant issues and give practical advice on better modelling strategies than are nowadays widely used. Issues include: (a) Better predictive modelling is sometimes easily possible; e.g. a large data set with high quality data is available, but all continuous predictors are dich- omized, which is known to have several disadvantages.","ISBN":"978-0-387-77244-8","language":"en","note":"Google-Books-ID: kHGK58cLsMIC","number-of-pages":"508","publisher":"Springer Science &amp; Business Media","source":"Google Books","title":"Clinical Prediction Models: A Practical Approach to Development, Validation, and Updating","title-short":"Clinical Prediction Models","author":[{"family":"Steyerberg","given":"Ewout W."}],"issued":{"date-parts":[["2008",12,16]]}}}],"schema":"https://github.com/citation-style-language/schema/raw/master/csl-citation.json"}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[25]</w:t>
      </w:r>
      <w:r>
        <w:rPr>
          <w:rFonts w:ascii="Times New Roman" w:hAnsi="Times New Roman" w:cs="Times New Roman"/>
        </w:rPr>
        <w:fldChar w:fldCharType="end"/>
      </w:r>
      <w:r w:rsidRPr="00767E5B">
        <w:rPr>
          <w:rFonts w:ascii="Times New Roman" w:hAnsi="Times New Roman" w:cs="Times New Roman"/>
        </w:rPr>
        <w:t>.</w:t>
      </w:r>
    </w:p>
    <w:p w14:paraId="62C60700" w14:textId="27AF9661" w:rsidR="00767E5B" w:rsidRPr="00767E5B" w:rsidRDefault="00767E5B" w:rsidP="00767E5B">
      <w:pPr>
        <w:rPr>
          <w:rFonts w:ascii="Times New Roman" w:hAnsi="Times New Roman" w:cs="Times New Roman"/>
          <w:b/>
          <w:bCs/>
        </w:rPr>
      </w:pPr>
      <w:r w:rsidRPr="00767E5B">
        <w:rPr>
          <w:rFonts w:ascii="Times New Roman" w:hAnsi="Times New Roman" w:cs="Times New Roman"/>
          <w:b/>
          <w:bCs/>
        </w:rPr>
        <w:t>Modèles linéaires (régression logistique, SVM)</w:t>
      </w:r>
    </w:p>
    <w:p w14:paraId="49CD99E0" w14:textId="7C06830C" w:rsidR="00767E5B" w:rsidRPr="00767E5B" w:rsidRDefault="00767E5B" w:rsidP="00767E5B">
      <w:pPr>
        <w:rPr>
          <w:rFonts w:ascii="Times New Roman" w:hAnsi="Times New Roman" w:cs="Times New Roman"/>
        </w:rPr>
      </w:pPr>
      <w:r w:rsidRPr="00767E5B">
        <w:rPr>
          <w:rFonts w:ascii="Times New Roman" w:hAnsi="Times New Roman" w:cs="Times New Roman"/>
        </w:rPr>
        <w:t>Les modèles linéaires regroupent :la régression logistique multivariée, méthode de référence pour le développement de modèles de risque en épidémiologie clinique et en médecine prédictive</w:t>
      </w:r>
      <w:r>
        <w:rPr>
          <w:rFonts w:ascii="Times New Roman" w:hAnsi="Times New Roman" w:cs="Times New Roman"/>
        </w:rPr>
        <w:t>.</w:t>
      </w:r>
    </w:p>
    <w:p w14:paraId="57BD886F" w14:textId="7D6F6012" w:rsidR="00767E5B" w:rsidRDefault="00767E5B" w:rsidP="00767E5B">
      <w:pPr>
        <w:rPr>
          <w:rFonts w:ascii="Times New Roman" w:hAnsi="Times New Roman" w:cs="Times New Roman"/>
        </w:rPr>
      </w:pPr>
      <w:r w:rsidRPr="00767E5B">
        <w:rPr>
          <w:rFonts w:ascii="Times New Roman" w:hAnsi="Times New Roman" w:cs="Times New Roman"/>
        </w:rPr>
        <w:t xml:space="preserve">les Support </w:t>
      </w:r>
      <w:proofErr w:type="spellStart"/>
      <w:r w:rsidRPr="00767E5B">
        <w:rPr>
          <w:rFonts w:ascii="Times New Roman" w:hAnsi="Times New Roman" w:cs="Times New Roman"/>
        </w:rPr>
        <w:t>Vector</w:t>
      </w:r>
      <w:proofErr w:type="spellEnd"/>
      <w:r w:rsidRPr="00767E5B">
        <w:rPr>
          <w:rFonts w:ascii="Times New Roman" w:hAnsi="Times New Roman" w:cs="Times New Roman"/>
        </w:rPr>
        <w:t xml:space="preserve"> Machines (SVM), issus de la théorie de l’apprentissage statistique, largement utilisés pour la classification binaire en biomédecine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{"citationID":"AebdI7Ry","properties":{"formattedCitation":"[26]","plainCitation":"[26]","noteIndex":0},"citationItems":[{"id":785,"uris":["http://zotero.org/users/11240916/items/PSDLE6Y4"],"itemData":{"id":785,"type":"article-journal","abstract":"The 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Learning","DOI":"10.1007/BF00994018","ISSN":"0885-6125, 1573-0565","issue":"3","journalAbbreviation":"Mach Learn","language":"en","license":"http://www.springer.com/tdm","page":"273-297","source":"DOI.org (Crossref)","title":"Support-vector networks","volume":"20","author":[{"family":"Cortes","given":"Corinna"},{"family":"Vapnik","given":"Vladimir"}],"issued":{"date-parts":[["1995",9]]}}}],"schema":"https://github.com/citation-style-language/schema/raw/master/csl-citation.json"}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[26]</w:t>
      </w:r>
      <w:r>
        <w:rPr>
          <w:rFonts w:ascii="Times New Roman" w:hAnsi="Times New Roman" w:cs="Times New Roman"/>
        </w:rPr>
        <w:fldChar w:fldCharType="end"/>
      </w:r>
      <w:r w:rsidRPr="00767E5B">
        <w:rPr>
          <w:rFonts w:ascii="Times New Roman" w:hAnsi="Times New Roman" w:cs="Times New Roman"/>
        </w:rPr>
        <w:t>.</w:t>
      </w:r>
      <w:r>
        <w:rPr>
          <w:rFonts w:ascii="Times New Roman" w:hAnsi="Times New Roman" w:cs="Times New Roman"/>
        </w:rPr>
        <w:t xml:space="preserve"> </w:t>
      </w:r>
      <w:r w:rsidRPr="00767E5B">
        <w:rPr>
          <w:rFonts w:ascii="Times New Roman" w:hAnsi="Times New Roman" w:cs="Times New Roman"/>
        </w:rPr>
        <w:t>Ces modèles ont été entraînés sur les jeux standardisés (A2 et B2), ce qui est conforme aux bonnes pratiques pour les méthodes fondées sur des distances ou des pénalités de norme.</w:t>
      </w:r>
    </w:p>
    <w:p w14:paraId="786F3868" w14:textId="4CBEFD54" w:rsidR="00767E5B" w:rsidRPr="00767E5B" w:rsidRDefault="00767E5B" w:rsidP="00767E5B">
      <w:pPr>
        <w:rPr>
          <w:rFonts w:ascii="Times New Roman" w:hAnsi="Times New Roman" w:cs="Times New Roman"/>
          <w:b/>
          <w:bCs/>
        </w:rPr>
      </w:pPr>
      <w:r w:rsidRPr="00767E5B">
        <w:rPr>
          <w:rFonts w:ascii="Times New Roman" w:hAnsi="Times New Roman" w:cs="Times New Roman"/>
          <w:b/>
          <w:bCs/>
        </w:rPr>
        <w:t xml:space="preserve">Modèles d’ensemble (forêt aléatoire, </w:t>
      </w:r>
      <w:r w:rsidR="00F01208" w:rsidRPr="00F01208">
        <w:rPr>
          <w:rFonts w:ascii="Times New Roman" w:hAnsi="Times New Roman" w:cs="Times New Roman"/>
          <w:b/>
          <w:bCs/>
        </w:rPr>
        <w:t>Gradient Boosting</w:t>
      </w:r>
      <w:r w:rsidR="00F01208">
        <w:rPr>
          <w:rFonts w:ascii="Times New Roman" w:hAnsi="Times New Roman" w:cs="Times New Roman"/>
          <w:b/>
          <w:bCs/>
        </w:rPr>
        <w:t xml:space="preserve">, </w:t>
      </w:r>
      <w:proofErr w:type="spellStart"/>
      <w:r w:rsidRPr="00767E5B">
        <w:rPr>
          <w:rFonts w:ascii="Times New Roman" w:hAnsi="Times New Roman" w:cs="Times New Roman"/>
          <w:b/>
          <w:bCs/>
        </w:rPr>
        <w:t>XGBoost</w:t>
      </w:r>
      <w:proofErr w:type="spellEnd"/>
      <w:r w:rsidRPr="00767E5B">
        <w:rPr>
          <w:rFonts w:ascii="Times New Roman" w:hAnsi="Times New Roman" w:cs="Times New Roman"/>
          <w:b/>
          <w:bCs/>
        </w:rPr>
        <w:t>)</w:t>
      </w:r>
    </w:p>
    <w:p w14:paraId="25F35328" w14:textId="637F3544" w:rsidR="00767E5B" w:rsidRPr="00767E5B" w:rsidRDefault="00767E5B" w:rsidP="00767E5B">
      <w:pPr>
        <w:rPr>
          <w:rFonts w:ascii="Times New Roman" w:hAnsi="Times New Roman" w:cs="Times New Roman"/>
        </w:rPr>
      </w:pPr>
      <w:r w:rsidRPr="00767E5B">
        <w:rPr>
          <w:rFonts w:ascii="Times New Roman" w:hAnsi="Times New Roman" w:cs="Times New Roman"/>
        </w:rPr>
        <w:t>Les modèles d’ensemble retenus sont :</w:t>
      </w:r>
    </w:p>
    <w:p w14:paraId="1676FDCE" w14:textId="222B4D6B" w:rsidR="00767E5B" w:rsidRPr="00767E5B" w:rsidRDefault="00767E5B" w:rsidP="00767E5B">
      <w:pPr>
        <w:rPr>
          <w:rFonts w:ascii="Times New Roman" w:hAnsi="Times New Roman" w:cs="Times New Roman"/>
        </w:rPr>
      </w:pPr>
      <w:r w:rsidRPr="00767E5B">
        <w:rPr>
          <w:rFonts w:ascii="Times New Roman" w:hAnsi="Times New Roman" w:cs="Times New Roman"/>
        </w:rPr>
        <w:t>la forêt aléatoire (Random Forest), qui agrège un grand nombre d’arbres de décision construits sur des sous-échantillons de données et de variables, offrant une bonne robustesse aux relations non linéaires et aux interactions ;</w:t>
      </w:r>
    </w:p>
    <w:p w14:paraId="7CCB8680" w14:textId="77777777" w:rsidR="006C27A7" w:rsidRDefault="00767E5B" w:rsidP="00767E5B">
      <w:pPr>
        <w:rPr>
          <w:rFonts w:ascii="Times New Roman" w:hAnsi="Times New Roman" w:cs="Times New Roman"/>
        </w:rPr>
      </w:pPr>
      <w:proofErr w:type="spellStart"/>
      <w:r w:rsidRPr="00767E5B">
        <w:rPr>
          <w:rFonts w:ascii="Times New Roman" w:hAnsi="Times New Roman" w:cs="Times New Roman"/>
        </w:rPr>
        <w:t>XGBoost</w:t>
      </w:r>
      <w:proofErr w:type="spellEnd"/>
      <w:r w:rsidRPr="00767E5B">
        <w:rPr>
          <w:rFonts w:ascii="Times New Roman" w:hAnsi="Times New Roman" w:cs="Times New Roman"/>
        </w:rPr>
        <w:t>, implémentation optimisée de gradient boosting d’arbres de décision, conçue pour maximiser la performance prédictive sur données tabulaires tout en intégrant des mécanismes explicites de régularisation.</w:t>
      </w:r>
      <w:r>
        <w:rPr>
          <w:rFonts w:ascii="Times New Roman" w:hAnsi="Times New Roman" w:cs="Times New Roman"/>
        </w:rPr>
        <w:t xml:space="preserve"> </w:t>
      </w:r>
    </w:p>
    <w:p w14:paraId="49DB1244" w14:textId="61B1369D" w:rsidR="006C27A7" w:rsidRDefault="006C27A7" w:rsidP="00767E5B">
      <w:pPr>
        <w:rPr>
          <w:rFonts w:ascii="Times New Roman" w:hAnsi="Times New Roman" w:cs="Times New Roman"/>
        </w:rPr>
      </w:pPr>
      <w:r w:rsidRPr="006C27A7">
        <w:rPr>
          <w:rFonts w:ascii="Times New Roman" w:hAnsi="Times New Roman" w:cs="Times New Roman"/>
        </w:rPr>
        <w:t>le gradient boosting d’arbres, au sens de la méthode proposée par Friedman, qui construit de manière itérative une somme d’arbres de décision en suivant une descente de gradient en espace fonctionne</w:t>
      </w:r>
      <w:r>
        <w:rPr>
          <w:rFonts w:ascii="Times New Roman" w:hAnsi="Times New Roman" w:cs="Times New Roman"/>
        </w:rPr>
        <w:t xml:space="preserve">l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{"citationID":"uhkNcbUE","properties":{"formattedCitation":"[27]","plainCitation":"[27]","noteIndex":0},"citationItems":[{"id":789,"uris":["http://zotero.org/users/11240916/items/XWBUY57Q"],"itemData":{"id":789,"type":"article-journal","abstract":"Function estimation/approximation is viewed from the perspective of numerical optimization in function space, rather than parameter space. A connection is made between stagewise additive expansions and steepest-descent minimization. A general gradient descent “boosting” paradigm is developed for additive expansions based on any fitting criterion.Specific algorithms are presented for least-squares, least absolute deviation, and Huber-M loss functions for regression, and multiclass logistic likelihood for classification. Special enhancements are derived for the particular case where the individual additive components are regression trees, and tools for interpreting such “TreeBoost” models are presented. Gradient boosting of regression trees produces competitive, highly robust, interpretable procedures for both regression and classification, especially appropriate for mining less than clean data. Connections between this approach and the boosting methods of Freund and Shapire and Friedman, Hastie and Tibshirani are discussed.","container-title":"The Annals of Statistics","DOI":"10.1214/aos/1013203451","ISSN":"0090-5364, 2168-8966","issue":"5","page":"1189-1232","publisher":"Institute of Mathematical Statistics","source":"Project Euclid","title":"Greedy function approximation: A gradient boosting machine.","title-short":"Greedy function approximation","volume":"29","author":[{"family":"Friedman","given":"Jerome H."}],"issued":{"date-parts":[["2001",10]]}}}],"schema":"https://github.com/citation-style-language/schema/raw/master/csl-citation.json"}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t>.</w:t>
      </w:r>
    </w:p>
    <w:p w14:paraId="157C8985" w14:textId="64A7CB5B" w:rsidR="00B8398B" w:rsidRPr="00B8398B" w:rsidRDefault="00767E5B" w:rsidP="00767E5B">
      <w:pPr>
        <w:rPr>
          <w:rFonts w:ascii="Times New Roman" w:hAnsi="Times New Roman" w:cs="Times New Roman"/>
        </w:rPr>
      </w:pPr>
      <w:r w:rsidRPr="00767E5B">
        <w:rPr>
          <w:rFonts w:ascii="Times New Roman" w:hAnsi="Times New Roman" w:cs="Times New Roman"/>
        </w:rPr>
        <w:t>Ces modèles sont entraînés sur les jeux non standardisés (A1 et B1), avec ou sans rééquilibrage par SMOTE, ce qui permet d’évaluer dans quelle mesure des méthodes d’ensemble plus flexibles apportent un gain réel par rapport aux modèles linéaires, à prétraitement identique</w:t>
      </w:r>
      <w:r>
        <w:rPr>
          <w:rFonts w:ascii="Times New Roman" w:hAnsi="Times New Roman" w:cs="Times New Roman"/>
        </w:rPr>
        <w:t xml:space="preserve"> </w:t>
      </w:r>
      <w:r>
        <w:rPr>
          <w:rFonts w:ascii="Times New Roman" w:hAnsi="Times New Roman" w:cs="Times New Roman"/>
        </w:rPr>
        <w:fldChar w:fldCharType="begin"/>
      </w:r>
      <w:r w:rsidR="00D736FF">
        <w:rPr>
          <w:rFonts w:ascii="Times New Roman" w:hAnsi="Times New Roman" w:cs="Times New Roman"/>
        </w:rPr>
        <w:instrText xml:space="preserve"> ADDIN ZOTERO_ITEM CSL_CITATION {"citationID":"wrt9uNlm","properties":{"formattedCitation":"[28]","plainCitation":"[28]","noteIndex":0},"citationItems":[{"id":786,"uris":["http://zotero.org/users/11240916/items/ZPBTYGH4"],"itemData":{"id":786,"type":"article-journal","abstract":"&lt;p&gt;Predicting future outcomes of patients is essential to clinical practice, with many prediction models published each year. Empirical evidence suggests that published studies often have severe methodological limitations, which undermine their usefulness. This article presents a step-by-step guide to help researchers develop and evaluate a clinical prediction model. The guide covers best practices in defining the aim and users, selecting data sources, addressing missing data, exploring alternative modelling options, and assessing model performance. The steps are illustrated using an example from relapsing-remitting multiple sclerosis. Comprehensive R code is also provided.&lt;/p&gt;","container-title":"BMJ","DOI":"10.1136/bmj-2023-078276","ISSN":"1756-1833","journalAbbreviation":"BMJ","language":"en","license":"©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http://creativecommons.org/licenses/by/4.0/.","page":"e078276","PMID":"39227063","publisher":"British Medical Journal Publishing Group","section":"Research Methods &amp;amp; Reporting","source":"www.bmj.com","title":"Developing clinical prediction models: a step-by-step guide","title-short":"Developing clinical prediction models","volume":"386","author":[{"family":"Efthimiou","given":"Orestis"},{"family":"Seo","given":"Michael"},{"family":"Chalkou","given":"Konstantina"},{"family":"Debray","given":"Thomas"},{"family":"Egger","given":"Matthias"},{"family":"Salanti","given":"Georgia"}],"issued":{"date-parts":[["2024",9,3]]}}}],"schema":"https://github.com/citation-style-language/schema/raw/master/csl-citation.json"} </w:instrText>
      </w:r>
      <w:r>
        <w:rPr>
          <w:rFonts w:ascii="Times New Roman" w:hAnsi="Times New Roman" w:cs="Times New Roman"/>
        </w:rPr>
        <w:fldChar w:fldCharType="separate"/>
      </w:r>
      <w:r w:rsidR="00D736FF" w:rsidRPr="00D736FF">
        <w:rPr>
          <w:rFonts w:ascii="Times New Roman" w:hAnsi="Times New Roman" w:cs="Times New Roman"/>
        </w:rPr>
        <w:t>[28]</w:t>
      </w:r>
      <w:r>
        <w:rPr>
          <w:rFonts w:ascii="Times New Roman" w:hAnsi="Times New Roman" w:cs="Times New Roman"/>
        </w:rPr>
        <w:fldChar w:fldCharType="end"/>
      </w:r>
      <w:r w:rsidRPr="00767E5B">
        <w:rPr>
          <w:rFonts w:ascii="Times New Roman" w:hAnsi="Times New Roman" w:cs="Times New Roman"/>
        </w:rPr>
        <w:t>.</w:t>
      </w:r>
    </w:p>
    <w:p w14:paraId="2624BA48" w14:textId="0213818A" w:rsidR="00B8398B" w:rsidRPr="00767E5B" w:rsidRDefault="00B8398B" w:rsidP="00B8398B">
      <w:pPr>
        <w:rPr>
          <w:rFonts w:ascii="Times New Roman" w:hAnsi="Times New Roman" w:cs="Times New Roman"/>
          <w:b/>
          <w:bCs/>
        </w:rPr>
      </w:pPr>
      <w:r w:rsidRPr="00B8398B">
        <w:rPr>
          <w:rFonts w:ascii="Times New Roman" w:hAnsi="Times New Roman" w:cs="Times New Roman"/>
          <w:b/>
          <w:bCs/>
        </w:rPr>
        <w:t>Validation croisée sur le jeu d’apprentissage</w:t>
      </w:r>
    </w:p>
    <w:p w14:paraId="0C47B6DA" w14:textId="294A057B" w:rsidR="00B8398B" w:rsidRPr="00B8398B" w:rsidRDefault="00B8398B" w:rsidP="00B8398B">
      <w:pPr>
        <w:rPr>
          <w:rFonts w:ascii="Times New Roman" w:hAnsi="Times New Roman" w:cs="Times New Roman"/>
        </w:rPr>
      </w:pPr>
      <w:r w:rsidRPr="00B8398B">
        <w:rPr>
          <w:rFonts w:ascii="Times New Roman" w:hAnsi="Times New Roman" w:cs="Times New Roman"/>
        </w:rPr>
        <w:t>Pour chaque combinaison (algorithme × jeu A1/A2/B1/B2), une validation croisée stratifiée à 5 plis a été réalisée sur le train uniquement.</w:t>
      </w:r>
      <w:r>
        <w:rPr>
          <w:rFonts w:ascii="Times New Roman" w:hAnsi="Times New Roman" w:cs="Times New Roman"/>
        </w:rPr>
        <w:t xml:space="preserve"> </w:t>
      </w:r>
      <w:r w:rsidRPr="00B8398B">
        <w:rPr>
          <w:rFonts w:ascii="Times New Roman" w:hAnsi="Times New Roman" w:cs="Times New Roman"/>
        </w:rPr>
        <w:t>À chaque itération, le modèle est entraîné sur 4 plis et évalué sur le pli restant ; la stratification garantit une proportion d’événements comparable dans chaque pli.</w:t>
      </w:r>
      <w:r>
        <w:rPr>
          <w:rFonts w:ascii="Times New Roman" w:hAnsi="Times New Roman" w:cs="Times New Roman"/>
        </w:rPr>
        <w:t xml:space="preserve"> </w:t>
      </w:r>
      <w:r w:rsidRPr="00B8398B">
        <w:rPr>
          <w:rFonts w:ascii="Times New Roman" w:hAnsi="Times New Roman" w:cs="Times New Roman"/>
        </w:rPr>
        <w:t>Les métriques définies dans la Partie I (rappel, précision, F1 de la classe événement, AUC-ROC, AUC-PR, Brier score) sont moyennées sur les 5 plis pour apprécier la stabilité interne et détecter d’éventuels comportements instables (notamment pour certains modèles d’arbres sur B1/B2).</w:t>
      </w:r>
    </w:p>
    <w:p w14:paraId="363E70FC" w14:textId="1E768BFA" w:rsidR="00B8398B" w:rsidRPr="00B8398B" w:rsidRDefault="00B8398B" w:rsidP="00B8398B">
      <w:pPr>
        <w:rPr>
          <w:rFonts w:ascii="Times New Roman" w:hAnsi="Times New Roman" w:cs="Times New Roman"/>
          <w:b/>
          <w:bCs/>
        </w:rPr>
      </w:pPr>
      <w:r w:rsidRPr="00B8398B">
        <w:rPr>
          <w:rFonts w:ascii="Times New Roman" w:hAnsi="Times New Roman" w:cs="Times New Roman"/>
          <w:b/>
          <w:bCs/>
        </w:rPr>
        <w:t>Évaluation finale sur le jeu de test</w:t>
      </w:r>
    </w:p>
    <w:p w14:paraId="5235E843" w14:textId="77777777" w:rsidR="00B8398B" w:rsidRDefault="00B8398B" w:rsidP="00B8398B">
      <w:pPr>
        <w:rPr>
          <w:rFonts w:ascii="Times New Roman" w:hAnsi="Times New Roman" w:cs="Times New Roman"/>
        </w:rPr>
      </w:pPr>
      <w:r w:rsidRPr="00B8398B">
        <w:rPr>
          <w:rFonts w:ascii="Times New Roman" w:hAnsi="Times New Roman" w:cs="Times New Roman"/>
        </w:rPr>
        <w:t xml:space="preserve">Une fois la configuration retenue pour chaque modèle, un </w:t>
      </w:r>
      <w:proofErr w:type="spellStart"/>
      <w:r w:rsidRPr="00B8398B">
        <w:rPr>
          <w:rFonts w:ascii="Times New Roman" w:hAnsi="Times New Roman" w:cs="Times New Roman"/>
        </w:rPr>
        <w:t>ré-entraînement</w:t>
      </w:r>
      <w:proofErr w:type="spellEnd"/>
      <w:r w:rsidRPr="00B8398B">
        <w:rPr>
          <w:rFonts w:ascii="Times New Roman" w:hAnsi="Times New Roman" w:cs="Times New Roman"/>
        </w:rPr>
        <w:t xml:space="preserve"> sur l’ensemble du jeu d’apprentissage est réalisé, puis une évaluation unique est conduite sur le jeu de test figé </w:t>
      </w:r>
      <w:r w:rsidRPr="00B8398B">
        <w:rPr>
          <w:rFonts w:ascii="Times New Roman" w:hAnsi="Times New Roman" w:cs="Times New Roman"/>
        </w:rPr>
        <w:lastRenderedPageBreak/>
        <w:t>(20 %), resté strictement hors du processus de tuning.</w:t>
      </w:r>
      <w:r>
        <w:rPr>
          <w:rFonts w:ascii="Times New Roman" w:hAnsi="Times New Roman" w:cs="Times New Roman"/>
        </w:rPr>
        <w:t xml:space="preserve"> </w:t>
      </w:r>
      <w:r w:rsidRPr="00B8398B">
        <w:rPr>
          <w:rFonts w:ascii="Times New Roman" w:hAnsi="Times New Roman" w:cs="Times New Roman"/>
        </w:rPr>
        <w:t>Les mêmes métriques que dans la validation croisée sont rapportées, sans redéfinition (cf. Partie I), afin de permettre une comparaison directe des performances entre modèles et jeux de données.</w:t>
      </w:r>
    </w:p>
    <w:p w14:paraId="069F06BB" w14:textId="47DF07AA" w:rsidR="00B8398B" w:rsidRPr="00B8398B" w:rsidRDefault="00B8398B" w:rsidP="00B8398B">
      <w:pPr>
        <w:rPr>
          <w:rFonts w:ascii="Times New Roman" w:hAnsi="Times New Roman" w:cs="Times New Roman"/>
        </w:rPr>
      </w:pPr>
      <w:r w:rsidRPr="00B8398B">
        <w:rPr>
          <w:rFonts w:ascii="Times New Roman" w:hAnsi="Times New Roman" w:cs="Times New Roman"/>
          <w:b/>
          <w:bCs/>
        </w:rPr>
        <w:t>Quantification complémentaire de l’incertitude pour le modèle final</w:t>
      </w:r>
    </w:p>
    <w:p w14:paraId="7ADDE925" w14:textId="77777777" w:rsidR="006C27A7" w:rsidRDefault="00B8398B" w:rsidP="00B8398B">
      <w:pPr>
        <w:jc w:val="both"/>
        <w:rPr>
          <w:rFonts w:ascii="Times New Roman" w:hAnsi="Times New Roman" w:cs="Times New Roman"/>
        </w:rPr>
      </w:pPr>
      <w:r w:rsidRPr="00B8398B">
        <w:rPr>
          <w:rFonts w:ascii="Times New Roman" w:hAnsi="Times New Roman" w:cs="Times New Roman"/>
        </w:rPr>
        <w:t xml:space="preserve">Pour le modèle final de référence (régression logistique A2 avec seuil optimisé), une procédure de </w:t>
      </w:r>
      <w:r w:rsidR="00767E5B" w:rsidRPr="00B8398B">
        <w:rPr>
          <w:rFonts w:ascii="Times New Roman" w:hAnsi="Times New Roman" w:cs="Times New Roman"/>
        </w:rPr>
        <w:t>Bootstrap</w:t>
      </w:r>
      <w:r w:rsidRPr="00B8398B">
        <w:rPr>
          <w:rFonts w:ascii="Times New Roman" w:hAnsi="Times New Roman" w:cs="Times New Roman"/>
        </w:rPr>
        <w:t xml:space="preserve"> non paramétrique sur le jeu de test a été utilisée pour obtenir des intervalles de confiance à 95 % des performances.</w:t>
      </w:r>
      <w:r w:rsidR="00767E5B">
        <w:rPr>
          <w:rFonts w:ascii="Times New Roman" w:hAnsi="Times New Roman" w:cs="Times New Roman"/>
        </w:rPr>
        <w:t xml:space="preserve"> </w:t>
      </w:r>
      <w:r w:rsidRPr="00B8398B">
        <w:rPr>
          <w:rFonts w:ascii="Times New Roman" w:hAnsi="Times New Roman" w:cs="Times New Roman"/>
        </w:rPr>
        <w:t>En outre, une prédiction conforme de type Mondrian a été appliquée en aval du modèle final pour construire des ensembles prédictifs assortis de garanties de couverture, en cohérence avec les appels récents à expliciter l’incertitude des modèles cliniques.</w:t>
      </w:r>
    </w:p>
    <w:p w14:paraId="7469F4B5" w14:textId="77777777" w:rsidR="006C27A7" w:rsidRDefault="006C27A7" w:rsidP="00B8398B">
      <w:pPr>
        <w:jc w:val="both"/>
        <w:rPr>
          <w:rFonts w:ascii="Times New Roman" w:hAnsi="Times New Roman" w:cs="Times New Roman"/>
          <w:b/>
          <w:bCs/>
        </w:rPr>
      </w:pPr>
      <w:r w:rsidRPr="006C27A7">
        <w:rPr>
          <w:rFonts w:ascii="Times New Roman" w:hAnsi="Times New Roman" w:cs="Times New Roman"/>
          <w:b/>
          <w:bCs/>
        </w:rPr>
        <w:t>Chapitre 3 – Résultats de l’application 1 : données tabulaires Framingham</w:t>
      </w:r>
    </w:p>
    <w:p w14:paraId="37779C9C" w14:textId="77777777" w:rsidR="006C27A7" w:rsidRPr="006C27A7" w:rsidRDefault="006C27A7" w:rsidP="006C27A7">
      <w:pPr>
        <w:jc w:val="both"/>
        <w:rPr>
          <w:rFonts w:ascii="Times New Roman" w:hAnsi="Times New Roman" w:cs="Times New Roman"/>
          <w:b/>
          <w:bCs/>
        </w:rPr>
      </w:pPr>
      <w:r w:rsidRPr="006C27A7">
        <w:rPr>
          <w:rFonts w:ascii="Times New Roman" w:hAnsi="Times New Roman" w:cs="Times New Roman"/>
          <w:b/>
          <w:bCs/>
        </w:rPr>
        <w:t>Caractéristiques de la population d’étude</w:t>
      </w:r>
    </w:p>
    <w:p w14:paraId="065DCF1D" w14:textId="2B8C1112" w:rsidR="006C27A7" w:rsidRPr="006C27A7" w:rsidRDefault="006C27A7" w:rsidP="006C27A7">
      <w:pPr>
        <w:jc w:val="both"/>
        <w:rPr>
          <w:rFonts w:ascii="Times New Roman" w:hAnsi="Times New Roman" w:cs="Times New Roman"/>
        </w:rPr>
      </w:pPr>
      <w:r w:rsidRPr="006C27A7">
        <w:rPr>
          <w:rFonts w:ascii="Times New Roman" w:hAnsi="Times New Roman" w:cs="Times New Roman"/>
        </w:rPr>
        <w:t>L’échantillon analysé comprend 4 239 participants, dont 15,2 % ont présenté un événement coronarien à dix ans. Cette proportion confirme le déséquilibre marqué entre la classe « sans événement » (≈ 85 %) et la classe « avec événement », ce qui justifie l’usage de métriques adaptées et de stratégies spécifiques de gestion du déséquilibre, comme discuté dans la Partie I.</w:t>
      </w:r>
    </w:p>
    <w:p w14:paraId="2B4A5EB6" w14:textId="711ABCDA" w:rsidR="006C27A7" w:rsidRPr="006C27A7" w:rsidRDefault="006C27A7" w:rsidP="006C27A7">
      <w:pPr>
        <w:jc w:val="both"/>
        <w:rPr>
          <w:rFonts w:ascii="Times New Roman" w:hAnsi="Times New Roman" w:cs="Times New Roman"/>
        </w:rPr>
      </w:pPr>
      <w:r w:rsidRPr="006C27A7">
        <w:rPr>
          <w:rFonts w:ascii="Times New Roman" w:hAnsi="Times New Roman" w:cs="Times New Roman"/>
        </w:rPr>
        <w:t>Les tableaux descriptifs (Tableaux 1 et 2) montrent une population d’âge moyen (≈ 50 ans), avec un surpoids modéré, un cholestérol total moyen autour de 237 mg/</w:t>
      </w:r>
      <w:proofErr w:type="spellStart"/>
      <w:r w:rsidRPr="006C27A7">
        <w:rPr>
          <w:rFonts w:ascii="Times New Roman" w:hAnsi="Times New Roman" w:cs="Times New Roman"/>
        </w:rPr>
        <w:t>dL</w:t>
      </w:r>
      <w:proofErr w:type="spellEnd"/>
      <w:r w:rsidRPr="006C27A7">
        <w:rPr>
          <w:rFonts w:ascii="Times New Roman" w:hAnsi="Times New Roman" w:cs="Times New Roman"/>
        </w:rPr>
        <w:t xml:space="preserve"> et des pressions artérielles moyennes compatibles avec une charge notable de facteurs de risque. La proportion de fumeurs actuels est proche de 50 %, l’hypertension connue concerne environ un tiers des participants, tandis que le diabète reste peu fréquent. Globalement, ces profils sont cohérents avec les caractéristiques classiques de la cohorte Framingham décrites dans la littérature, centrée sur une population de prévention cardiovasculaire primaire.</w:t>
      </w:r>
    </w:p>
    <w:p w14:paraId="754F398D" w14:textId="77777777" w:rsidR="006C27A7" w:rsidRDefault="006C27A7" w:rsidP="006C27A7">
      <w:pPr>
        <w:jc w:val="both"/>
        <w:rPr>
          <w:rFonts w:ascii="Times New Roman" w:hAnsi="Times New Roman" w:cs="Times New Roman"/>
        </w:rPr>
      </w:pPr>
      <w:r w:rsidRPr="006C27A7">
        <w:rPr>
          <w:rFonts w:ascii="Times New Roman" w:hAnsi="Times New Roman" w:cs="Times New Roman"/>
        </w:rPr>
        <w:t xml:space="preserve">Le profil de données manquantes est globalement modéré, avec la plupart des variables en dessous de 2 % de </w:t>
      </w:r>
      <w:proofErr w:type="spellStart"/>
      <w:r w:rsidRPr="006C27A7">
        <w:rPr>
          <w:rFonts w:ascii="Times New Roman" w:hAnsi="Times New Roman" w:cs="Times New Roman"/>
        </w:rPr>
        <w:t>manquance</w:t>
      </w:r>
      <w:proofErr w:type="spellEnd"/>
      <w:r w:rsidRPr="006C27A7">
        <w:rPr>
          <w:rFonts w:ascii="Times New Roman" w:hAnsi="Times New Roman" w:cs="Times New Roman"/>
        </w:rPr>
        <w:t>, à l’exception de la glycémie (≈ 9 %). Aucune anomalie majeure n’a été observée concernant les valeurs extrêmes des prédicteurs continus : les valeurs élevées (cholestérol, tension systolique, IMC, glucose) restent compatibles avec des profils de patients à haut risque et ont été conservées, seules quelques observations manifestement non plausibles ayant été exclues lors du contrôle initial.</w:t>
      </w:r>
    </w:p>
    <w:p w14:paraId="26B035E1" w14:textId="4CA9EBCE" w:rsidR="006C27A7" w:rsidRDefault="006C27A7" w:rsidP="006C27A7">
      <w:pPr>
        <w:jc w:val="both"/>
        <w:rPr>
          <w:rFonts w:ascii="Times New Roman" w:hAnsi="Times New Roman" w:cs="Times New Roman"/>
        </w:rPr>
      </w:pPr>
      <w:r w:rsidRPr="006C27A7">
        <w:rPr>
          <w:rFonts w:ascii="Times New Roman" w:hAnsi="Times New Roman" w:cs="Times New Roman"/>
        </w:rPr>
        <w:t>Tableau  Caractéristiques sociodémographiques et cliniques de la cohorte Framingham et taux de valeurs manquantes (N = 4 239)</w:t>
      </w:r>
    </w:p>
    <w:tbl>
      <w:tblPr>
        <w:tblStyle w:val="Grilledutableau"/>
        <w:tblW w:w="9873" w:type="dxa"/>
        <w:tblInd w:w="-856" w:type="dxa"/>
        <w:tblLayout w:type="fixed"/>
        <w:tblLook w:val="04A0" w:firstRow="1" w:lastRow="0" w:firstColumn="1" w:lastColumn="0" w:noHBand="0" w:noVBand="1"/>
      </w:tblPr>
      <w:tblGrid>
        <w:gridCol w:w="3261"/>
        <w:gridCol w:w="2267"/>
        <w:gridCol w:w="1135"/>
        <w:gridCol w:w="900"/>
        <w:gridCol w:w="2310"/>
      </w:tblGrid>
      <w:tr w:rsidR="006C27A7" w14:paraId="11868DA8" w14:textId="77777777" w:rsidTr="005A4807">
        <w:tc>
          <w:tcPr>
            <w:tcW w:w="3261" w:type="dxa"/>
          </w:tcPr>
          <w:p w14:paraId="7D20E397"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2267" w:type="dxa"/>
          </w:tcPr>
          <w:p w14:paraId="71C81CDA"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Modalités</w:t>
            </w:r>
          </w:p>
        </w:tc>
        <w:tc>
          <w:tcPr>
            <w:tcW w:w="1135" w:type="dxa"/>
          </w:tcPr>
          <w:p w14:paraId="2507C0EC"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w:t>
            </w:r>
          </w:p>
        </w:tc>
        <w:tc>
          <w:tcPr>
            <w:tcW w:w="900" w:type="dxa"/>
          </w:tcPr>
          <w:p w14:paraId="3580DC9A"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w:t>
            </w:r>
          </w:p>
        </w:tc>
        <w:tc>
          <w:tcPr>
            <w:tcW w:w="2310" w:type="dxa"/>
          </w:tcPr>
          <w:p w14:paraId="2B9BC2A2"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Valeurs manquantes n (%)</w:t>
            </w:r>
          </w:p>
        </w:tc>
      </w:tr>
      <w:tr w:rsidR="006C27A7" w14:paraId="04CEA8DD" w14:textId="77777777" w:rsidTr="005A4807">
        <w:tc>
          <w:tcPr>
            <w:tcW w:w="3261" w:type="dxa"/>
          </w:tcPr>
          <w:p w14:paraId="71F5207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Sexe</w:t>
            </w:r>
          </w:p>
        </w:tc>
        <w:tc>
          <w:tcPr>
            <w:tcW w:w="2267" w:type="dxa"/>
          </w:tcPr>
          <w:p w14:paraId="63EBB5D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Femme</w:t>
            </w:r>
          </w:p>
        </w:tc>
        <w:tc>
          <w:tcPr>
            <w:tcW w:w="1135" w:type="dxa"/>
          </w:tcPr>
          <w:p w14:paraId="64AD05D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2 419</w:t>
            </w:r>
          </w:p>
        </w:tc>
        <w:tc>
          <w:tcPr>
            <w:tcW w:w="900" w:type="dxa"/>
          </w:tcPr>
          <w:p w14:paraId="5CC64DD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57,08</w:t>
            </w:r>
          </w:p>
        </w:tc>
        <w:tc>
          <w:tcPr>
            <w:tcW w:w="2310" w:type="dxa"/>
          </w:tcPr>
          <w:p w14:paraId="3EA6170A"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6C27A7" w14:paraId="2E380A03" w14:textId="77777777" w:rsidTr="005A4807">
        <w:tc>
          <w:tcPr>
            <w:tcW w:w="3261" w:type="dxa"/>
          </w:tcPr>
          <w:p w14:paraId="0730CBAE"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760277D2"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Homme</w:t>
            </w:r>
          </w:p>
        </w:tc>
        <w:tc>
          <w:tcPr>
            <w:tcW w:w="1135" w:type="dxa"/>
          </w:tcPr>
          <w:p w14:paraId="57BBBA8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1 819</w:t>
            </w:r>
          </w:p>
        </w:tc>
        <w:tc>
          <w:tcPr>
            <w:tcW w:w="900" w:type="dxa"/>
          </w:tcPr>
          <w:p w14:paraId="57EFEE5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42,92</w:t>
            </w:r>
          </w:p>
        </w:tc>
        <w:tc>
          <w:tcPr>
            <w:tcW w:w="2310" w:type="dxa"/>
          </w:tcPr>
          <w:p w14:paraId="2A984266"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1D53C3D7" w14:textId="77777777" w:rsidTr="005A4807">
        <w:tc>
          <w:tcPr>
            <w:tcW w:w="3261" w:type="dxa"/>
          </w:tcPr>
          <w:p w14:paraId="36E4EF7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Niveau d’étude</w:t>
            </w:r>
          </w:p>
        </w:tc>
        <w:tc>
          <w:tcPr>
            <w:tcW w:w="2267" w:type="dxa"/>
          </w:tcPr>
          <w:p w14:paraId="07C3113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1 : Faible scolarité</w:t>
            </w:r>
          </w:p>
        </w:tc>
        <w:tc>
          <w:tcPr>
            <w:tcW w:w="1135" w:type="dxa"/>
          </w:tcPr>
          <w:p w14:paraId="6178C0F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1 720</w:t>
            </w:r>
          </w:p>
        </w:tc>
        <w:tc>
          <w:tcPr>
            <w:tcW w:w="900" w:type="dxa"/>
          </w:tcPr>
          <w:p w14:paraId="709007AA"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41,62</w:t>
            </w:r>
          </w:p>
        </w:tc>
        <w:tc>
          <w:tcPr>
            <w:tcW w:w="2310" w:type="dxa"/>
          </w:tcPr>
          <w:p w14:paraId="6083049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106 (2,50)</w:t>
            </w:r>
          </w:p>
        </w:tc>
      </w:tr>
      <w:tr w:rsidR="006C27A7" w14:paraId="13129F48" w14:textId="77777777" w:rsidTr="005A4807">
        <w:tc>
          <w:tcPr>
            <w:tcW w:w="3261" w:type="dxa"/>
          </w:tcPr>
          <w:p w14:paraId="318CBE50"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7F6DC72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2 : Secondaire</w:t>
            </w:r>
          </w:p>
        </w:tc>
        <w:tc>
          <w:tcPr>
            <w:tcW w:w="1135" w:type="dxa"/>
          </w:tcPr>
          <w:p w14:paraId="317EC11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1 253</w:t>
            </w:r>
          </w:p>
        </w:tc>
        <w:tc>
          <w:tcPr>
            <w:tcW w:w="900" w:type="dxa"/>
          </w:tcPr>
          <w:p w14:paraId="66C294F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30,32</w:t>
            </w:r>
          </w:p>
        </w:tc>
        <w:tc>
          <w:tcPr>
            <w:tcW w:w="2310" w:type="dxa"/>
          </w:tcPr>
          <w:p w14:paraId="51D9294F"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4B5F56CD" w14:textId="77777777" w:rsidTr="005A4807">
        <w:tc>
          <w:tcPr>
            <w:tcW w:w="3261" w:type="dxa"/>
          </w:tcPr>
          <w:p w14:paraId="4C754FFE" w14:textId="77777777" w:rsidR="006C27A7" w:rsidRDefault="006C27A7" w:rsidP="005A4807">
            <w:pPr>
              <w:rPr>
                <w:rFonts w:ascii="Times New Roman" w:eastAsia="Times New Roman" w:hAnsi="Times New Roman" w:cs="Times New Roman"/>
                <w:kern w:val="0"/>
                <w:sz w:val="20"/>
                <w:szCs w:val="20"/>
                <w:lang w:eastAsia="fr-BE"/>
                <w14:ligatures w14:val="none"/>
              </w:rPr>
            </w:pPr>
          </w:p>
        </w:tc>
        <w:tc>
          <w:tcPr>
            <w:tcW w:w="2267" w:type="dxa"/>
          </w:tcPr>
          <w:p w14:paraId="4B8A9E0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3 : Supérieur (Bachelor)</w:t>
            </w:r>
          </w:p>
        </w:tc>
        <w:tc>
          <w:tcPr>
            <w:tcW w:w="1135" w:type="dxa"/>
          </w:tcPr>
          <w:p w14:paraId="1FDCB1A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687</w:t>
            </w:r>
          </w:p>
        </w:tc>
        <w:tc>
          <w:tcPr>
            <w:tcW w:w="900" w:type="dxa"/>
          </w:tcPr>
          <w:p w14:paraId="7098485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16,62</w:t>
            </w:r>
          </w:p>
        </w:tc>
        <w:tc>
          <w:tcPr>
            <w:tcW w:w="2310" w:type="dxa"/>
          </w:tcPr>
          <w:p w14:paraId="1D1BB79A"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46406ECE" w14:textId="77777777" w:rsidTr="005A4807">
        <w:tc>
          <w:tcPr>
            <w:tcW w:w="3261" w:type="dxa"/>
          </w:tcPr>
          <w:p w14:paraId="2391D7BB" w14:textId="77777777" w:rsidR="006C27A7" w:rsidRDefault="006C27A7" w:rsidP="005A4807">
            <w:pPr>
              <w:rPr>
                <w:rFonts w:ascii="Times New Roman" w:eastAsia="Times New Roman" w:hAnsi="Times New Roman" w:cs="Times New Roman"/>
                <w:kern w:val="0"/>
                <w:sz w:val="20"/>
                <w:szCs w:val="20"/>
                <w:lang w:eastAsia="fr-BE"/>
                <w14:ligatures w14:val="none"/>
              </w:rPr>
            </w:pPr>
          </w:p>
        </w:tc>
        <w:tc>
          <w:tcPr>
            <w:tcW w:w="2267" w:type="dxa"/>
          </w:tcPr>
          <w:p w14:paraId="2D0DF1E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4 : Universitaire (Master+)</w:t>
            </w:r>
          </w:p>
        </w:tc>
        <w:tc>
          <w:tcPr>
            <w:tcW w:w="1135" w:type="dxa"/>
          </w:tcPr>
          <w:p w14:paraId="0B071ED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473</w:t>
            </w:r>
          </w:p>
        </w:tc>
        <w:tc>
          <w:tcPr>
            <w:tcW w:w="900" w:type="dxa"/>
          </w:tcPr>
          <w:p w14:paraId="2B37D13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11,44</w:t>
            </w:r>
          </w:p>
        </w:tc>
        <w:tc>
          <w:tcPr>
            <w:tcW w:w="2310" w:type="dxa"/>
          </w:tcPr>
          <w:p w14:paraId="1762D98B"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7A4E1152" w14:textId="77777777" w:rsidTr="005A4807">
        <w:tc>
          <w:tcPr>
            <w:tcW w:w="3261" w:type="dxa"/>
          </w:tcPr>
          <w:p w14:paraId="30E7AF5A"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Fumeur</w:t>
            </w:r>
          </w:p>
        </w:tc>
        <w:tc>
          <w:tcPr>
            <w:tcW w:w="2267" w:type="dxa"/>
          </w:tcPr>
          <w:p w14:paraId="433ED35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Non-fumeur</w:t>
            </w:r>
          </w:p>
        </w:tc>
        <w:tc>
          <w:tcPr>
            <w:tcW w:w="1135" w:type="dxa"/>
          </w:tcPr>
          <w:p w14:paraId="5C3F24B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2 144</w:t>
            </w:r>
          </w:p>
        </w:tc>
        <w:tc>
          <w:tcPr>
            <w:tcW w:w="900" w:type="dxa"/>
          </w:tcPr>
          <w:p w14:paraId="7D709EC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50,59</w:t>
            </w:r>
          </w:p>
        </w:tc>
        <w:tc>
          <w:tcPr>
            <w:tcW w:w="2310" w:type="dxa"/>
          </w:tcPr>
          <w:p w14:paraId="6489174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6C27A7" w14:paraId="7B58E3F2" w14:textId="77777777" w:rsidTr="005A4807">
        <w:tc>
          <w:tcPr>
            <w:tcW w:w="3261" w:type="dxa"/>
          </w:tcPr>
          <w:p w14:paraId="1FFB6888"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0AE5F90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Fumeur</w:t>
            </w:r>
          </w:p>
        </w:tc>
        <w:tc>
          <w:tcPr>
            <w:tcW w:w="1135" w:type="dxa"/>
          </w:tcPr>
          <w:p w14:paraId="33906B26"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2 094</w:t>
            </w:r>
          </w:p>
        </w:tc>
        <w:tc>
          <w:tcPr>
            <w:tcW w:w="900" w:type="dxa"/>
          </w:tcPr>
          <w:p w14:paraId="466B5B3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49,41</w:t>
            </w:r>
          </w:p>
        </w:tc>
        <w:tc>
          <w:tcPr>
            <w:tcW w:w="2310" w:type="dxa"/>
          </w:tcPr>
          <w:p w14:paraId="1F96E842"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5A71D294" w14:textId="77777777" w:rsidTr="005A4807">
        <w:tc>
          <w:tcPr>
            <w:tcW w:w="3261" w:type="dxa"/>
          </w:tcPr>
          <w:p w14:paraId="1C2DAF0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Traitement antihypertenseur</w:t>
            </w:r>
          </w:p>
        </w:tc>
        <w:tc>
          <w:tcPr>
            <w:tcW w:w="2267" w:type="dxa"/>
          </w:tcPr>
          <w:p w14:paraId="1FA1748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1000C4C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4 061</w:t>
            </w:r>
          </w:p>
        </w:tc>
        <w:tc>
          <w:tcPr>
            <w:tcW w:w="900" w:type="dxa"/>
          </w:tcPr>
          <w:p w14:paraId="0889B65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97,04</w:t>
            </w:r>
          </w:p>
        </w:tc>
        <w:tc>
          <w:tcPr>
            <w:tcW w:w="2310" w:type="dxa"/>
          </w:tcPr>
          <w:p w14:paraId="26245230"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54 (1,27)</w:t>
            </w:r>
          </w:p>
        </w:tc>
      </w:tr>
      <w:tr w:rsidR="006C27A7" w14:paraId="1132869F" w14:textId="77777777" w:rsidTr="005A4807">
        <w:tc>
          <w:tcPr>
            <w:tcW w:w="3261" w:type="dxa"/>
          </w:tcPr>
          <w:p w14:paraId="5BA85B1F"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64BC888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2FCF96B0"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124</w:t>
            </w:r>
          </w:p>
        </w:tc>
        <w:tc>
          <w:tcPr>
            <w:tcW w:w="900" w:type="dxa"/>
          </w:tcPr>
          <w:p w14:paraId="49D4B56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2,96</w:t>
            </w:r>
          </w:p>
        </w:tc>
        <w:tc>
          <w:tcPr>
            <w:tcW w:w="2310" w:type="dxa"/>
          </w:tcPr>
          <w:p w14:paraId="003F231C"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2140EC2E" w14:textId="77777777" w:rsidTr="005A4807">
        <w:tc>
          <w:tcPr>
            <w:tcW w:w="3261" w:type="dxa"/>
          </w:tcPr>
          <w:p w14:paraId="5A634400"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Antécédent d’AVC</w:t>
            </w:r>
          </w:p>
        </w:tc>
        <w:tc>
          <w:tcPr>
            <w:tcW w:w="2267" w:type="dxa"/>
          </w:tcPr>
          <w:p w14:paraId="2D348BB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53E10E7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4 213</w:t>
            </w:r>
          </w:p>
        </w:tc>
        <w:tc>
          <w:tcPr>
            <w:tcW w:w="900" w:type="dxa"/>
          </w:tcPr>
          <w:p w14:paraId="7BF42E3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99,41</w:t>
            </w:r>
          </w:p>
        </w:tc>
        <w:tc>
          <w:tcPr>
            <w:tcW w:w="2310" w:type="dxa"/>
          </w:tcPr>
          <w:p w14:paraId="619EB98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6C27A7" w14:paraId="5FAA81A6" w14:textId="77777777" w:rsidTr="005A4807">
        <w:tc>
          <w:tcPr>
            <w:tcW w:w="3261" w:type="dxa"/>
          </w:tcPr>
          <w:p w14:paraId="52B15CA7"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793C587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1B1BD43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w:t>
            </w:r>
          </w:p>
        </w:tc>
        <w:tc>
          <w:tcPr>
            <w:tcW w:w="900" w:type="dxa"/>
          </w:tcPr>
          <w:p w14:paraId="15A8C79A"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0,59</w:t>
            </w:r>
          </w:p>
        </w:tc>
        <w:tc>
          <w:tcPr>
            <w:tcW w:w="2310" w:type="dxa"/>
          </w:tcPr>
          <w:p w14:paraId="06FE2A54"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5F025E9B" w14:textId="77777777" w:rsidTr="005A4807">
        <w:tc>
          <w:tcPr>
            <w:tcW w:w="3261" w:type="dxa"/>
          </w:tcPr>
          <w:p w14:paraId="2B3CB2C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Hypertension</w:t>
            </w:r>
          </w:p>
        </w:tc>
        <w:tc>
          <w:tcPr>
            <w:tcW w:w="2267" w:type="dxa"/>
          </w:tcPr>
          <w:p w14:paraId="52A3E86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75172B9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2 922</w:t>
            </w:r>
          </w:p>
        </w:tc>
        <w:tc>
          <w:tcPr>
            <w:tcW w:w="900" w:type="dxa"/>
          </w:tcPr>
          <w:p w14:paraId="14EFB226"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68,95</w:t>
            </w:r>
          </w:p>
        </w:tc>
        <w:tc>
          <w:tcPr>
            <w:tcW w:w="2310" w:type="dxa"/>
          </w:tcPr>
          <w:p w14:paraId="4A92062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6C27A7" w14:paraId="77C2DE19" w14:textId="77777777" w:rsidTr="005A4807">
        <w:tc>
          <w:tcPr>
            <w:tcW w:w="3261" w:type="dxa"/>
          </w:tcPr>
          <w:p w14:paraId="78F43DBE"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4CF18F4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6A121D9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1 316</w:t>
            </w:r>
          </w:p>
        </w:tc>
        <w:tc>
          <w:tcPr>
            <w:tcW w:w="900" w:type="dxa"/>
          </w:tcPr>
          <w:p w14:paraId="5406D7D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31,05</w:t>
            </w:r>
          </w:p>
        </w:tc>
        <w:tc>
          <w:tcPr>
            <w:tcW w:w="2310" w:type="dxa"/>
          </w:tcPr>
          <w:p w14:paraId="25924737"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7E52302B" w14:textId="77777777" w:rsidTr="005A4807">
        <w:tc>
          <w:tcPr>
            <w:tcW w:w="3261" w:type="dxa"/>
          </w:tcPr>
          <w:p w14:paraId="09CF4C1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Diabète</w:t>
            </w:r>
          </w:p>
        </w:tc>
        <w:tc>
          <w:tcPr>
            <w:tcW w:w="2267" w:type="dxa"/>
          </w:tcPr>
          <w:p w14:paraId="70A79EB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6980DCC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4 129</w:t>
            </w:r>
          </w:p>
        </w:tc>
        <w:tc>
          <w:tcPr>
            <w:tcW w:w="900" w:type="dxa"/>
          </w:tcPr>
          <w:p w14:paraId="0FA363F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97,43</w:t>
            </w:r>
          </w:p>
        </w:tc>
        <w:tc>
          <w:tcPr>
            <w:tcW w:w="2310" w:type="dxa"/>
          </w:tcPr>
          <w:p w14:paraId="0A3DC24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6C27A7" w14:paraId="523DCA0B" w14:textId="77777777" w:rsidTr="005A4807">
        <w:tc>
          <w:tcPr>
            <w:tcW w:w="3261" w:type="dxa"/>
          </w:tcPr>
          <w:p w14:paraId="320EEBCA"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01787C2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063EA60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109</w:t>
            </w:r>
          </w:p>
        </w:tc>
        <w:tc>
          <w:tcPr>
            <w:tcW w:w="900" w:type="dxa"/>
          </w:tcPr>
          <w:p w14:paraId="2C7327B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2,57</w:t>
            </w:r>
          </w:p>
        </w:tc>
        <w:tc>
          <w:tcPr>
            <w:tcW w:w="2310" w:type="dxa"/>
          </w:tcPr>
          <w:p w14:paraId="58C68088" w14:textId="77777777" w:rsidR="006C27A7" w:rsidRDefault="006C27A7" w:rsidP="005A4807">
            <w:pPr>
              <w:rPr>
                <w:rFonts w:ascii="Times New Roman" w:eastAsia="Times New Roman" w:hAnsi="Times New Roman" w:cs="Times New Roman"/>
                <w:kern w:val="0"/>
                <w:lang w:eastAsia="fr-BE"/>
                <w14:ligatures w14:val="none"/>
              </w:rPr>
            </w:pPr>
          </w:p>
        </w:tc>
      </w:tr>
      <w:tr w:rsidR="006C27A7" w14:paraId="7070C139" w14:textId="77777777" w:rsidTr="005A4807">
        <w:tc>
          <w:tcPr>
            <w:tcW w:w="3261" w:type="dxa"/>
          </w:tcPr>
          <w:p w14:paraId="277CE80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Maladie cardiaque à 10 ans</w:t>
            </w:r>
          </w:p>
        </w:tc>
        <w:tc>
          <w:tcPr>
            <w:tcW w:w="2267" w:type="dxa"/>
          </w:tcPr>
          <w:p w14:paraId="7DDF35A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771B30D2"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3 594</w:t>
            </w:r>
          </w:p>
        </w:tc>
        <w:tc>
          <w:tcPr>
            <w:tcW w:w="900" w:type="dxa"/>
          </w:tcPr>
          <w:p w14:paraId="692CD59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84,80</w:t>
            </w:r>
          </w:p>
        </w:tc>
        <w:tc>
          <w:tcPr>
            <w:tcW w:w="2310" w:type="dxa"/>
          </w:tcPr>
          <w:p w14:paraId="780B9C1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6C27A7" w14:paraId="744C20B7" w14:textId="77777777" w:rsidTr="005A4807">
        <w:tc>
          <w:tcPr>
            <w:tcW w:w="3261" w:type="dxa"/>
          </w:tcPr>
          <w:p w14:paraId="30B1AD01" w14:textId="77777777" w:rsidR="006C27A7" w:rsidRDefault="006C27A7" w:rsidP="005A4807">
            <w:pPr>
              <w:rPr>
                <w:rFonts w:ascii="Times New Roman" w:eastAsia="Times New Roman" w:hAnsi="Times New Roman" w:cs="Times New Roman"/>
                <w:kern w:val="0"/>
                <w:lang w:eastAsia="fr-BE"/>
                <w14:ligatures w14:val="none"/>
              </w:rPr>
            </w:pPr>
          </w:p>
        </w:tc>
        <w:tc>
          <w:tcPr>
            <w:tcW w:w="2267" w:type="dxa"/>
          </w:tcPr>
          <w:p w14:paraId="2B46DE9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58D66840"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644</w:t>
            </w:r>
          </w:p>
        </w:tc>
        <w:tc>
          <w:tcPr>
            <w:tcW w:w="900" w:type="dxa"/>
          </w:tcPr>
          <w:p w14:paraId="346A42D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15,20</w:t>
            </w:r>
          </w:p>
        </w:tc>
        <w:tc>
          <w:tcPr>
            <w:tcW w:w="2310" w:type="dxa"/>
          </w:tcPr>
          <w:p w14:paraId="6B92A836" w14:textId="77777777" w:rsidR="006C27A7" w:rsidRDefault="006C27A7" w:rsidP="005A4807">
            <w:pPr>
              <w:rPr>
                <w:rFonts w:ascii="Times New Roman" w:eastAsia="Times New Roman" w:hAnsi="Times New Roman" w:cs="Times New Roman"/>
                <w:kern w:val="0"/>
                <w:lang w:eastAsia="fr-BE"/>
                <w14:ligatures w14:val="none"/>
              </w:rPr>
            </w:pPr>
          </w:p>
        </w:tc>
      </w:tr>
    </w:tbl>
    <w:p w14:paraId="6D6C215C" w14:textId="77777777" w:rsidR="006C27A7" w:rsidRDefault="006C27A7" w:rsidP="006C27A7">
      <w:pPr>
        <w:jc w:val="both"/>
        <w:rPr>
          <w:rFonts w:ascii="Times New Roman" w:hAnsi="Times New Roman" w:cs="Times New Roman"/>
          <w:b/>
          <w:bCs/>
        </w:rPr>
      </w:pPr>
    </w:p>
    <w:p w14:paraId="683983E6" w14:textId="77777777" w:rsidR="006C27A7" w:rsidRDefault="006C27A7" w:rsidP="006C27A7">
      <w:pPr>
        <w:jc w:val="both"/>
        <w:rPr>
          <w:rFonts w:ascii="Times New Roman" w:hAnsi="Times New Roman" w:cs="Times New Roman"/>
          <w:b/>
          <w:bCs/>
        </w:rPr>
      </w:pPr>
      <w:r w:rsidRPr="006C27A7">
        <w:rPr>
          <w:rFonts w:ascii="Times New Roman" w:hAnsi="Times New Roman" w:cs="Times New Roman"/>
          <w:b/>
          <w:bCs/>
        </w:rPr>
        <w:t>Tableau 2. Caractéristiques quantitatives des facteurs de risque cardiovasculaire et taux de valeurs manquantes (N = 4 239)</w:t>
      </w:r>
    </w:p>
    <w:tbl>
      <w:tblPr>
        <w:tblStyle w:val="Grilledutableau"/>
        <w:tblW w:w="10349" w:type="dxa"/>
        <w:tblInd w:w="-431" w:type="dxa"/>
        <w:tblLayout w:type="fixed"/>
        <w:tblLook w:val="04A0" w:firstRow="1" w:lastRow="0" w:firstColumn="1" w:lastColumn="0" w:noHBand="0" w:noVBand="1"/>
      </w:tblPr>
      <w:tblGrid>
        <w:gridCol w:w="2975"/>
        <w:gridCol w:w="695"/>
        <w:gridCol w:w="2483"/>
        <w:gridCol w:w="1545"/>
        <w:gridCol w:w="2651"/>
      </w:tblGrid>
      <w:tr w:rsidR="006C27A7" w14:paraId="71331791" w14:textId="77777777" w:rsidTr="005A4807">
        <w:tc>
          <w:tcPr>
            <w:tcW w:w="2975" w:type="dxa"/>
          </w:tcPr>
          <w:p w14:paraId="6CA505F9"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695" w:type="dxa"/>
          </w:tcPr>
          <w:p w14:paraId="11E31D18"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w:t>
            </w:r>
          </w:p>
        </w:tc>
        <w:tc>
          <w:tcPr>
            <w:tcW w:w="2483" w:type="dxa"/>
          </w:tcPr>
          <w:p w14:paraId="50DFCA1B"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Valeurs manquantes n (%)</w:t>
            </w:r>
          </w:p>
        </w:tc>
        <w:tc>
          <w:tcPr>
            <w:tcW w:w="1545" w:type="dxa"/>
          </w:tcPr>
          <w:p w14:paraId="345943FA"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Moyenne ± ET</w:t>
            </w:r>
          </w:p>
        </w:tc>
        <w:tc>
          <w:tcPr>
            <w:tcW w:w="2651" w:type="dxa"/>
          </w:tcPr>
          <w:p w14:paraId="5F91A350" w14:textId="77777777" w:rsidR="006C27A7" w:rsidRDefault="006C27A7"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Médiane [Q1–Q3]</w:t>
            </w:r>
          </w:p>
        </w:tc>
      </w:tr>
      <w:tr w:rsidR="006C27A7" w14:paraId="0E33BF1A" w14:textId="77777777" w:rsidTr="005A4807">
        <w:tc>
          <w:tcPr>
            <w:tcW w:w="2975" w:type="dxa"/>
          </w:tcPr>
          <w:p w14:paraId="501BF7E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Âge (années)</w:t>
            </w:r>
          </w:p>
        </w:tc>
        <w:tc>
          <w:tcPr>
            <w:tcW w:w="695" w:type="dxa"/>
          </w:tcPr>
          <w:p w14:paraId="5C025E3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61E5432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334D89C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49,6 ± 8,57</w:t>
            </w:r>
          </w:p>
        </w:tc>
        <w:tc>
          <w:tcPr>
            <w:tcW w:w="2651" w:type="dxa"/>
          </w:tcPr>
          <w:p w14:paraId="40AB7EF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 [42–56]</w:t>
            </w:r>
          </w:p>
        </w:tc>
      </w:tr>
      <w:tr w:rsidR="006C27A7" w14:paraId="548A3A3F" w14:textId="77777777" w:rsidTr="005A4807">
        <w:tc>
          <w:tcPr>
            <w:tcW w:w="2975" w:type="dxa"/>
          </w:tcPr>
          <w:p w14:paraId="7237005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Cigarettes/jour</w:t>
            </w:r>
          </w:p>
        </w:tc>
        <w:tc>
          <w:tcPr>
            <w:tcW w:w="695" w:type="dxa"/>
          </w:tcPr>
          <w:p w14:paraId="4314F6C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4 209</w:t>
            </w:r>
          </w:p>
        </w:tc>
        <w:tc>
          <w:tcPr>
            <w:tcW w:w="2483" w:type="dxa"/>
          </w:tcPr>
          <w:p w14:paraId="164BFCC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30 (0,71)</w:t>
            </w:r>
          </w:p>
        </w:tc>
        <w:tc>
          <w:tcPr>
            <w:tcW w:w="1545" w:type="dxa"/>
          </w:tcPr>
          <w:p w14:paraId="7C2DE30A"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9,0 ± 11,92</w:t>
            </w:r>
          </w:p>
        </w:tc>
        <w:tc>
          <w:tcPr>
            <w:tcW w:w="2651" w:type="dxa"/>
          </w:tcPr>
          <w:p w14:paraId="076BFB0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[0–20]</w:t>
            </w:r>
          </w:p>
        </w:tc>
      </w:tr>
      <w:tr w:rsidR="006C27A7" w14:paraId="5E7CEAC1" w14:textId="77777777" w:rsidTr="005A4807">
        <w:tc>
          <w:tcPr>
            <w:tcW w:w="2975" w:type="dxa"/>
          </w:tcPr>
          <w:p w14:paraId="55E962A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Cholestérol total (mg/</w:t>
            </w:r>
            <w:proofErr w:type="spellStart"/>
            <w:r>
              <w:rPr>
                <w:rFonts w:ascii="Times New Roman" w:eastAsia="Times New Roman" w:hAnsi="Times New Roman" w:cs="Times New Roman"/>
                <w:kern w:val="0"/>
                <w:lang w:eastAsia="fr-BE"/>
                <w14:ligatures w14:val="none"/>
              </w:rPr>
              <w:t>dL</w:t>
            </w:r>
            <w:proofErr w:type="spellEnd"/>
            <w:r>
              <w:rPr>
                <w:rFonts w:ascii="Times New Roman" w:eastAsia="Times New Roman" w:hAnsi="Times New Roman" w:cs="Times New Roman"/>
                <w:kern w:val="0"/>
                <w:lang w:eastAsia="fr-BE"/>
                <w14:ligatures w14:val="none"/>
              </w:rPr>
              <w:t>)</w:t>
            </w:r>
          </w:p>
        </w:tc>
        <w:tc>
          <w:tcPr>
            <w:tcW w:w="695" w:type="dxa"/>
          </w:tcPr>
          <w:p w14:paraId="757A3306"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4 188</w:t>
            </w:r>
          </w:p>
        </w:tc>
        <w:tc>
          <w:tcPr>
            <w:tcW w:w="2483" w:type="dxa"/>
          </w:tcPr>
          <w:p w14:paraId="6C045A46"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51 (1,20)</w:t>
            </w:r>
          </w:p>
        </w:tc>
        <w:tc>
          <w:tcPr>
            <w:tcW w:w="1545" w:type="dxa"/>
          </w:tcPr>
          <w:p w14:paraId="7E081B3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236,7 ± 44,59</w:t>
            </w:r>
          </w:p>
        </w:tc>
        <w:tc>
          <w:tcPr>
            <w:tcW w:w="2651" w:type="dxa"/>
          </w:tcPr>
          <w:p w14:paraId="180A4EC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234 [206–263]</w:t>
            </w:r>
          </w:p>
        </w:tc>
      </w:tr>
      <w:tr w:rsidR="006C27A7" w14:paraId="2D6FFD95" w14:textId="77777777" w:rsidTr="005A4807">
        <w:tc>
          <w:tcPr>
            <w:tcW w:w="2975" w:type="dxa"/>
          </w:tcPr>
          <w:p w14:paraId="7946CC5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systolique (</w:t>
            </w:r>
            <w:proofErr w:type="spellStart"/>
            <w:r>
              <w:rPr>
                <w:rFonts w:ascii="Times New Roman" w:eastAsia="Times New Roman" w:hAnsi="Times New Roman" w:cs="Times New Roman"/>
                <w:kern w:val="0"/>
                <w:lang w:eastAsia="fr-BE"/>
                <w14:ligatures w14:val="none"/>
              </w:rPr>
              <w:t>mmHg</w:t>
            </w:r>
            <w:proofErr w:type="spellEnd"/>
            <w:r>
              <w:rPr>
                <w:rFonts w:ascii="Times New Roman" w:eastAsia="Times New Roman" w:hAnsi="Times New Roman" w:cs="Times New Roman"/>
                <w:kern w:val="0"/>
                <w:lang w:eastAsia="fr-BE"/>
                <w14:ligatures w14:val="none"/>
              </w:rPr>
              <w:t>)</w:t>
            </w:r>
          </w:p>
        </w:tc>
        <w:tc>
          <w:tcPr>
            <w:tcW w:w="695" w:type="dxa"/>
          </w:tcPr>
          <w:p w14:paraId="2C1B45A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2D4D171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017B1F34"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132,4 ± 22,0</w:t>
            </w:r>
          </w:p>
        </w:tc>
        <w:tc>
          <w:tcPr>
            <w:tcW w:w="2651" w:type="dxa"/>
          </w:tcPr>
          <w:p w14:paraId="6B68C58F"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128 [117–144]</w:t>
            </w:r>
          </w:p>
        </w:tc>
      </w:tr>
      <w:tr w:rsidR="006C27A7" w14:paraId="33261F67" w14:textId="77777777" w:rsidTr="005A4807">
        <w:tc>
          <w:tcPr>
            <w:tcW w:w="2975" w:type="dxa"/>
          </w:tcPr>
          <w:p w14:paraId="3C5FFB1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diastolique (</w:t>
            </w:r>
            <w:proofErr w:type="spellStart"/>
            <w:r>
              <w:rPr>
                <w:rFonts w:ascii="Times New Roman" w:eastAsia="Times New Roman" w:hAnsi="Times New Roman" w:cs="Times New Roman"/>
                <w:kern w:val="0"/>
                <w:lang w:eastAsia="fr-BE"/>
                <w14:ligatures w14:val="none"/>
              </w:rPr>
              <w:t>mmHg</w:t>
            </w:r>
            <w:proofErr w:type="spellEnd"/>
            <w:r>
              <w:rPr>
                <w:rFonts w:ascii="Times New Roman" w:eastAsia="Times New Roman" w:hAnsi="Times New Roman" w:cs="Times New Roman"/>
                <w:kern w:val="0"/>
                <w:lang w:eastAsia="fr-BE"/>
                <w14:ligatures w14:val="none"/>
              </w:rPr>
              <w:t>)</w:t>
            </w:r>
          </w:p>
        </w:tc>
        <w:tc>
          <w:tcPr>
            <w:tcW w:w="695" w:type="dxa"/>
          </w:tcPr>
          <w:p w14:paraId="4930A9E0"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6AF1CE4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5982E303"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82,9 ± 11,9</w:t>
            </w:r>
          </w:p>
        </w:tc>
        <w:tc>
          <w:tcPr>
            <w:tcW w:w="2651" w:type="dxa"/>
          </w:tcPr>
          <w:p w14:paraId="0D4BE1E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 [75–89,9]</w:t>
            </w:r>
          </w:p>
        </w:tc>
      </w:tr>
      <w:tr w:rsidR="006C27A7" w14:paraId="301BE32C" w14:textId="77777777" w:rsidTr="005A4807">
        <w:tc>
          <w:tcPr>
            <w:tcW w:w="2975" w:type="dxa"/>
          </w:tcPr>
          <w:p w14:paraId="588F8D01"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IMC (kg/m²)</w:t>
            </w:r>
          </w:p>
        </w:tc>
        <w:tc>
          <w:tcPr>
            <w:tcW w:w="695" w:type="dxa"/>
          </w:tcPr>
          <w:p w14:paraId="1621505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4 219</w:t>
            </w:r>
          </w:p>
        </w:tc>
        <w:tc>
          <w:tcPr>
            <w:tcW w:w="2483" w:type="dxa"/>
          </w:tcPr>
          <w:p w14:paraId="1714899B"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20 (0,47)</w:t>
            </w:r>
          </w:p>
        </w:tc>
        <w:tc>
          <w:tcPr>
            <w:tcW w:w="1545" w:type="dxa"/>
          </w:tcPr>
          <w:p w14:paraId="09EFAAE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25,8 ± 4,08</w:t>
            </w:r>
          </w:p>
        </w:tc>
        <w:tc>
          <w:tcPr>
            <w:tcW w:w="2651" w:type="dxa"/>
          </w:tcPr>
          <w:p w14:paraId="4A7CC845"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25,4 [23,1–28,0]</w:t>
            </w:r>
          </w:p>
        </w:tc>
      </w:tr>
      <w:tr w:rsidR="006C27A7" w14:paraId="6D6A8C23" w14:textId="77777777" w:rsidTr="005A4807">
        <w:tc>
          <w:tcPr>
            <w:tcW w:w="2975" w:type="dxa"/>
          </w:tcPr>
          <w:p w14:paraId="38E6DC3C"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Fréquence cardiaque (bpm)</w:t>
            </w:r>
          </w:p>
        </w:tc>
        <w:tc>
          <w:tcPr>
            <w:tcW w:w="695" w:type="dxa"/>
          </w:tcPr>
          <w:p w14:paraId="0B9BCE0E"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4 237</w:t>
            </w:r>
          </w:p>
        </w:tc>
        <w:tc>
          <w:tcPr>
            <w:tcW w:w="2483" w:type="dxa"/>
          </w:tcPr>
          <w:p w14:paraId="733CA3E8"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(0,05)</w:t>
            </w:r>
          </w:p>
        </w:tc>
        <w:tc>
          <w:tcPr>
            <w:tcW w:w="1545" w:type="dxa"/>
          </w:tcPr>
          <w:p w14:paraId="7868FDA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75,9 ± 12,0</w:t>
            </w:r>
          </w:p>
        </w:tc>
        <w:tc>
          <w:tcPr>
            <w:tcW w:w="2651" w:type="dxa"/>
          </w:tcPr>
          <w:p w14:paraId="6ED7F1F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 [68–83]</w:t>
            </w:r>
          </w:p>
        </w:tc>
      </w:tr>
      <w:tr w:rsidR="006C27A7" w14:paraId="3B024FD9" w14:textId="77777777" w:rsidTr="005A4807">
        <w:tc>
          <w:tcPr>
            <w:tcW w:w="2975" w:type="dxa"/>
          </w:tcPr>
          <w:p w14:paraId="2B8EFAD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Glucose (mg/</w:t>
            </w:r>
            <w:proofErr w:type="spellStart"/>
            <w:r>
              <w:rPr>
                <w:rFonts w:ascii="Times New Roman" w:eastAsia="Times New Roman" w:hAnsi="Times New Roman" w:cs="Times New Roman"/>
                <w:kern w:val="0"/>
                <w:lang w:eastAsia="fr-BE"/>
                <w14:ligatures w14:val="none"/>
              </w:rPr>
              <w:t>dL</w:t>
            </w:r>
            <w:proofErr w:type="spellEnd"/>
            <w:r>
              <w:rPr>
                <w:rFonts w:ascii="Times New Roman" w:eastAsia="Times New Roman" w:hAnsi="Times New Roman" w:cs="Times New Roman"/>
                <w:kern w:val="0"/>
                <w:lang w:eastAsia="fr-BE"/>
                <w14:ligatures w14:val="none"/>
              </w:rPr>
              <w:t>)</w:t>
            </w:r>
          </w:p>
        </w:tc>
        <w:tc>
          <w:tcPr>
            <w:tcW w:w="695" w:type="dxa"/>
          </w:tcPr>
          <w:p w14:paraId="273A3279"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3 850</w:t>
            </w:r>
          </w:p>
        </w:tc>
        <w:tc>
          <w:tcPr>
            <w:tcW w:w="2483" w:type="dxa"/>
          </w:tcPr>
          <w:p w14:paraId="7EAF050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389 (9,18)</w:t>
            </w:r>
          </w:p>
        </w:tc>
        <w:tc>
          <w:tcPr>
            <w:tcW w:w="1545" w:type="dxa"/>
          </w:tcPr>
          <w:p w14:paraId="1B61AD4D"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82,0 ± 24,0</w:t>
            </w:r>
          </w:p>
        </w:tc>
        <w:tc>
          <w:tcPr>
            <w:tcW w:w="2651" w:type="dxa"/>
          </w:tcPr>
          <w:p w14:paraId="0D4213E7" w14:textId="77777777" w:rsidR="006C27A7" w:rsidRDefault="006C27A7"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78 [71–87]</w:t>
            </w:r>
          </w:p>
        </w:tc>
      </w:tr>
    </w:tbl>
    <w:p w14:paraId="1668569C" w14:textId="77777777" w:rsidR="006C27A7" w:rsidRDefault="006C27A7" w:rsidP="006C27A7">
      <w:pPr>
        <w:jc w:val="both"/>
        <w:rPr>
          <w:rFonts w:ascii="Times New Roman" w:hAnsi="Times New Roman" w:cs="Times New Roman"/>
          <w:b/>
          <w:bCs/>
        </w:rPr>
      </w:pPr>
    </w:p>
    <w:p w14:paraId="19A53225" w14:textId="77777777" w:rsidR="006C27A7" w:rsidRPr="008B0EA9" w:rsidRDefault="006C27A7" w:rsidP="006C27A7">
      <w:pPr>
        <w:jc w:val="both"/>
        <w:rPr>
          <w:rFonts w:ascii="Times New Roman" w:hAnsi="Times New Roman" w:cs="Times New Roman"/>
          <w:b/>
          <w:bCs/>
        </w:rPr>
      </w:pPr>
      <w:r w:rsidRPr="008B0EA9">
        <w:rPr>
          <w:rFonts w:ascii="Times New Roman" w:hAnsi="Times New Roman" w:cs="Times New Roman"/>
          <w:b/>
          <w:bCs/>
        </w:rPr>
        <w:t>Performances comparatives des modèles</w:t>
      </w:r>
    </w:p>
    <w:p w14:paraId="71816817" w14:textId="77777777" w:rsidR="006C27A7" w:rsidRPr="008B0EA9" w:rsidRDefault="006C27A7" w:rsidP="006C27A7">
      <w:pPr>
        <w:jc w:val="both"/>
        <w:rPr>
          <w:rFonts w:ascii="Times New Roman" w:hAnsi="Times New Roman" w:cs="Times New Roman"/>
        </w:rPr>
      </w:pPr>
      <w:r w:rsidRPr="008B0EA9">
        <w:rPr>
          <w:rFonts w:ascii="Times New Roman" w:hAnsi="Times New Roman" w:cs="Times New Roman"/>
        </w:rPr>
        <w:t xml:space="preserve">Le Tableau 3 présente les performances des différents modèles combinant cinq familles d’algorithmes (régression logistique, SVM, forêts aléatoires, gradient boosting, </w:t>
      </w:r>
      <w:proofErr w:type="spellStart"/>
      <w:r w:rsidRPr="008B0EA9">
        <w:rPr>
          <w:rFonts w:ascii="Times New Roman" w:hAnsi="Times New Roman" w:cs="Times New Roman"/>
        </w:rPr>
        <w:t>XGBoost</w:t>
      </w:r>
      <w:proofErr w:type="spellEnd"/>
      <w:r w:rsidRPr="008B0EA9">
        <w:rPr>
          <w:rFonts w:ascii="Times New Roman" w:hAnsi="Times New Roman" w:cs="Times New Roman"/>
        </w:rPr>
        <w:t>) et quatre configurations de données (A1, A2, B1, B2), évaluées sur le jeu de test conservant une prévalence d’environ 15 % de participants avec événement coronarien à dix ans.</w:t>
      </w:r>
    </w:p>
    <w:p w14:paraId="0C833278" w14:textId="77777777" w:rsidR="006C27A7" w:rsidRPr="008B0EA9" w:rsidRDefault="006C27A7" w:rsidP="006C27A7">
      <w:pPr>
        <w:jc w:val="both"/>
        <w:rPr>
          <w:rFonts w:ascii="Times New Roman" w:hAnsi="Times New Roman" w:cs="Times New Roman"/>
        </w:rPr>
      </w:pPr>
      <w:r w:rsidRPr="008B0EA9">
        <w:rPr>
          <w:rFonts w:ascii="Times New Roman" w:hAnsi="Times New Roman" w:cs="Times New Roman"/>
        </w:rPr>
        <w:lastRenderedPageBreak/>
        <w:t>Lorsque les modèles sont évalués au seuil standard de 0,50 sur des données non rééquilibrées (A1 ou A2), l’accuracy se situe systématiquement autour de 0,83–0,85, mais le rappel de la classe “avec risque réalisé” est très faible, souvent inférieur à 0,10 (par exemple LogReg_A2 : rappel 0,07 ; RF_A1 : 0,008 ; SVM_A2 : 0,054). Cela traduit un comportement très conservateur : la majorité des patients sont classés « sans événement », ce qui maximise la proportion de bonnes classifications globales mais laisse la plupart des événements non détectés.</w:t>
      </w:r>
    </w:p>
    <w:p w14:paraId="2033DFAA" w14:textId="77777777" w:rsidR="006C27A7" w:rsidRPr="008B0EA9" w:rsidRDefault="006C27A7" w:rsidP="006C27A7">
      <w:pPr>
        <w:jc w:val="both"/>
        <w:rPr>
          <w:rFonts w:ascii="Times New Roman" w:hAnsi="Times New Roman" w:cs="Times New Roman"/>
        </w:rPr>
      </w:pPr>
      <w:r w:rsidRPr="008B0EA9">
        <w:rPr>
          <w:rFonts w:ascii="Times New Roman" w:hAnsi="Times New Roman" w:cs="Times New Roman"/>
        </w:rPr>
        <w:t xml:space="preserve">Dès que l’on applique soit un rééquilibrage du jeu d’apprentissage par SMOTE (B1/B2, seuil 0,50), soit un seuil de décision optimisé sur le F1-score (“F1-opt”), on observe une augmentation nette du rappel et du F1-score pour la classe « avec risque réalisé », au prix d’une baisse attendue de l’accuracy. Par exemple, pour la régression logistique, le passage de LogReg_A2 (seuil 0,50) à LogReg_A2 (seuil ≈ 0,15, F1-optimal) fait passer le rappel de 0,07 à 0,605 et le F1 de 0,122 à 0,356, tandis que l’accuracy diminue de 0,848 à 0,667. Des patterns similaires sont observés pour les forêts, le gradient boosting, </w:t>
      </w:r>
      <w:proofErr w:type="spellStart"/>
      <w:r w:rsidRPr="008B0EA9">
        <w:rPr>
          <w:rFonts w:ascii="Times New Roman" w:hAnsi="Times New Roman" w:cs="Times New Roman"/>
        </w:rPr>
        <w:t>XGBoost</w:t>
      </w:r>
      <w:proofErr w:type="spellEnd"/>
      <w:r w:rsidRPr="008B0EA9">
        <w:rPr>
          <w:rFonts w:ascii="Times New Roman" w:hAnsi="Times New Roman" w:cs="Times New Roman"/>
        </w:rPr>
        <w:t xml:space="preserve"> et le SVM lorsqu’on utilise SMOTE ou un seuil optimisé.</w:t>
      </w:r>
    </w:p>
    <w:p w14:paraId="01184DD6" w14:textId="77777777" w:rsidR="006C27A7" w:rsidRDefault="006C27A7" w:rsidP="006C27A7">
      <w:pPr>
        <w:jc w:val="both"/>
        <w:rPr>
          <w:rFonts w:ascii="Times New Roman" w:hAnsi="Times New Roman" w:cs="Times New Roman"/>
        </w:rPr>
      </w:pPr>
      <w:r w:rsidRPr="008B0EA9">
        <w:rPr>
          <w:rFonts w:ascii="Times New Roman" w:hAnsi="Times New Roman" w:cs="Times New Roman"/>
        </w:rPr>
        <w:t xml:space="preserve">Sur l’ensemble des combinaisons, la régression logistique standardisée sans SMOTE, avec seuil optimisé (LogReg_A2 F1-opt) présente le F1 de classe 1 le plus élevé (0,356) et l’un des meilleurs rappels (0,605), avec une AUC-ROC d’environ 0,70 et une AUC-PR autour de 0,29. Les modèles LogReg_B2, RF_A1 (F1-opt), GB_A1 (F1-opt) et XGB_A1 (F1-opt) atteignent des performances proches en termes de rappel ou de F1, mais aucun ne dépasse clairement la combinaison obtenue avec LogReg_A2 F1-opt. On note également que LogReg_A2 F1-opt et LogReg_B2 (SMOTE + </w:t>
      </w:r>
      <w:proofErr w:type="spellStart"/>
      <w:r w:rsidRPr="008B0EA9">
        <w:rPr>
          <w:rFonts w:ascii="Times New Roman" w:hAnsi="Times New Roman" w:cs="Times New Roman"/>
        </w:rPr>
        <w:t>scaling</w:t>
      </w:r>
      <w:proofErr w:type="spellEnd"/>
      <w:r w:rsidRPr="008B0EA9">
        <w:rPr>
          <w:rFonts w:ascii="Times New Roman" w:hAnsi="Times New Roman" w:cs="Times New Roman"/>
        </w:rPr>
        <w:t>, seuil 0,50) aboutissent à des résultats très similaires en termes de rappel, F1, AUC-ROC et AUC-PR.</w:t>
      </w:r>
    </w:p>
    <w:p w14:paraId="1C6EAC63" w14:textId="77777777" w:rsidR="006C27A7" w:rsidRDefault="006C27A7" w:rsidP="006C27A7">
      <w:pPr>
        <w:jc w:val="both"/>
        <w:rPr>
          <w:rFonts w:ascii="Times New Roman" w:hAnsi="Times New Roman" w:cs="Times New Roman"/>
          <w:b/>
          <w:bCs/>
        </w:rPr>
      </w:pPr>
      <w:r w:rsidRPr="008B0EA9">
        <w:rPr>
          <w:rFonts w:ascii="Times New Roman" w:hAnsi="Times New Roman" w:cs="Times New Roman"/>
          <w:b/>
          <w:bCs/>
        </w:rPr>
        <w:t>Tableau 3. Performances des modèles de prédiction du risque coronarien à 10 ans selon l’algorithme, la configuration de données et le seuil de décision (jeu de test, N = 848)</w:t>
      </w:r>
    </w:p>
    <w:tbl>
      <w:tblPr>
        <w:tblStyle w:val="Grilledutableau"/>
        <w:tblW w:w="9873" w:type="dxa"/>
        <w:tblInd w:w="-856" w:type="dxa"/>
        <w:tblLayout w:type="fixed"/>
        <w:tblLook w:val="04A0" w:firstRow="1" w:lastRow="0" w:firstColumn="1" w:lastColumn="0" w:noHBand="0" w:noVBand="1"/>
      </w:tblPr>
      <w:tblGrid>
        <w:gridCol w:w="994"/>
        <w:gridCol w:w="2420"/>
        <w:gridCol w:w="792"/>
        <w:gridCol w:w="1136"/>
        <w:gridCol w:w="878"/>
        <w:gridCol w:w="1110"/>
        <w:gridCol w:w="826"/>
        <w:gridCol w:w="859"/>
        <w:gridCol w:w="858"/>
      </w:tblGrid>
      <w:tr w:rsidR="006C27A7" w14:paraId="7C934922" w14:textId="77777777" w:rsidTr="006C27A7">
        <w:tc>
          <w:tcPr>
            <w:tcW w:w="994" w:type="dxa"/>
          </w:tcPr>
          <w:p w14:paraId="4F3D8B9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Modèle  </w:t>
            </w:r>
          </w:p>
        </w:tc>
        <w:tc>
          <w:tcPr>
            <w:tcW w:w="2420" w:type="dxa"/>
          </w:tcPr>
          <w:p w14:paraId="0721734F"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Configuration                    </w:t>
            </w:r>
          </w:p>
        </w:tc>
        <w:tc>
          <w:tcPr>
            <w:tcW w:w="792" w:type="dxa"/>
          </w:tcPr>
          <w:p w14:paraId="29514171"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Seuil</w:t>
            </w:r>
          </w:p>
        </w:tc>
        <w:tc>
          <w:tcPr>
            <w:tcW w:w="1136" w:type="dxa"/>
          </w:tcPr>
          <w:p w14:paraId="2D48582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Accuracy</w:t>
            </w:r>
          </w:p>
        </w:tc>
        <w:tc>
          <w:tcPr>
            <w:tcW w:w="878" w:type="dxa"/>
          </w:tcPr>
          <w:p w14:paraId="4B6BA52B" w14:textId="77777777" w:rsidR="006C27A7" w:rsidRDefault="006C27A7"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Recall</w:t>
            </w:r>
            <w:proofErr w:type="spellEnd"/>
            <w:r>
              <w:rPr>
                <w:rFonts w:ascii="Times New Roman" w:eastAsia="Times New Roman" w:hAnsi="Times New Roman" w:cs="Times New Roman"/>
                <w:kern w:val="0"/>
                <w:lang w:eastAsia="fr-BE"/>
                <w14:ligatures w14:val="none"/>
              </w:rPr>
              <w:t xml:space="preserve"> cl.1</w:t>
            </w:r>
          </w:p>
        </w:tc>
        <w:tc>
          <w:tcPr>
            <w:tcW w:w="1110" w:type="dxa"/>
          </w:tcPr>
          <w:p w14:paraId="7BAC2EE5" w14:textId="77777777" w:rsidR="006C27A7" w:rsidRDefault="006C27A7"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Precision</w:t>
            </w:r>
            <w:proofErr w:type="spellEnd"/>
            <w:r>
              <w:rPr>
                <w:rFonts w:ascii="Times New Roman" w:eastAsia="Times New Roman" w:hAnsi="Times New Roman" w:cs="Times New Roman"/>
                <w:kern w:val="0"/>
                <w:lang w:eastAsia="fr-BE"/>
                <w14:ligatures w14:val="none"/>
              </w:rPr>
              <w:t xml:space="preserve"> cl.1</w:t>
            </w:r>
          </w:p>
        </w:tc>
        <w:tc>
          <w:tcPr>
            <w:tcW w:w="826" w:type="dxa"/>
          </w:tcPr>
          <w:p w14:paraId="179003F3"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cl.1</w:t>
            </w:r>
          </w:p>
        </w:tc>
        <w:tc>
          <w:tcPr>
            <w:tcW w:w="859" w:type="dxa"/>
          </w:tcPr>
          <w:p w14:paraId="0AF4456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858" w:type="dxa"/>
          </w:tcPr>
          <w:p w14:paraId="5816C513"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r>
      <w:tr w:rsidR="006C27A7" w14:paraId="4F5C3BF3" w14:textId="77777777" w:rsidTr="006C27A7">
        <w:tc>
          <w:tcPr>
            <w:tcW w:w="994" w:type="dxa"/>
          </w:tcPr>
          <w:p w14:paraId="39699862" w14:textId="77777777" w:rsidR="006C27A7" w:rsidRDefault="006C27A7"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LogReg</w:t>
            </w:r>
            <w:proofErr w:type="spellEnd"/>
            <w:r>
              <w:rPr>
                <w:rFonts w:ascii="Times New Roman" w:eastAsia="Times New Roman" w:hAnsi="Times New Roman" w:cs="Times New Roman"/>
                <w:kern w:val="0"/>
                <w:lang w:eastAsia="fr-BE"/>
                <w14:ligatures w14:val="none"/>
              </w:rPr>
              <w:t xml:space="preserve">  </w:t>
            </w:r>
          </w:p>
        </w:tc>
        <w:tc>
          <w:tcPr>
            <w:tcW w:w="2420" w:type="dxa"/>
          </w:tcPr>
          <w:p w14:paraId="2307CB55"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A2, sans SMOTE                  </w:t>
            </w:r>
          </w:p>
        </w:tc>
        <w:tc>
          <w:tcPr>
            <w:tcW w:w="792" w:type="dxa"/>
          </w:tcPr>
          <w:p w14:paraId="7D104CA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75597529"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0,848  </w:t>
            </w:r>
          </w:p>
        </w:tc>
        <w:tc>
          <w:tcPr>
            <w:tcW w:w="878" w:type="dxa"/>
          </w:tcPr>
          <w:p w14:paraId="03F0A5A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0,070     </w:t>
            </w:r>
          </w:p>
        </w:tc>
        <w:tc>
          <w:tcPr>
            <w:tcW w:w="1110" w:type="dxa"/>
          </w:tcPr>
          <w:p w14:paraId="420F9F9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0,500        </w:t>
            </w:r>
          </w:p>
        </w:tc>
        <w:tc>
          <w:tcPr>
            <w:tcW w:w="826" w:type="dxa"/>
          </w:tcPr>
          <w:p w14:paraId="6C6AD00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0,122  </w:t>
            </w:r>
          </w:p>
        </w:tc>
        <w:tc>
          <w:tcPr>
            <w:tcW w:w="859" w:type="dxa"/>
          </w:tcPr>
          <w:p w14:paraId="58BB8AC3"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0,697  </w:t>
            </w:r>
          </w:p>
        </w:tc>
        <w:tc>
          <w:tcPr>
            <w:tcW w:w="858" w:type="dxa"/>
          </w:tcPr>
          <w:p w14:paraId="2DC73C2C"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r>
      <w:tr w:rsidR="006C27A7" w14:paraId="3F38C40A" w14:textId="77777777" w:rsidTr="006C27A7">
        <w:tc>
          <w:tcPr>
            <w:tcW w:w="994" w:type="dxa"/>
          </w:tcPr>
          <w:p w14:paraId="2074BC8F" w14:textId="77777777" w:rsidR="006C27A7" w:rsidRDefault="006C27A7"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LogReg</w:t>
            </w:r>
            <w:proofErr w:type="spellEnd"/>
            <w:r>
              <w:rPr>
                <w:rFonts w:ascii="Times New Roman" w:eastAsia="Times New Roman" w:hAnsi="Times New Roman" w:cs="Times New Roman"/>
                <w:kern w:val="0"/>
                <w:lang w:eastAsia="fr-BE"/>
                <w14:ligatures w14:val="none"/>
              </w:rPr>
              <w:t xml:space="preserve">  </w:t>
            </w:r>
          </w:p>
        </w:tc>
        <w:tc>
          <w:tcPr>
            <w:tcW w:w="2420" w:type="dxa"/>
          </w:tcPr>
          <w:p w14:paraId="3972874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A2, sans SMOTE (F1-opt)         </w:t>
            </w:r>
          </w:p>
        </w:tc>
        <w:tc>
          <w:tcPr>
            <w:tcW w:w="792" w:type="dxa"/>
          </w:tcPr>
          <w:p w14:paraId="79BC73A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0,15 </w:t>
            </w:r>
          </w:p>
        </w:tc>
        <w:tc>
          <w:tcPr>
            <w:tcW w:w="1136" w:type="dxa"/>
          </w:tcPr>
          <w:p w14:paraId="4DADA4BC"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0,667  </w:t>
            </w:r>
          </w:p>
        </w:tc>
        <w:tc>
          <w:tcPr>
            <w:tcW w:w="878" w:type="dxa"/>
          </w:tcPr>
          <w:p w14:paraId="19959CD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0,605     </w:t>
            </w:r>
          </w:p>
        </w:tc>
        <w:tc>
          <w:tcPr>
            <w:tcW w:w="1110" w:type="dxa"/>
          </w:tcPr>
          <w:p w14:paraId="1BAE7DBC"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0,252        </w:t>
            </w:r>
          </w:p>
        </w:tc>
        <w:tc>
          <w:tcPr>
            <w:tcW w:w="826" w:type="dxa"/>
          </w:tcPr>
          <w:p w14:paraId="101A4D6C"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0,356  </w:t>
            </w:r>
          </w:p>
        </w:tc>
        <w:tc>
          <w:tcPr>
            <w:tcW w:w="859" w:type="dxa"/>
          </w:tcPr>
          <w:p w14:paraId="5C18DD95"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0,697  </w:t>
            </w:r>
          </w:p>
        </w:tc>
        <w:tc>
          <w:tcPr>
            <w:tcW w:w="858" w:type="dxa"/>
          </w:tcPr>
          <w:p w14:paraId="40F9838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r>
      <w:tr w:rsidR="006C27A7" w14:paraId="5A91D04F" w14:textId="77777777" w:rsidTr="006C27A7">
        <w:tc>
          <w:tcPr>
            <w:tcW w:w="994" w:type="dxa"/>
          </w:tcPr>
          <w:p w14:paraId="7FC58B38"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roofErr w:type="spellStart"/>
            <w:r>
              <w:rPr>
                <w:rFonts w:ascii="Times New Roman" w:eastAsia="Times New Roman" w:hAnsi="Times New Roman" w:cs="Times New Roman"/>
                <w:kern w:val="0"/>
                <w:lang w:val="en-US" w:eastAsia="fr-BE"/>
                <w14:ligatures w14:val="none"/>
              </w:rPr>
              <w:t>LogReg</w:t>
            </w:r>
            <w:proofErr w:type="spellEnd"/>
            <w:r>
              <w:rPr>
                <w:rFonts w:ascii="Times New Roman" w:eastAsia="Times New Roman" w:hAnsi="Times New Roman" w:cs="Times New Roman"/>
                <w:kern w:val="0"/>
                <w:lang w:val="en-US" w:eastAsia="fr-BE"/>
                <w14:ligatures w14:val="none"/>
              </w:rPr>
              <w:t xml:space="preserve">  </w:t>
            </w:r>
          </w:p>
        </w:tc>
        <w:tc>
          <w:tcPr>
            <w:tcW w:w="2420" w:type="dxa"/>
          </w:tcPr>
          <w:p w14:paraId="587AF082"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B2, SMOTE + scaling             </w:t>
            </w:r>
          </w:p>
        </w:tc>
        <w:tc>
          <w:tcPr>
            <w:tcW w:w="792" w:type="dxa"/>
          </w:tcPr>
          <w:p w14:paraId="7F698D27"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0F5920E2"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0,657  </w:t>
            </w:r>
          </w:p>
        </w:tc>
        <w:tc>
          <w:tcPr>
            <w:tcW w:w="878" w:type="dxa"/>
          </w:tcPr>
          <w:p w14:paraId="694F4090"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0,589     </w:t>
            </w:r>
          </w:p>
        </w:tc>
        <w:tc>
          <w:tcPr>
            <w:tcW w:w="1110" w:type="dxa"/>
          </w:tcPr>
          <w:p w14:paraId="206CB293"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0,242        </w:t>
            </w:r>
          </w:p>
        </w:tc>
        <w:tc>
          <w:tcPr>
            <w:tcW w:w="826" w:type="dxa"/>
          </w:tcPr>
          <w:p w14:paraId="050B7837"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0,343  </w:t>
            </w:r>
          </w:p>
        </w:tc>
        <w:tc>
          <w:tcPr>
            <w:tcW w:w="859" w:type="dxa"/>
          </w:tcPr>
          <w:p w14:paraId="240F7C0C"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0,696  </w:t>
            </w:r>
          </w:p>
        </w:tc>
        <w:tc>
          <w:tcPr>
            <w:tcW w:w="858" w:type="dxa"/>
          </w:tcPr>
          <w:p w14:paraId="01169654"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0,287</w:t>
            </w:r>
          </w:p>
        </w:tc>
      </w:tr>
      <w:tr w:rsidR="006C27A7" w14:paraId="42DD5AC4" w14:textId="77777777" w:rsidTr="006C27A7">
        <w:tc>
          <w:tcPr>
            <w:tcW w:w="994" w:type="dxa"/>
          </w:tcPr>
          <w:p w14:paraId="26F13E98"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2420" w:type="dxa"/>
          </w:tcPr>
          <w:p w14:paraId="0FFB0EA2"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792" w:type="dxa"/>
          </w:tcPr>
          <w:p w14:paraId="2D6D2648"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1136" w:type="dxa"/>
          </w:tcPr>
          <w:p w14:paraId="4F62724B"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78" w:type="dxa"/>
          </w:tcPr>
          <w:p w14:paraId="0EC794CB"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1110" w:type="dxa"/>
          </w:tcPr>
          <w:p w14:paraId="19A3F8A7"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26" w:type="dxa"/>
          </w:tcPr>
          <w:p w14:paraId="4286EE64"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59" w:type="dxa"/>
          </w:tcPr>
          <w:p w14:paraId="4D74565B"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58" w:type="dxa"/>
          </w:tcPr>
          <w:p w14:paraId="0321CDB5"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r>
      <w:tr w:rsidR="006C27A7" w14:paraId="351C9729" w14:textId="77777777" w:rsidTr="006C27A7">
        <w:tc>
          <w:tcPr>
            <w:tcW w:w="994" w:type="dxa"/>
          </w:tcPr>
          <w:p w14:paraId="40EFEC05"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4F3E4BFD"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A2, sans SMOTE                  </w:t>
            </w:r>
          </w:p>
        </w:tc>
        <w:tc>
          <w:tcPr>
            <w:tcW w:w="792" w:type="dxa"/>
          </w:tcPr>
          <w:p w14:paraId="23F61063"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31DF79E3"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0,854  </w:t>
            </w:r>
          </w:p>
        </w:tc>
        <w:tc>
          <w:tcPr>
            <w:tcW w:w="878" w:type="dxa"/>
          </w:tcPr>
          <w:p w14:paraId="6553BDB9"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0,054     </w:t>
            </w:r>
          </w:p>
        </w:tc>
        <w:tc>
          <w:tcPr>
            <w:tcW w:w="1110" w:type="dxa"/>
          </w:tcPr>
          <w:p w14:paraId="58A24E41"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0,779        </w:t>
            </w:r>
          </w:p>
        </w:tc>
        <w:tc>
          <w:tcPr>
            <w:tcW w:w="826" w:type="dxa"/>
          </w:tcPr>
          <w:p w14:paraId="65A0EA9A"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0,101  </w:t>
            </w:r>
          </w:p>
        </w:tc>
        <w:tc>
          <w:tcPr>
            <w:tcW w:w="859" w:type="dxa"/>
          </w:tcPr>
          <w:p w14:paraId="695511BA"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0,563  </w:t>
            </w:r>
          </w:p>
        </w:tc>
        <w:tc>
          <w:tcPr>
            <w:tcW w:w="858" w:type="dxa"/>
          </w:tcPr>
          <w:p w14:paraId="7F95E91A"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0,224</w:t>
            </w:r>
          </w:p>
        </w:tc>
      </w:tr>
      <w:tr w:rsidR="006C27A7" w14:paraId="13BA63E7" w14:textId="77777777" w:rsidTr="006C27A7">
        <w:tc>
          <w:tcPr>
            <w:tcW w:w="994" w:type="dxa"/>
          </w:tcPr>
          <w:p w14:paraId="24DFDE88"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3B68CAB1"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A2, sans SMOTE (F1-opt)         </w:t>
            </w:r>
          </w:p>
        </w:tc>
        <w:tc>
          <w:tcPr>
            <w:tcW w:w="792" w:type="dxa"/>
          </w:tcPr>
          <w:p w14:paraId="3E34C67C"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0,14 </w:t>
            </w:r>
          </w:p>
        </w:tc>
        <w:tc>
          <w:tcPr>
            <w:tcW w:w="1136" w:type="dxa"/>
          </w:tcPr>
          <w:p w14:paraId="09AF6941"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0,689  </w:t>
            </w:r>
          </w:p>
        </w:tc>
        <w:tc>
          <w:tcPr>
            <w:tcW w:w="878" w:type="dxa"/>
          </w:tcPr>
          <w:p w14:paraId="29658CCD"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0,380     </w:t>
            </w:r>
          </w:p>
        </w:tc>
        <w:tc>
          <w:tcPr>
            <w:tcW w:w="1110" w:type="dxa"/>
          </w:tcPr>
          <w:p w14:paraId="37D75211"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0,210        </w:t>
            </w:r>
          </w:p>
        </w:tc>
        <w:tc>
          <w:tcPr>
            <w:tcW w:w="826" w:type="dxa"/>
          </w:tcPr>
          <w:p w14:paraId="5A74157D"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0,271  </w:t>
            </w:r>
          </w:p>
        </w:tc>
        <w:tc>
          <w:tcPr>
            <w:tcW w:w="859" w:type="dxa"/>
          </w:tcPr>
          <w:p w14:paraId="326948E8"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0,563  </w:t>
            </w:r>
          </w:p>
        </w:tc>
        <w:tc>
          <w:tcPr>
            <w:tcW w:w="858" w:type="dxa"/>
          </w:tcPr>
          <w:p w14:paraId="0C1EC6B9"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0,224</w:t>
            </w:r>
          </w:p>
        </w:tc>
      </w:tr>
      <w:tr w:rsidR="006C27A7" w14:paraId="2713AC22" w14:textId="77777777" w:rsidTr="006C27A7">
        <w:tc>
          <w:tcPr>
            <w:tcW w:w="994" w:type="dxa"/>
          </w:tcPr>
          <w:p w14:paraId="70974D56"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777ED3D3"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B2, SMOTE + scaling             </w:t>
            </w:r>
          </w:p>
        </w:tc>
        <w:tc>
          <w:tcPr>
            <w:tcW w:w="792" w:type="dxa"/>
          </w:tcPr>
          <w:p w14:paraId="579141F5"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7A9C3B07"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0,728  </w:t>
            </w:r>
          </w:p>
        </w:tc>
        <w:tc>
          <w:tcPr>
            <w:tcW w:w="878" w:type="dxa"/>
          </w:tcPr>
          <w:p w14:paraId="56917261"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0,380     </w:t>
            </w:r>
          </w:p>
        </w:tc>
        <w:tc>
          <w:tcPr>
            <w:tcW w:w="1110" w:type="dxa"/>
          </w:tcPr>
          <w:p w14:paraId="24DDD060"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0,245        </w:t>
            </w:r>
          </w:p>
        </w:tc>
        <w:tc>
          <w:tcPr>
            <w:tcW w:w="826" w:type="dxa"/>
          </w:tcPr>
          <w:p w14:paraId="6C8FC43F"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0,298  </w:t>
            </w:r>
          </w:p>
        </w:tc>
        <w:tc>
          <w:tcPr>
            <w:tcW w:w="859" w:type="dxa"/>
          </w:tcPr>
          <w:p w14:paraId="626888C4"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0,644  </w:t>
            </w:r>
          </w:p>
        </w:tc>
        <w:tc>
          <w:tcPr>
            <w:tcW w:w="858" w:type="dxa"/>
          </w:tcPr>
          <w:p w14:paraId="5F53A5FC"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0,239</w:t>
            </w:r>
          </w:p>
        </w:tc>
      </w:tr>
      <w:tr w:rsidR="006C27A7" w14:paraId="14DA8941" w14:textId="77777777" w:rsidTr="006C27A7">
        <w:tc>
          <w:tcPr>
            <w:tcW w:w="994" w:type="dxa"/>
          </w:tcPr>
          <w:p w14:paraId="38BF6A4C"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2420" w:type="dxa"/>
          </w:tcPr>
          <w:p w14:paraId="225DA633"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792" w:type="dxa"/>
          </w:tcPr>
          <w:p w14:paraId="7DBDBC07"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1136" w:type="dxa"/>
          </w:tcPr>
          <w:p w14:paraId="72E36003"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78" w:type="dxa"/>
          </w:tcPr>
          <w:p w14:paraId="17E73C84"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1110" w:type="dxa"/>
          </w:tcPr>
          <w:p w14:paraId="1D095D4F"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26" w:type="dxa"/>
          </w:tcPr>
          <w:p w14:paraId="0B4D72E0"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59" w:type="dxa"/>
          </w:tcPr>
          <w:p w14:paraId="353CA051"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c>
          <w:tcPr>
            <w:tcW w:w="858" w:type="dxa"/>
          </w:tcPr>
          <w:p w14:paraId="71DF0BF4" w14:textId="77777777" w:rsidR="006C27A7" w:rsidRDefault="006C27A7" w:rsidP="005A4807">
            <w:pPr>
              <w:spacing w:beforeAutospacing="1"/>
              <w:rPr>
                <w:rFonts w:ascii="Times New Roman" w:eastAsia="Times New Roman" w:hAnsi="Times New Roman" w:cs="Times New Roman"/>
                <w:kern w:val="0"/>
                <w:lang w:val="en-US" w:eastAsia="fr-BE"/>
                <w14:ligatures w14:val="none"/>
              </w:rPr>
            </w:pPr>
          </w:p>
        </w:tc>
      </w:tr>
      <w:tr w:rsidR="006C27A7" w14:paraId="6534AE03" w14:textId="77777777" w:rsidTr="006C27A7">
        <w:tc>
          <w:tcPr>
            <w:tcW w:w="994" w:type="dxa"/>
          </w:tcPr>
          <w:p w14:paraId="1ED02E99"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33986EF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79E5A2D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79A5EDC5"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0,848  </w:t>
            </w:r>
          </w:p>
        </w:tc>
        <w:tc>
          <w:tcPr>
            <w:tcW w:w="878" w:type="dxa"/>
          </w:tcPr>
          <w:p w14:paraId="6D9F9793"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0,008     </w:t>
            </w:r>
          </w:p>
        </w:tc>
        <w:tc>
          <w:tcPr>
            <w:tcW w:w="1110" w:type="dxa"/>
          </w:tcPr>
          <w:p w14:paraId="1E86C9B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0,500        </w:t>
            </w:r>
          </w:p>
        </w:tc>
        <w:tc>
          <w:tcPr>
            <w:tcW w:w="826" w:type="dxa"/>
          </w:tcPr>
          <w:p w14:paraId="33F5D0F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0,015  </w:t>
            </w:r>
          </w:p>
        </w:tc>
        <w:tc>
          <w:tcPr>
            <w:tcW w:w="859" w:type="dxa"/>
          </w:tcPr>
          <w:p w14:paraId="785F73B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0,677  </w:t>
            </w:r>
          </w:p>
        </w:tc>
        <w:tc>
          <w:tcPr>
            <w:tcW w:w="858" w:type="dxa"/>
          </w:tcPr>
          <w:p w14:paraId="00E8273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0,258</w:t>
            </w:r>
          </w:p>
        </w:tc>
      </w:tr>
      <w:tr w:rsidR="006C27A7" w14:paraId="2F385A23" w14:textId="77777777" w:rsidTr="006C27A7">
        <w:tc>
          <w:tcPr>
            <w:tcW w:w="994" w:type="dxa"/>
          </w:tcPr>
          <w:p w14:paraId="310484C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15679E5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43333339"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 </w:t>
            </w:r>
          </w:p>
        </w:tc>
        <w:tc>
          <w:tcPr>
            <w:tcW w:w="1136" w:type="dxa"/>
          </w:tcPr>
          <w:p w14:paraId="1E40D89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0,467  </w:t>
            </w:r>
          </w:p>
        </w:tc>
        <w:tc>
          <w:tcPr>
            <w:tcW w:w="878" w:type="dxa"/>
          </w:tcPr>
          <w:p w14:paraId="38C1EC4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0,845     </w:t>
            </w:r>
          </w:p>
        </w:tc>
        <w:tc>
          <w:tcPr>
            <w:tcW w:w="1110" w:type="dxa"/>
          </w:tcPr>
          <w:p w14:paraId="0291337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0,201        </w:t>
            </w:r>
          </w:p>
        </w:tc>
        <w:tc>
          <w:tcPr>
            <w:tcW w:w="826" w:type="dxa"/>
          </w:tcPr>
          <w:p w14:paraId="176FF20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0,325  </w:t>
            </w:r>
          </w:p>
        </w:tc>
        <w:tc>
          <w:tcPr>
            <w:tcW w:w="859" w:type="dxa"/>
          </w:tcPr>
          <w:p w14:paraId="3CA517A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0,647  </w:t>
            </w:r>
          </w:p>
        </w:tc>
        <w:tc>
          <w:tcPr>
            <w:tcW w:w="858" w:type="dxa"/>
          </w:tcPr>
          <w:p w14:paraId="2488CD4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0,234</w:t>
            </w:r>
          </w:p>
        </w:tc>
      </w:tr>
      <w:tr w:rsidR="006C27A7" w14:paraId="28ED9E3D" w14:textId="77777777" w:rsidTr="006C27A7">
        <w:tc>
          <w:tcPr>
            <w:tcW w:w="994" w:type="dxa"/>
          </w:tcPr>
          <w:p w14:paraId="1FE6CAC8"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73FE1AD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7659AA09"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68DD10F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0,796  </w:t>
            </w:r>
          </w:p>
        </w:tc>
        <w:tc>
          <w:tcPr>
            <w:tcW w:w="878" w:type="dxa"/>
          </w:tcPr>
          <w:p w14:paraId="03E154D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0,171     </w:t>
            </w:r>
          </w:p>
        </w:tc>
        <w:tc>
          <w:tcPr>
            <w:tcW w:w="1110" w:type="dxa"/>
          </w:tcPr>
          <w:p w14:paraId="767F6B0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0,250        </w:t>
            </w:r>
          </w:p>
        </w:tc>
        <w:tc>
          <w:tcPr>
            <w:tcW w:w="826" w:type="dxa"/>
          </w:tcPr>
          <w:p w14:paraId="113ADA78"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0,203  </w:t>
            </w:r>
          </w:p>
        </w:tc>
        <w:tc>
          <w:tcPr>
            <w:tcW w:w="859" w:type="dxa"/>
          </w:tcPr>
          <w:p w14:paraId="19DBF41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0,670  </w:t>
            </w:r>
          </w:p>
        </w:tc>
        <w:tc>
          <w:tcPr>
            <w:tcW w:w="858" w:type="dxa"/>
          </w:tcPr>
          <w:p w14:paraId="2630605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0,253</w:t>
            </w:r>
          </w:p>
        </w:tc>
      </w:tr>
      <w:tr w:rsidR="006C27A7" w14:paraId="0EA6C467" w14:textId="77777777" w:rsidTr="006C27A7">
        <w:tc>
          <w:tcPr>
            <w:tcW w:w="994" w:type="dxa"/>
          </w:tcPr>
          <w:p w14:paraId="3EDC4474"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2420" w:type="dxa"/>
          </w:tcPr>
          <w:p w14:paraId="233AFC1F"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792" w:type="dxa"/>
          </w:tcPr>
          <w:p w14:paraId="28E6ECE8"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1136" w:type="dxa"/>
          </w:tcPr>
          <w:p w14:paraId="3E1B4A3C"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78" w:type="dxa"/>
          </w:tcPr>
          <w:p w14:paraId="37FBC45A"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1110" w:type="dxa"/>
          </w:tcPr>
          <w:p w14:paraId="50A88164"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26" w:type="dxa"/>
          </w:tcPr>
          <w:p w14:paraId="6B78CB38"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59" w:type="dxa"/>
          </w:tcPr>
          <w:p w14:paraId="141900C8"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58" w:type="dxa"/>
          </w:tcPr>
          <w:p w14:paraId="1E3FBF9E"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r>
      <w:tr w:rsidR="006C27A7" w14:paraId="6DD9B3D0" w14:textId="77777777" w:rsidTr="006C27A7">
        <w:tc>
          <w:tcPr>
            <w:tcW w:w="994" w:type="dxa"/>
          </w:tcPr>
          <w:p w14:paraId="2EC95925"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7D6D9CF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712C406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49AF3C3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0,836  </w:t>
            </w:r>
          </w:p>
        </w:tc>
        <w:tc>
          <w:tcPr>
            <w:tcW w:w="878" w:type="dxa"/>
          </w:tcPr>
          <w:p w14:paraId="62A67FA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0,070     </w:t>
            </w:r>
          </w:p>
        </w:tc>
        <w:tc>
          <w:tcPr>
            <w:tcW w:w="1110" w:type="dxa"/>
          </w:tcPr>
          <w:p w14:paraId="287CB3F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0,321        </w:t>
            </w:r>
          </w:p>
        </w:tc>
        <w:tc>
          <w:tcPr>
            <w:tcW w:w="826" w:type="dxa"/>
          </w:tcPr>
          <w:p w14:paraId="5310D35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0,115  </w:t>
            </w:r>
          </w:p>
        </w:tc>
        <w:tc>
          <w:tcPr>
            <w:tcW w:w="859" w:type="dxa"/>
          </w:tcPr>
          <w:p w14:paraId="47886475"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0,664  </w:t>
            </w:r>
          </w:p>
        </w:tc>
        <w:tc>
          <w:tcPr>
            <w:tcW w:w="858" w:type="dxa"/>
          </w:tcPr>
          <w:p w14:paraId="5682AAA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0,247</w:t>
            </w:r>
          </w:p>
        </w:tc>
      </w:tr>
      <w:tr w:rsidR="006C27A7" w14:paraId="630A8E5F" w14:textId="77777777" w:rsidTr="006C27A7">
        <w:tc>
          <w:tcPr>
            <w:tcW w:w="994" w:type="dxa"/>
          </w:tcPr>
          <w:p w14:paraId="53D4290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GB      </w:t>
            </w:r>
          </w:p>
        </w:tc>
        <w:tc>
          <w:tcPr>
            <w:tcW w:w="2420" w:type="dxa"/>
          </w:tcPr>
          <w:p w14:paraId="0D36ABC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056836D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0,11 </w:t>
            </w:r>
          </w:p>
        </w:tc>
        <w:tc>
          <w:tcPr>
            <w:tcW w:w="1136" w:type="dxa"/>
          </w:tcPr>
          <w:p w14:paraId="0A0D08F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0,568  </w:t>
            </w:r>
          </w:p>
        </w:tc>
        <w:tc>
          <w:tcPr>
            <w:tcW w:w="878" w:type="dxa"/>
          </w:tcPr>
          <w:p w14:paraId="311D8EF3"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0,752     </w:t>
            </w:r>
          </w:p>
        </w:tc>
        <w:tc>
          <w:tcPr>
            <w:tcW w:w="1110" w:type="dxa"/>
          </w:tcPr>
          <w:p w14:paraId="5601C1F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0,225        </w:t>
            </w:r>
          </w:p>
        </w:tc>
        <w:tc>
          <w:tcPr>
            <w:tcW w:w="826" w:type="dxa"/>
          </w:tcPr>
          <w:p w14:paraId="1C7BEC3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0,346  </w:t>
            </w:r>
          </w:p>
        </w:tc>
        <w:tc>
          <w:tcPr>
            <w:tcW w:w="859" w:type="dxa"/>
          </w:tcPr>
          <w:p w14:paraId="5921C3A2"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0,672  </w:t>
            </w:r>
          </w:p>
        </w:tc>
        <w:tc>
          <w:tcPr>
            <w:tcW w:w="858" w:type="dxa"/>
          </w:tcPr>
          <w:p w14:paraId="7F5B0CE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0,259</w:t>
            </w:r>
          </w:p>
        </w:tc>
      </w:tr>
      <w:tr w:rsidR="006C27A7" w14:paraId="7F79E459" w14:textId="77777777" w:rsidTr="006C27A7">
        <w:tc>
          <w:tcPr>
            <w:tcW w:w="994" w:type="dxa"/>
          </w:tcPr>
          <w:p w14:paraId="2704C2F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7CB8E34F"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5BF53C8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6A1F86A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0,805  </w:t>
            </w:r>
          </w:p>
        </w:tc>
        <w:tc>
          <w:tcPr>
            <w:tcW w:w="878" w:type="dxa"/>
          </w:tcPr>
          <w:p w14:paraId="567E2B7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0,124     </w:t>
            </w:r>
          </w:p>
        </w:tc>
        <w:tc>
          <w:tcPr>
            <w:tcW w:w="1110" w:type="dxa"/>
          </w:tcPr>
          <w:p w14:paraId="4156F3F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0,235        </w:t>
            </w:r>
          </w:p>
        </w:tc>
        <w:tc>
          <w:tcPr>
            <w:tcW w:w="826" w:type="dxa"/>
          </w:tcPr>
          <w:p w14:paraId="3FD9FBE2"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0,162  </w:t>
            </w:r>
          </w:p>
        </w:tc>
        <w:tc>
          <w:tcPr>
            <w:tcW w:w="859" w:type="dxa"/>
          </w:tcPr>
          <w:p w14:paraId="28A0ECF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0,641  </w:t>
            </w:r>
          </w:p>
        </w:tc>
        <w:tc>
          <w:tcPr>
            <w:tcW w:w="858" w:type="dxa"/>
          </w:tcPr>
          <w:p w14:paraId="40AE72E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0,226</w:t>
            </w:r>
          </w:p>
        </w:tc>
      </w:tr>
      <w:tr w:rsidR="006C27A7" w14:paraId="035132C3" w14:textId="77777777" w:rsidTr="006C27A7">
        <w:tc>
          <w:tcPr>
            <w:tcW w:w="994" w:type="dxa"/>
          </w:tcPr>
          <w:p w14:paraId="023A1688"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2420" w:type="dxa"/>
          </w:tcPr>
          <w:p w14:paraId="097F1DFA"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792" w:type="dxa"/>
          </w:tcPr>
          <w:p w14:paraId="6CADA6A2"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1136" w:type="dxa"/>
          </w:tcPr>
          <w:p w14:paraId="5CDE8921"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78" w:type="dxa"/>
          </w:tcPr>
          <w:p w14:paraId="603FA475"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1110" w:type="dxa"/>
          </w:tcPr>
          <w:p w14:paraId="049504CF"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26" w:type="dxa"/>
          </w:tcPr>
          <w:p w14:paraId="63E626AE"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59" w:type="dxa"/>
          </w:tcPr>
          <w:p w14:paraId="0F66C4DE"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c>
          <w:tcPr>
            <w:tcW w:w="858" w:type="dxa"/>
          </w:tcPr>
          <w:p w14:paraId="749B4273" w14:textId="77777777" w:rsidR="006C27A7" w:rsidRDefault="006C27A7" w:rsidP="005A4807">
            <w:pPr>
              <w:spacing w:beforeAutospacing="1"/>
              <w:rPr>
                <w:rFonts w:ascii="Times New Roman" w:eastAsia="Times New Roman" w:hAnsi="Times New Roman" w:cs="Times New Roman"/>
                <w:kern w:val="0"/>
                <w:lang w:eastAsia="fr-BE"/>
                <w14:ligatures w14:val="none"/>
              </w:rPr>
            </w:pPr>
          </w:p>
        </w:tc>
      </w:tr>
      <w:tr w:rsidR="006C27A7" w14:paraId="37641C11" w14:textId="77777777" w:rsidTr="006C27A7">
        <w:tc>
          <w:tcPr>
            <w:tcW w:w="994" w:type="dxa"/>
          </w:tcPr>
          <w:p w14:paraId="5D15156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0CE374A8"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0CFEFFC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2DA7A90C"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0,835  </w:t>
            </w:r>
          </w:p>
        </w:tc>
        <w:tc>
          <w:tcPr>
            <w:tcW w:w="878" w:type="dxa"/>
          </w:tcPr>
          <w:p w14:paraId="140D01D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0,093     </w:t>
            </w:r>
          </w:p>
        </w:tc>
        <w:tc>
          <w:tcPr>
            <w:tcW w:w="1110" w:type="dxa"/>
          </w:tcPr>
          <w:p w14:paraId="520C255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0,343        </w:t>
            </w:r>
          </w:p>
        </w:tc>
        <w:tc>
          <w:tcPr>
            <w:tcW w:w="826" w:type="dxa"/>
          </w:tcPr>
          <w:p w14:paraId="37024A9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0,146  </w:t>
            </w:r>
          </w:p>
        </w:tc>
        <w:tc>
          <w:tcPr>
            <w:tcW w:w="859" w:type="dxa"/>
          </w:tcPr>
          <w:p w14:paraId="6DF4223F"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0,656  </w:t>
            </w:r>
          </w:p>
        </w:tc>
        <w:tc>
          <w:tcPr>
            <w:tcW w:w="858" w:type="dxa"/>
          </w:tcPr>
          <w:p w14:paraId="49D2CF3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0,247</w:t>
            </w:r>
          </w:p>
        </w:tc>
      </w:tr>
      <w:tr w:rsidR="006C27A7" w14:paraId="55E61BD1" w14:textId="77777777" w:rsidTr="006C27A7">
        <w:tc>
          <w:tcPr>
            <w:tcW w:w="994" w:type="dxa"/>
          </w:tcPr>
          <w:p w14:paraId="16957CAA"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7FDC39FB"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3EA9432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 </w:t>
            </w:r>
          </w:p>
        </w:tc>
        <w:tc>
          <w:tcPr>
            <w:tcW w:w="1136" w:type="dxa"/>
          </w:tcPr>
          <w:p w14:paraId="7E82EBE3"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0,528  </w:t>
            </w:r>
          </w:p>
        </w:tc>
        <w:tc>
          <w:tcPr>
            <w:tcW w:w="878" w:type="dxa"/>
          </w:tcPr>
          <w:p w14:paraId="7FA05BCC"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0,736     </w:t>
            </w:r>
          </w:p>
        </w:tc>
        <w:tc>
          <w:tcPr>
            <w:tcW w:w="1110" w:type="dxa"/>
          </w:tcPr>
          <w:p w14:paraId="45EE968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0,206        </w:t>
            </w:r>
          </w:p>
        </w:tc>
        <w:tc>
          <w:tcPr>
            <w:tcW w:w="826" w:type="dxa"/>
          </w:tcPr>
          <w:p w14:paraId="6D115E6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0,322  </w:t>
            </w:r>
          </w:p>
        </w:tc>
        <w:tc>
          <w:tcPr>
            <w:tcW w:w="859" w:type="dxa"/>
          </w:tcPr>
          <w:p w14:paraId="4E60944D"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0,642  </w:t>
            </w:r>
          </w:p>
        </w:tc>
        <w:tc>
          <w:tcPr>
            <w:tcW w:w="858" w:type="dxa"/>
          </w:tcPr>
          <w:p w14:paraId="6A262F01"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0,237</w:t>
            </w:r>
          </w:p>
        </w:tc>
      </w:tr>
      <w:tr w:rsidR="006C27A7" w14:paraId="1E0EC928" w14:textId="77777777" w:rsidTr="006C27A7">
        <w:tc>
          <w:tcPr>
            <w:tcW w:w="994" w:type="dxa"/>
          </w:tcPr>
          <w:p w14:paraId="77C614B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05149622"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01D042F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2DA4A796"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0,807  </w:t>
            </w:r>
          </w:p>
        </w:tc>
        <w:tc>
          <w:tcPr>
            <w:tcW w:w="878" w:type="dxa"/>
          </w:tcPr>
          <w:p w14:paraId="20BDFA64"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0,132     </w:t>
            </w:r>
          </w:p>
        </w:tc>
        <w:tc>
          <w:tcPr>
            <w:tcW w:w="1110" w:type="dxa"/>
          </w:tcPr>
          <w:p w14:paraId="333B9117"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0,246        </w:t>
            </w:r>
          </w:p>
        </w:tc>
        <w:tc>
          <w:tcPr>
            <w:tcW w:w="826" w:type="dxa"/>
          </w:tcPr>
          <w:p w14:paraId="0F39F321"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0,172  </w:t>
            </w:r>
          </w:p>
        </w:tc>
        <w:tc>
          <w:tcPr>
            <w:tcW w:w="859" w:type="dxa"/>
          </w:tcPr>
          <w:p w14:paraId="3D30EF50"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0,648  </w:t>
            </w:r>
          </w:p>
        </w:tc>
        <w:tc>
          <w:tcPr>
            <w:tcW w:w="858" w:type="dxa"/>
          </w:tcPr>
          <w:p w14:paraId="19599DFE" w14:textId="77777777" w:rsidR="006C27A7" w:rsidRDefault="006C27A7"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0,226</w:t>
            </w:r>
          </w:p>
        </w:tc>
      </w:tr>
    </w:tbl>
    <w:p w14:paraId="765034F2" w14:textId="77777777" w:rsidR="006C27A7" w:rsidRDefault="006C27A7" w:rsidP="006C27A7">
      <w:pPr>
        <w:jc w:val="both"/>
        <w:rPr>
          <w:rFonts w:ascii="Times New Roman" w:hAnsi="Times New Roman" w:cs="Times New Roman"/>
        </w:rPr>
      </w:pPr>
      <w:r w:rsidRPr="008B0EA9">
        <w:rPr>
          <w:rFonts w:ascii="Times New Roman" w:hAnsi="Times New Roman" w:cs="Times New Roman"/>
        </w:rPr>
        <w:t>Note : Les performances sont calculées sur le jeu de test (N = 848), conservé dans sa distribution naturelle d’environ 15 % d’événements coronariens. La classe positive correspond à la survenue d’un événement à dix ans (risque_chd_10ans = 1). Les modèles dits “F1-opt” sont évalués avec un seuil de probabilité choisi a posteriori pour maximiser le F1-score de la classe 1, tandis que les autres configurations utilisent le seuil conventionnel de 0,50. Les métriques AUC-ROC et AUC-PR sont indépendantes du seuil et reflètent la capacité de discrimination globale du modèle sur l’ensemble des seuils possibles.</w:t>
      </w:r>
    </w:p>
    <w:p w14:paraId="5997863C" w14:textId="77777777" w:rsidR="009754D5" w:rsidRPr="00B75B34" w:rsidRDefault="009754D5" w:rsidP="009754D5">
      <w:pPr>
        <w:jc w:val="both"/>
        <w:rPr>
          <w:rFonts w:ascii="Times New Roman" w:hAnsi="Times New Roman" w:cs="Times New Roman"/>
          <w:b/>
          <w:bCs/>
        </w:rPr>
      </w:pPr>
      <w:r w:rsidRPr="00B75B34">
        <w:rPr>
          <w:rFonts w:ascii="Times New Roman" w:hAnsi="Times New Roman" w:cs="Times New Roman"/>
          <w:b/>
          <w:bCs/>
        </w:rPr>
        <w:t>Modèle final : régression logistique A2 (seuil 0,15)</w:t>
      </w:r>
    </w:p>
    <w:p w14:paraId="2505978C" w14:textId="77777777" w:rsidR="009754D5" w:rsidRPr="00B75B34" w:rsidRDefault="009754D5" w:rsidP="009754D5">
      <w:pPr>
        <w:jc w:val="both"/>
        <w:rPr>
          <w:rFonts w:ascii="Times New Roman" w:hAnsi="Times New Roman" w:cs="Times New Roman"/>
          <w:b/>
          <w:bCs/>
        </w:rPr>
      </w:pPr>
      <w:r w:rsidRPr="00B75B34">
        <w:rPr>
          <w:rFonts w:ascii="Times New Roman" w:hAnsi="Times New Roman" w:cs="Times New Roman"/>
          <w:b/>
          <w:bCs/>
        </w:rPr>
        <w:t xml:space="preserve">Performance globale </w:t>
      </w:r>
    </w:p>
    <w:p w14:paraId="522DACB9" w14:textId="5C0F0203" w:rsidR="009754D5" w:rsidRPr="00B75B34" w:rsidRDefault="009754D5" w:rsidP="009754D5">
      <w:pPr>
        <w:jc w:val="both"/>
        <w:rPr>
          <w:rFonts w:ascii="Times New Roman" w:hAnsi="Times New Roman" w:cs="Times New Roman"/>
        </w:rPr>
      </w:pPr>
      <w:r w:rsidRPr="00B75B34">
        <w:rPr>
          <w:rFonts w:ascii="Times New Roman" w:hAnsi="Times New Roman" w:cs="Times New Roman"/>
        </w:rPr>
        <w:t>Au seuil de décision fixé à 0,15, le modèle final de régression logistique (LogReg_A2) atteint une accuracy globale de 0,667 sur le jeu de test (N = 848). Pour la classe « avec risque réalisé » (événement coronarien à dix ans), le rappel est de 0,605, ce qui signifie qu’un peu plus de 60 % des participants ayant présenté un événement sont correctement identifiés comme « à risque ». La précision associée à cette classe est de 0,252, indiquant qu’environ un quart des patients classés « à risque » présentent effectivement un événement. Le F1-score de la classe 1 est de 0,356, synthétisant ce compromis entre rappel et précision dans un contexte de prévalence basse (~15 %).</w:t>
      </w:r>
    </w:p>
    <w:p w14:paraId="3D48103F" w14:textId="77777777" w:rsidR="009754D5" w:rsidRDefault="009754D5" w:rsidP="009754D5">
      <w:pPr>
        <w:jc w:val="both"/>
        <w:rPr>
          <w:rFonts w:ascii="Times New Roman" w:hAnsi="Times New Roman" w:cs="Times New Roman"/>
        </w:rPr>
      </w:pPr>
      <w:r w:rsidRPr="00B75B34">
        <w:rPr>
          <w:rFonts w:ascii="Times New Roman" w:hAnsi="Times New Roman" w:cs="Times New Roman"/>
        </w:rPr>
        <w:t>Les mesures de discrimination globale montrent une AUC-ROC de 0,697 et une AUC-PR de 0,290, ce qui traduit une capacité de séparation modérée entre participants avec et sans événement. Le Brier score de 0,122 reflète une qualité globalement correcte des probabilités prédictives sur ce jeu de test.</w:t>
      </w:r>
    </w:p>
    <w:p w14:paraId="10A40EF7" w14:textId="77777777" w:rsidR="009754D5" w:rsidRDefault="009754D5" w:rsidP="009754D5">
      <w:pPr>
        <w:jc w:val="both"/>
        <w:rPr>
          <w:rFonts w:ascii="Times New Roman" w:hAnsi="Times New Roman" w:cs="Times New Roman"/>
        </w:rPr>
      </w:pPr>
      <w:r w:rsidRPr="008B0EA9">
        <w:rPr>
          <w:rFonts w:ascii="Times New Roman" w:hAnsi="Times New Roman" w:cs="Times New Roman"/>
        </w:rPr>
        <w:t>Tableau</w:t>
      </w:r>
      <w:r>
        <w:rPr>
          <w:rFonts w:ascii="Times New Roman" w:hAnsi="Times New Roman" w:cs="Times New Roman"/>
        </w:rPr>
        <w:t xml:space="preserve"> </w:t>
      </w:r>
      <w:r w:rsidRPr="008B0EA9">
        <w:rPr>
          <w:rFonts w:ascii="Times New Roman" w:hAnsi="Times New Roman" w:cs="Times New Roman"/>
        </w:rPr>
        <w:t>Performance du modèle final de régression logistique (LogReg_A2) au seuil de décision 0,15 sur le jeu de test (N = 848)</w:t>
      </w:r>
    </w:p>
    <w:tbl>
      <w:tblPr>
        <w:tblStyle w:val="Grilledutableau"/>
        <w:tblW w:w="9022" w:type="dxa"/>
        <w:tblLook w:val="04A0" w:firstRow="1" w:lastRow="0" w:firstColumn="1" w:lastColumn="0" w:noHBand="0" w:noVBand="1"/>
      </w:tblPr>
      <w:tblGrid>
        <w:gridCol w:w="990"/>
        <w:gridCol w:w="723"/>
        <w:gridCol w:w="1189"/>
        <w:gridCol w:w="1019"/>
        <w:gridCol w:w="1326"/>
        <w:gridCol w:w="811"/>
        <w:gridCol w:w="1026"/>
        <w:gridCol w:w="942"/>
        <w:gridCol w:w="996"/>
      </w:tblGrid>
      <w:tr w:rsidR="009754D5" w:rsidRPr="008B0EA9" w14:paraId="30B26ECD" w14:textId="77777777" w:rsidTr="005A4807">
        <w:tc>
          <w:tcPr>
            <w:tcW w:w="0" w:type="auto"/>
            <w:hideMark/>
          </w:tcPr>
          <w:p w14:paraId="76F914BB"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Modèle</w:t>
            </w:r>
          </w:p>
        </w:tc>
        <w:tc>
          <w:tcPr>
            <w:tcW w:w="0" w:type="auto"/>
            <w:hideMark/>
          </w:tcPr>
          <w:p w14:paraId="4C9D36BB"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Seuil</w:t>
            </w:r>
          </w:p>
        </w:tc>
        <w:tc>
          <w:tcPr>
            <w:tcW w:w="0" w:type="auto"/>
            <w:hideMark/>
          </w:tcPr>
          <w:p w14:paraId="464973E2"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Accuracy</w:t>
            </w:r>
          </w:p>
        </w:tc>
        <w:tc>
          <w:tcPr>
            <w:tcW w:w="0" w:type="auto"/>
            <w:hideMark/>
          </w:tcPr>
          <w:p w14:paraId="0AEF77AD"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proofErr w:type="spellStart"/>
            <w:r w:rsidRPr="008B0EA9">
              <w:rPr>
                <w:rFonts w:ascii="Times New Roman" w:eastAsia="Times New Roman" w:hAnsi="Times New Roman" w:cs="Times New Roman"/>
                <w:b/>
                <w:bCs/>
                <w:kern w:val="0"/>
                <w:lang w:eastAsia="fr-BE"/>
                <w14:ligatures w14:val="none"/>
              </w:rPr>
              <w:t>Recall</w:t>
            </w:r>
            <w:proofErr w:type="spellEnd"/>
            <w:r w:rsidRPr="008B0EA9">
              <w:rPr>
                <w:rFonts w:ascii="Times New Roman" w:eastAsia="Times New Roman" w:hAnsi="Times New Roman" w:cs="Times New Roman"/>
                <w:b/>
                <w:bCs/>
                <w:kern w:val="0"/>
                <w:lang w:eastAsia="fr-BE"/>
                <w14:ligatures w14:val="none"/>
              </w:rPr>
              <w:t xml:space="preserve"> cl.1</w:t>
            </w:r>
          </w:p>
        </w:tc>
        <w:tc>
          <w:tcPr>
            <w:tcW w:w="0" w:type="auto"/>
            <w:hideMark/>
          </w:tcPr>
          <w:p w14:paraId="1FCEE1C5"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proofErr w:type="spellStart"/>
            <w:r w:rsidRPr="008B0EA9">
              <w:rPr>
                <w:rFonts w:ascii="Times New Roman" w:eastAsia="Times New Roman" w:hAnsi="Times New Roman" w:cs="Times New Roman"/>
                <w:b/>
                <w:bCs/>
                <w:kern w:val="0"/>
                <w:lang w:eastAsia="fr-BE"/>
                <w14:ligatures w14:val="none"/>
              </w:rPr>
              <w:t>Precision</w:t>
            </w:r>
            <w:proofErr w:type="spellEnd"/>
            <w:r w:rsidRPr="008B0EA9">
              <w:rPr>
                <w:rFonts w:ascii="Times New Roman" w:eastAsia="Times New Roman" w:hAnsi="Times New Roman" w:cs="Times New Roman"/>
                <w:b/>
                <w:bCs/>
                <w:kern w:val="0"/>
                <w:lang w:eastAsia="fr-BE"/>
                <w14:ligatures w14:val="none"/>
              </w:rPr>
              <w:t xml:space="preserve"> cl.1</w:t>
            </w:r>
          </w:p>
        </w:tc>
        <w:tc>
          <w:tcPr>
            <w:tcW w:w="0" w:type="auto"/>
            <w:hideMark/>
          </w:tcPr>
          <w:p w14:paraId="5EB805B3"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F1 cl.1</w:t>
            </w:r>
          </w:p>
        </w:tc>
        <w:tc>
          <w:tcPr>
            <w:tcW w:w="0" w:type="auto"/>
            <w:hideMark/>
          </w:tcPr>
          <w:p w14:paraId="54BF9AA3"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AUC-ROC</w:t>
            </w:r>
          </w:p>
        </w:tc>
        <w:tc>
          <w:tcPr>
            <w:tcW w:w="0" w:type="auto"/>
            <w:hideMark/>
          </w:tcPr>
          <w:p w14:paraId="559C4DA8"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AUC-PR</w:t>
            </w:r>
          </w:p>
        </w:tc>
        <w:tc>
          <w:tcPr>
            <w:tcW w:w="0" w:type="auto"/>
            <w:hideMark/>
          </w:tcPr>
          <w:p w14:paraId="685C1C31" w14:textId="77777777" w:rsidR="009754D5" w:rsidRPr="008B0EA9" w:rsidRDefault="009754D5" w:rsidP="005A4807">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Brier score</w:t>
            </w:r>
          </w:p>
        </w:tc>
      </w:tr>
      <w:tr w:rsidR="009754D5" w:rsidRPr="008B0EA9" w14:paraId="58652824" w14:textId="77777777" w:rsidTr="005A4807">
        <w:tc>
          <w:tcPr>
            <w:tcW w:w="0" w:type="auto"/>
            <w:hideMark/>
          </w:tcPr>
          <w:p w14:paraId="485170A2" w14:textId="77777777" w:rsidR="009754D5" w:rsidRPr="008B0EA9" w:rsidRDefault="009754D5" w:rsidP="005A4807">
            <w:pPr>
              <w:rPr>
                <w:rFonts w:ascii="Times New Roman" w:eastAsia="Times New Roman" w:hAnsi="Times New Roman" w:cs="Times New Roman"/>
                <w:kern w:val="0"/>
                <w:lang w:eastAsia="fr-BE"/>
                <w14:ligatures w14:val="none"/>
              </w:rPr>
            </w:pPr>
            <w:proofErr w:type="spellStart"/>
            <w:r w:rsidRPr="008B0EA9">
              <w:rPr>
                <w:rFonts w:ascii="Times New Roman" w:eastAsia="Times New Roman" w:hAnsi="Times New Roman" w:cs="Times New Roman"/>
                <w:kern w:val="0"/>
                <w:lang w:eastAsia="fr-BE"/>
                <w14:ligatures w14:val="none"/>
              </w:rPr>
              <w:t>LogReg</w:t>
            </w:r>
            <w:proofErr w:type="spellEnd"/>
          </w:p>
        </w:tc>
        <w:tc>
          <w:tcPr>
            <w:tcW w:w="0" w:type="auto"/>
            <w:hideMark/>
          </w:tcPr>
          <w:p w14:paraId="775ADF99"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0,15</w:t>
            </w:r>
          </w:p>
        </w:tc>
        <w:tc>
          <w:tcPr>
            <w:tcW w:w="0" w:type="auto"/>
            <w:hideMark/>
          </w:tcPr>
          <w:p w14:paraId="7440EE3C"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0,667</w:t>
            </w:r>
          </w:p>
        </w:tc>
        <w:tc>
          <w:tcPr>
            <w:tcW w:w="0" w:type="auto"/>
            <w:hideMark/>
          </w:tcPr>
          <w:p w14:paraId="7A006529"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0,605</w:t>
            </w:r>
          </w:p>
        </w:tc>
        <w:tc>
          <w:tcPr>
            <w:tcW w:w="0" w:type="auto"/>
            <w:hideMark/>
          </w:tcPr>
          <w:p w14:paraId="7C35CF5A"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0,252</w:t>
            </w:r>
          </w:p>
        </w:tc>
        <w:tc>
          <w:tcPr>
            <w:tcW w:w="0" w:type="auto"/>
            <w:hideMark/>
          </w:tcPr>
          <w:p w14:paraId="37609A78"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0,356</w:t>
            </w:r>
          </w:p>
        </w:tc>
        <w:tc>
          <w:tcPr>
            <w:tcW w:w="0" w:type="auto"/>
            <w:hideMark/>
          </w:tcPr>
          <w:p w14:paraId="1012C14B"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0,697</w:t>
            </w:r>
          </w:p>
        </w:tc>
        <w:tc>
          <w:tcPr>
            <w:tcW w:w="0" w:type="auto"/>
            <w:hideMark/>
          </w:tcPr>
          <w:p w14:paraId="3A8E099A"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0,290</w:t>
            </w:r>
          </w:p>
        </w:tc>
        <w:tc>
          <w:tcPr>
            <w:tcW w:w="0" w:type="auto"/>
            <w:hideMark/>
          </w:tcPr>
          <w:p w14:paraId="76132AFD" w14:textId="77777777" w:rsidR="009754D5" w:rsidRPr="008B0EA9" w:rsidRDefault="009754D5" w:rsidP="005A4807">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0,122</w:t>
            </w:r>
          </w:p>
        </w:tc>
      </w:tr>
    </w:tbl>
    <w:p w14:paraId="4718F5E3" w14:textId="77777777" w:rsidR="009754D5" w:rsidRDefault="009754D5" w:rsidP="009754D5">
      <w:pPr>
        <w:jc w:val="both"/>
        <w:rPr>
          <w:rFonts w:ascii="Times New Roman" w:hAnsi="Times New Roman" w:cs="Times New Roman"/>
        </w:rPr>
      </w:pPr>
    </w:p>
    <w:p w14:paraId="4CAF33B3" w14:textId="77777777" w:rsidR="009754D5" w:rsidRPr="00B75B34" w:rsidRDefault="009754D5" w:rsidP="009754D5">
      <w:pPr>
        <w:jc w:val="both"/>
        <w:rPr>
          <w:rFonts w:ascii="Times New Roman" w:hAnsi="Times New Roman" w:cs="Times New Roman"/>
          <w:b/>
          <w:bCs/>
        </w:rPr>
      </w:pPr>
      <w:r w:rsidRPr="00B75B34">
        <w:rPr>
          <w:rFonts w:ascii="Times New Roman" w:hAnsi="Times New Roman" w:cs="Times New Roman"/>
          <w:b/>
          <w:bCs/>
        </w:rPr>
        <w:t>Matrice de confusion</w:t>
      </w:r>
    </w:p>
    <w:p w14:paraId="785F42ED" w14:textId="77777777" w:rsidR="009754D5" w:rsidRDefault="009754D5" w:rsidP="009754D5">
      <w:pPr>
        <w:jc w:val="both"/>
        <w:rPr>
          <w:rFonts w:ascii="Times New Roman" w:hAnsi="Times New Roman" w:cs="Times New Roman"/>
        </w:rPr>
      </w:pPr>
      <w:r w:rsidRPr="00B75B34">
        <w:rPr>
          <w:rFonts w:ascii="Times New Roman" w:hAnsi="Times New Roman" w:cs="Times New Roman"/>
        </w:rPr>
        <w:t xml:space="preserve">Sur les 129 événements observés dans le jeu de test, le modèle en identifie correctement 76 (vrais positifs) et en manque 53 (faux négatifs). Parmi les 719 participants sans événement, 481 sont correctement classés comme « non à risque » (vrais négatifs), tandis que 238 sont prédits « à risque » alors qu’ils ne présenteront pas d’événement (faux positifs). Cette matrice de </w:t>
      </w:r>
      <w:r w:rsidRPr="00B75B34">
        <w:rPr>
          <w:rFonts w:ascii="Times New Roman" w:hAnsi="Times New Roman" w:cs="Times New Roman"/>
        </w:rPr>
        <w:lastRenderedPageBreak/>
        <w:t>confusion illustre le compromis implicite adopté au seuil de 0,15 : une proportion substantielle d’événements détectés, au prix d’un nombre non négligeable de faux positifs.</w:t>
      </w:r>
    </w:p>
    <w:p w14:paraId="79976353" w14:textId="77777777" w:rsidR="009754D5" w:rsidRDefault="009754D5" w:rsidP="009754D5">
      <w:pPr>
        <w:jc w:val="both"/>
        <w:rPr>
          <w:rFonts w:ascii="Times New Roman" w:hAnsi="Times New Roman" w:cs="Times New Roman"/>
        </w:rPr>
      </w:pPr>
      <w:r w:rsidRPr="00B75B34">
        <w:rPr>
          <w:rFonts w:ascii="Times New Roman" w:hAnsi="Times New Roman" w:cs="Times New Roman"/>
        </w:rPr>
        <w:t>Tableau 5. Matrice de confusion du modèle final LogReg_A2 sur le jeu de test (seuil de décision 0,15)</w:t>
      </w:r>
    </w:p>
    <w:tbl>
      <w:tblPr>
        <w:tblStyle w:val="Grilledutableau"/>
        <w:tblW w:w="9017" w:type="dxa"/>
        <w:tblLook w:val="04A0" w:firstRow="1" w:lastRow="0" w:firstColumn="1" w:lastColumn="0" w:noHBand="0" w:noVBand="1"/>
      </w:tblPr>
      <w:tblGrid>
        <w:gridCol w:w="2636"/>
        <w:gridCol w:w="2982"/>
        <w:gridCol w:w="2324"/>
        <w:gridCol w:w="1075"/>
      </w:tblGrid>
      <w:tr w:rsidR="009754D5" w:rsidRPr="00B75B34" w14:paraId="4493BF4A" w14:textId="77777777" w:rsidTr="005A4807">
        <w:tc>
          <w:tcPr>
            <w:tcW w:w="0" w:type="auto"/>
            <w:hideMark/>
          </w:tcPr>
          <w:p w14:paraId="766F2F1C" w14:textId="77777777" w:rsidR="009754D5" w:rsidRPr="00B75B34" w:rsidRDefault="009754D5" w:rsidP="005A4807">
            <w:pPr>
              <w:rPr>
                <w:rFonts w:ascii="Times New Roman" w:eastAsia="Times New Roman" w:hAnsi="Times New Roman" w:cs="Times New Roman"/>
                <w:kern w:val="0"/>
                <w:lang w:eastAsia="fr-BE"/>
                <w14:ligatures w14:val="none"/>
              </w:rPr>
            </w:pPr>
          </w:p>
        </w:tc>
        <w:tc>
          <w:tcPr>
            <w:tcW w:w="0" w:type="auto"/>
            <w:hideMark/>
          </w:tcPr>
          <w:p w14:paraId="226F3B69" w14:textId="77777777" w:rsidR="009754D5" w:rsidRPr="00B75B34" w:rsidRDefault="009754D5" w:rsidP="005A4807">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0 (non-événement)</w:t>
            </w:r>
          </w:p>
        </w:tc>
        <w:tc>
          <w:tcPr>
            <w:tcW w:w="0" w:type="auto"/>
            <w:hideMark/>
          </w:tcPr>
          <w:p w14:paraId="2046F6E6" w14:textId="77777777" w:rsidR="009754D5" w:rsidRPr="00B75B34" w:rsidRDefault="009754D5" w:rsidP="005A4807">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1 (événement)</w:t>
            </w:r>
          </w:p>
        </w:tc>
        <w:tc>
          <w:tcPr>
            <w:tcW w:w="0" w:type="auto"/>
            <w:hideMark/>
          </w:tcPr>
          <w:p w14:paraId="5D7AA188" w14:textId="77777777" w:rsidR="009754D5" w:rsidRPr="00B75B34" w:rsidRDefault="009754D5" w:rsidP="005A4807">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Total</w:t>
            </w:r>
          </w:p>
        </w:tc>
      </w:tr>
      <w:tr w:rsidR="009754D5" w:rsidRPr="00B75B34" w14:paraId="1313A64C" w14:textId="77777777" w:rsidTr="005A4807">
        <w:tc>
          <w:tcPr>
            <w:tcW w:w="0" w:type="auto"/>
            <w:hideMark/>
          </w:tcPr>
          <w:p w14:paraId="731E4E66"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Prédit 0</w:t>
            </w:r>
            <w:r w:rsidRPr="00B75B34">
              <w:rPr>
                <w:rFonts w:ascii="Times New Roman" w:eastAsia="Times New Roman" w:hAnsi="Times New Roman" w:cs="Times New Roman"/>
                <w:kern w:val="0"/>
                <w:lang w:eastAsia="fr-BE"/>
                <w14:ligatures w14:val="none"/>
              </w:rPr>
              <w:t xml:space="preserve"> (&lt; 0,15)</w:t>
            </w:r>
          </w:p>
        </w:tc>
        <w:tc>
          <w:tcPr>
            <w:tcW w:w="0" w:type="auto"/>
            <w:hideMark/>
          </w:tcPr>
          <w:p w14:paraId="6CB29B0F"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TN = 481</w:t>
            </w:r>
          </w:p>
        </w:tc>
        <w:tc>
          <w:tcPr>
            <w:tcW w:w="0" w:type="auto"/>
            <w:hideMark/>
          </w:tcPr>
          <w:p w14:paraId="1AF37FF8"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FN = 53</w:t>
            </w:r>
          </w:p>
        </w:tc>
        <w:tc>
          <w:tcPr>
            <w:tcW w:w="0" w:type="auto"/>
            <w:hideMark/>
          </w:tcPr>
          <w:p w14:paraId="0A8107C4"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534</w:t>
            </w:r>
          </w:p>
        </w:tc>
      </w:tr>
      <w:tr w:rsidR="009754D5" w:rsidRPr="00B75B34" w14:paraId="4E84C555" w14:textId="77777777" w:rsidTr="005A4807">
        <w:tc>
          <w:tcPr>
            <w:tcW w:w="0" w:type="auto"/>
            <w:hideMark/>
          </w:tcPr>
          <w:p w14:paraId="73DF7F02"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Prédit 1</w:t>
            </w:r>
            <w:r w:rsidRPr="00B75B34">
              <w:rPr>
                <w:rFonts w:ascii="Times New Roman" w:eastAsia="Times New Roman" w:hAnsi="Times New Roman" w:cs="Times New Roman"/>
                <w:kern w:val="0"/>
                <w:lang w:eastAsia="fr-BE"/>
                <w14:ligatures w14:val="none"/>
              </w:rPr>
              <w:t xml:space="preserve"> (≥ 0,15)</w:t>
            </w:r>
          </w:p>
        </w:tc>
        <w:tc>
          <w:tcPr>
            <w:tcW w:w="0" w:type="auto"/>
            <w:hideMark/>
          </w:tcPr>
          <w:p w14:paraId="601861EA"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FP = 238</w:t>
            </w:r>
          </w:p>
        </w:tc>
        <w:tc>
          <w:tcPr>
            <w:tcW w:w="0" w:type="auto"/>
            <w:hideMark/>
          </w:tcPr>
          <w:p w14:paraId="22714752"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TP = 76</w:t>
            </w:r>
          </w:p>
        </w:tc>
        <w:tc>
          <w:tcPr>
            <w:tcW w:w="0" w:type="auto"/>
            <w:hideMark/>
          </w:tcPr>
          <w:p w14:paraId="6EC9CB2F"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314</w:t>
            </w:r>
          </w:p>
        </w:tc>
      </w:tr>
      <w:tr w:rsidR="009754D5" w:rsidRPr="00B75B34" w14:paraId="725CF447" w14:textId="77777777" w:rsidTr="005A4807">
        <w:tc>
          <w:tcPr>
            <w:tcW w:w="0" w:type="auto"/>
            <w:hideMark/>
          </w:tcPr>
          <w:p w14:paraId="56932013"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Total</w:t>
            </w:r>
          </w:p>
        </w:tc>
        <w:tc>
          <w:tcPr>
            <w:tcW w:w="0" w:type="auto"/>
            <w:hideMark/>
          </w:tcPr>
          <w:p w14:paraId="65425CB4"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719</w:t>
            </w:r>
          </w:p>
        </w:tc>
        <w:tc>
          <w:tcPr>
            <w:tcW w:w="0" w:type="auto"/>
            <w:hideMark/>
          </w:tcPr>
          <w:p w14:paraId="3DEB637F"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129</w:t>
            </w:r>
          </w:p>
        </w:tc>
        <w:tc>
          <w:tcPr>
            <w:tcW w:w="0" w:type="auto"/>
            <w:hideMark/>
          </w:tcPr>
          <w:p w14:paraId="0A54CD84" w14:textId="77777777" w:rsidR="009754D5" w:rsidRPr="00B75B34" w:rsidRDefault="009754D5" w:rsidP="005A4807">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848</w:t>
            </w:r>
          </w:p>
        </w:tc>
      </w:tr>
    </w:tbl>
    <w:p w14:paraId="780220D5" w14:textId="77777777" w:rsidR="009754D5" w:rsidRDefault="009754D5" w:rsidP="009754D5">
      <w:pPr>
        <w:jc w:val="both"/>
        <w:rPr>
          <w:rFonts w:ascii="Times New Roman" w:hAnsi="Times New Roman" w:cs="Times New Roman"/>
        </w:rPr>
      </w:pPr>
    </w:p>
    <w:p w14:paraId="450BF889" w14:textId="77777777" w:rsidR="009754D5" w:rsidRPr="00B75B34" w:rsidRDefault="009754D5" w:rsidP="009754D5">
      <w:pPr>
        <w:jc w:val="both"/>
        <w:rPr>
          <w:rFonts w:ascii="Times New Roman" w:hAnsi="Times New Roman" w:cs="Times New Roman"/>
          <w:b/>
          <w:bCs/>
        </w:rPr>
      </w:pPr>
      <w:r w:rsidRPr="00B75B34">
        <w:rPr>
          <w:rFonts w:ascii="Times New Roman" w:hAnsi="Times New Roman" w:cs="Times New Roman"/>
          <w:b/>
          <w:bCs/>
        </w:rPr>
        <w:t>Discrimination, calibration et importance des prédicteurs</w:t>
      </w:r>
    </w:p>
    <w:p w14:paraId="7E92AE11" w14:textId="658B2CA0" w:rsidR="009754D5" w:rsidRPr="00B75B34" w:rsidRDefault="009754D5" w:rsidP="009754D5">
      <w:pPr>
        <w:jc w:val="both"/>
        <w:rPr>
          <w:rFonts w:ascii="Times New Roman" w:hAnsi="Times New Roman" w:cs="Times New Roman"/>
        </w:rPr>
      </w:pPr>
      <w:r w:rsidRPr="00B75B34">
        <w:rPr>
          <w:rFonts w:ascii="Times New Roman" w:hAnsi="Times New Roman" w:cs="Times New Roman"/>
        </w:rPr>
        <w:t>Les courbes ROC et précision–rappel obtenues pour le modèle final confirment les résultats numériques rapportés dans le Tableau 4. La courbe ROC présente une aire sous la courbe d’environ 0,70, ce qui indique une discrimination modérée : en moyenne, le modèle attribue des probabilités plus élevées aux participants qui feront un événement qu’à ceux qui n’en feront pas. La courbe précision–rappel se situe au-dessus de la ligne de base correspondant à la prévalence de la classe positive (~0,15), avec une AUC-PR d’environ 0,29, ce qui reflète une performance supérieure à celle d’un classifieur aléatoire dans ce contexte de classe rare.</w:t>
      </w:r>
    </w:p>
    <w:p w14:paraId="39BCF0EC" w14:textId="273BEBB0" w:rsidR="009754D5" w:rsidRPr="00B75B34" w:rsidRDefault="009754D5" w:rsidP="009754D5">
      <w:pPr>
        <w:jc w:val="both"/>
        <w:rPr>
          <w:rFonts w:ascii="Times New Roman" w:hAnsi="Times New Roman" w:cs="Times New Roman"/>
        </w:rPr>
      </w:pPr>
      <w:r w:rsidRPr="00B75B34">
        <w:rPr>
          <w:rFonts w:ascii="Times New Roman" w:hAnsi="Times New Roman" w:cs="Times New Roman"/>
        </w:rPr>
        <w:t>La courbe de calibration, construite par classes de risque prédits, montre une correspondance globalement satisfaisante entre les probabilités estimées et les fréquences observées d’événements, avec des écarts plus marqués aux extrêmes, comme attendu dans un échantillon de cette taille. Couplée au Brier score, cette analyse suggère que les probabilités produites par LogReg_A2 sont globalement cohérentes avec les risques observés.</w:t>
      </w:r>
    </w:p>
    <w:p w14:paraId="20734F86" w14:textId="05CAE87C" w:rsidR="009754D5" w:rsidRDefault="009754D5" w:rsidP="009754D5">
      <w:pPr>
        <w:jc w:val="both"/>
        <w:rPr>
          <w:rFonts w:ascii="Times New Roman" w:hAnsi="Times New Roman" w:cs="Times New Roman"/>
        </w:rPr>
      </w:pPr>
      <w:r w:rsidRPr="00B75B34">
        <w:rPr>
          <w:rFonts w:ascii="Times New Roman" w:hAnsi="Times New Roman" w:cs="Times New Roman"/>
        </w:rPr>
        <w:t>Enfin, l’analyse des coefficients de régression et des importances SHAP</w:t>
      </w:r>
      <w:r w:rsidR="003F117F">
        <w:rPr>
          <w:rFonts w:ascii="Times New Roman" w:hAnsi="Times New Roman" w:cs="Times New Roman"/>
        </w:rPr>
        <w:t xml:space="preserve"> </w:t>
      </w:r>
      <w:r w:rsidR="003F117F" w:rsidRPr="003F117F">
        <w:rPr>
          <w:rFonts w:ascii="Times New Roman" w:hAnsi="Times New Roman" w:cs="Times New Roman"/>
          <w:b/>
          <w:bCs/>
        </w:rPr>
        <w:t>(tableau en annexe)</w:t>
      </w:r>
      <w:r w:rsidRPr="00B75B34">
        <w:rPr>
          <w:rFonts w:ascii="Times New Roman" w:hAnsi="Times New Roman" w:cs="Times New Roman"/>
        </w:rPr>
        <w:t xml:space="preserve"> met en évidence un poids particulièrement marqué de l’âge, du nombre de cigarettes fumées par jour, de la pression artérielle systolique et du sexe masculin dans les prédictions du modèle, tandis que des variables telles que le diabète, l’IMC, la tension diastolique ou le niveau d’éducation contribuent beaucoup plus marginalement aux scores individuels.</w:t>
      </w:r>
    </w:p>
    <w:p w14:paraId="17118997" w14:textId="1D1D2093" w:rsidR="009754D5" w:rsidRDefault="003F117F" w:rsidP="009754D5">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A52C76A" wp14:editId="6297D339">
                <wp:simplePos x="0" y="0"/>
                <wp:positionH relativeFrom="column">
                  <wp:posOffset>4038961</wp:posOffset>
                </wp:positionH>
                <wp:positionV relativeFrom="paragraph">
                  <wp:posOffset>36939</wp:posOffset>
                </wp:positionV>
                <wp:extent cx="2235691" cy="1759462"/>
                <wp:effectExtent l="0" t="0" r="12700" b="12700"/>
                <wp:wrapNone/>
                <wp:docPr id="1454396270" name="Zone de texte 3"/>
                <wp:cNvGraphicFramePr/>
                <a:graphic xmlns:a="http://schemas.openxmlformats.org/drawingml/2006/main">
                  <a:graphicData uri="http://schemas.microsoft.com/office/word/2010/wordprocessingShape">
                    <wps:wsp>
                      <wps:cNvSpPr txBox="1"/>
                      <wps:spPr>
                        <a:xfrm>
                          <a:off x="0" y="0"/>
                          <a:ext cx="2235691" cy="1759462"/>
                        </a:xfrm>
                        <a:prstGeom prst="rect">
                          <a:avLst/>
                        </a:prstGeom>
                        <a:solidFill>
                          <a:schemeClr val="lt1"/>
                        </a:solidFill>
                        <a:ln w="6350">
                          <a:solidFill>
                            <a:prstClr val="black"/>
                          </a:solidFill>
                        </a:ln>
                      </wps:spPr>
                      <wps:txbx>
                        <w:txbxContent>
                          <w:p w14:paraId="7CD9BC33" w14:textId="301F3E4E" w:rsidR="003F117F" w:rsidRDefault="003F117F">
                            <w:r>
                              <w:rPr>
                                <w:noProof/>
                              </w:rPr>
                              <w:drawing>
                                <wp:inline distT="0" distB="0" distL="0" distR="0" wp14:anchorId="39A601DD" wp14:editId="4B173B4B">
                                  <wp:extent cx="2016125" cy="1614445"/>
                                  <wp:effectExtent l="0" t="0" r="3175" b="5080"/>
                                  <wp:docPr id="8" name="Image7"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Une image contenant texte, ligne, Tracé, diagramme&#10;&#10;Le contenu généré par l’IA peut être incorrect."/>
                                          <pic:cNvPicPr>
                                            <a:picLocks noChangeAspect="1" noChangeArrowheads="1"/>
                                          </pic:cNvPicPr>
                                        </pic:nvPicPr>
                                        <pic:blipFill>
                                          <a:blip r:embed="rId8"/>
                                          <a:stretch>
                                            <a:fillRect/>
                                          </a:stretch>
                                        </pic:blipFill>
                                        <pic:spPr bwMode="auto">
                                          <a:xfrm>
                                            <a:off x="0" y="0"/>
                                            <a:ext cx="2016125" cy="16144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2C76A" id="_x0000_t202" coordsize="21600,21600" o:spt="202" path="m,l,21600r21600,l21600,xe">
                <v:stroke joinstyle="miter"/>
                <v:path gradientshapeok="t" o:connecttype="rect"/>
              </v:shapetype>
              <v:shape id="Zone de texte 3" o:spid="_x0000_s1026" type="#_x0000_t202" style="position:absolute;left:0;text-align:left;margin-left:318.05pt;margin-top:2.9pt;width:176.05pt;height:13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" fillcolor="white [3201]" strokeweight=".5pt">
                <v:textbox>
                  <w:txbxContent>
                    <w:p w14:paraId="7CD9BC33" w14:textId="301F3E4E" w:rsidR="003F117F" w:rsidRDefault="003F117F">
                      <w:r>
                        <w:rPr>
                          <w:noProof/>
                        </w:rPr>
                        <w:drawing>
                          <wp:inline distT="0" distB="0" distL="0" distR="0" wp14:anchorId="39A601DD" wp14:editId="4B173B4B">
                            <wp:extent cx="2016125" cy="1614445"/>
                            <wp:effectExtent l="0" t="0" r="3175" b="5080"/>
                            <wp:docPr id="8" name="Image7"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Une image contenant texte, ligne, Tracé, diagramme&#10;&#10;Le contenu généré par l’IA peut être incorrect."/>
                                    <pic:cNvPicPr>
                                      <a:picLocks noChangeAspect="1" noChangeArrowheads="1"/>
                                    </pic:cNvPicPr>
                                  </pic:nvPicPr>
                                  <pic:blipFill>
                                    <a:blip r:embed="rId8"/>
                                    <a:stretch>
                                      <a:fillRect/>
                                    </a:stretch>
                                  </pic:blipFill>
                                  <pic:spPr bwMode="auto">
                                    <a:xfrm>
                                      <a:off x="0" y="0"/>
                                      <a:ext cx="2016125" cy="1614445"/>
                                    </a:xfrm>
                                    <a:prstGeom prst="rect">
                                      <a:avLst/>
                                    </a:prstGeom>
                                  </pic:spPr>
                                </pic:pic>
                              </a:graphicData>
                            </a:graphic>
                          </wp:inline>
                        </w:drawing>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401D7BD" wp14:editId="45A6F148">
                <wp:simplePos x="0" y="0"/>
                <wp:positionH relativeFrom="column">
                  <wp:posOffset>1889471</wp:posOffset>
                </wp:positionH>
                <wp:positionV relativeFrom="paragraph">
                  <wp:posOffset>28272</wp:posOffset>
                </wp:positionV>
                <wp:extent cx="2027588" cy="1815432"/>
                <wp:effectExtent l="0" t="0" r="10795" b="13970"/>
                <wp:wrapNone/>
                <wp:docPr id="63696179" name="Zone de texte 2"/>
                <wp:cNvGraphicFramePr/>
                <a:graphic xmlns:a="http://schemas.openxmlformats.org/drawingml/2006/main">
                  <a:graphicData uri="http://schemas.microsoft.com/office/word/2010/wordprocessingShape">
                    <wps:wsp>
                      <wps:cNvSpPr txBox="1"/>
                      <wps:spPr>
                        <a:xfrm>
                          <a:off x="0" y="0"/>
                          <a:ext cx="2027588" cy="1815432"/>
                        </a:xfrm>
                        <a:prstGeom prst="rect">
                          <a:avLst/>
                        </a:prstGeom>
                        <a:solidFill>
                          <a:schemeClr val="lt1"/>
                        </a:solidFill>
                        <a:ln w="6350">
                          <a:solidFill>
                            <a:prstClr val="black"/>
                          </a:solidFill>
                        </a:ln>
                      </wps:spPr>
                      <wps:txbx>
                        <w:txbxContent>
                          <w:p w14:paraId="623FF644" w14:textId="0BBF372D" w:rsidR="003F117F" w:rsidRDefault="003F117F">
                            <w:r>
                              <w:rPr>
                                <w:noProof/>
                              </w:rPr>
                              <w:drawing>
                                <wp:inline distT="0" distB="0" distL="0" distR="0" wp14:anchorId="41B4822E" wp14:editId="4815E86A">
                                  <wp:extent cx="1875271" cy="1499443"/>
                                  <wp:effectExtent l="0" t="0" r="0" b="5715"/>
                                  <wp:docPr id="7" name="Image6"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Une image contenant texte, Tracé, diagramme, ligne&#10;&#10;Le contenu généré par l’IA peut être incorrect."/>
                                          <pic:cNvPicPr>
                                            <a:picLocks noChangeAspect="1" noChangeArrowheads="1"/>
                                          </pic:cNvPicPr>
                                        </pic:nvPicPr>
                                        <pic:blipFill>
                                          <a:blip r:embed="rId9"/>
                                          <a:stretch>
                                            <a:fillRect/>
                                          </a:stretch>
                                        </pic:blipFill>
                                        <pic:spPr bwMode="auto">
                                          <a:xfrm>
                                            <a:off x="0" y="0"/>
                                            <a:ext cx="1880483" cy="15036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D7BD" id="Zone de texte 2" o:spid="_x0000_s1027" type="#_x0000_t202" style="position:absolute;left:0;text-align:left;margin-left:148.8pt;margin-top:2.25pt;width:159.65pt;height:14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" fillcolor="white [3201]" strokeweight=".5pt">
                <v:textbox>
                  <w:txbxContent>
                    <w:p w14:paraId="623FF644" w14:textId="0BBF372D" w:rsidR="003F117F" w:rsidRDefault="003F117F">
                      <w:r>
                        <w:rPr>
                          <w:noProof/>
                        </w:rPr>
                        <w:drawing>
                          <wp:inline distT="0" distB="0" distL="0" distR="0" wp14:anchorId="41B4822E" wp14:editId="4815E86A">
                            <wp:extent cx="1875271" cy="1499443"/>
                            <wp:effectExtent l="0" t="0" r="0" b="5715"/>
                            <wp:docPr id="7" name="Image6"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Une image contenant texte, Tracé, diagramme, ligne&#10;&#10;Le contenu généré par l’IA peut être incorrect."/>
                                    <pic:cNvPicPr>
                                      <a:picLocks noChangeAspect="1" noChangeArrowheads="1"/>
                                    </pic:cNvPicPr>
                                  </pic:nvPicPr>
                                  <pic:blipFill>
                                    <a:blip r:embed="rId9"/>
                                    <a:stretch>
                                      <a:fillRect/>
                                    </a:stretch>
                                  </pic:blipFill>
                                  <pic:spPr bwMode="auto">
                                    <a:xfrm>
                                      <a:off x="0" y="0"/>
                                      <a:ext cx="1880483" cy="1503611"/>
                                    </a:xfrm>
                                    <a:prstGeom prst="rect">
                                      <a:avLst/>
                                    </a:prstGeom>
                                  </pic:spPr>
                                </pic:pic>
                              </a:graphicData>
                            </a:graphic>
                          </wp:inline>
                        </w:drawing>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CC12907" wp14:editId="08772D7E">
                <wp:simplePos x="0" y="0"/>
                <wp:positionH relativeFrom="column">
                  <wp:posOffset>-428625</wp:posOffset>
                </wp:positionH>
                <wp:positionV relativeFrom="paragraph">
                  <wp:posOffset>53864</wp:posOffset>
                </wp:positionV>
                <wp:extent cx="2179825" cy="1789797"/>
                <wp:effectExtent l="0" t="0" r="11430" b="20320"/>
                <wp:wrapNone/>
                <wp:docPr id="1240282134" name="Zone de texte 1"/>
                <wp:cNvGraphicFramePr/>
                <a:graphic xmlns:a="http://schemas.openxmlformats.org/drawingml/2006/main">
                  <a:graphicData uri="http://schemas.microsoft.com/office/word/2010/wordprocessingShape">
                    <wps:wsp>
                      <wps:cNvSpPr txBox="1"/>
                      <wps:spPr>
                        <a:xfrm>
                          <a:off x="0" y="0"/>
                          <a:ext cx="2179825" cy="1789797"/>
                        </a:xfrm>
                        <a:prstGeom prst="rect">
                          <a:avLst/>
                        </a:prstGeom>
                        <a:solidFill>
                          <a:schemeClr val="lt1"/>
                        </a:solidFill>
                        <a:ln w="6350">
                          <a:solidFill>
                            <a:prstClr val="black"/>
                          </a:solidFill>
                        </a:ln>
                      </wps:spPr>
                      <wps:txbx>
                        <w:txbxContent>
                          <w:p w14:paraId="27F035EB" w14:textId="71CAB015" w:rsidR="003F117F" w:rsidRDefault="003F117F">
                            <w:r>
                              <w:rPr>
                                <w:noProof/>
                              </w:rPr>
                              <w:drawing>
                                <wp:inline distT="0" distB="0" distL="0" distR="0" wp14:anchorId="07D20341" wp14:editId="1E2EE110">
                                  <wp:extent cx="1990090" cy="1592654"/>
                                  <wp:effectExtent l="0" t="0" r="0" b="7620"/>
                                  <wp:docPr id="6" name="Image5"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Une image contenant texte, ligne, Tracé, diagramme&#10;&#10;Le contenu généré par l’IA peut être incorrect."/>
                                          <pic:cNvPicPr>
                                            <a:picLocks noChangeAspect="1" noChangeArrowheads="1"/>
                                          </pic:cNvPicPr>
                                        </pic:nvPicPr>
                                        <pic:blipFill>
                                          <a:blip r:embed="rId10"/>
                                          <a:stretch>
                                            <a:fillRect/>
                                          </a:stretch>
                                        </pic:blipFill>
                                        <pic:spPr bwMode="auto">
                                          <a:xfrm>
                                            <a:off x="0" y="0"/>
                                            <a:ext cx="1990090" cy="15926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C12907" id="Zone de texte 1" o:spid="_x0000_s1028" type="#_x0000_t202" style="position:absolute;left:0;text-align:left;margin-left:-33.75pt;margin-top:4.25pt;width:171.65pt;height:140.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" fillcolor="white [3201]" strokeweight=".5pt">
                <v:textbox>
                  <w:txbxContent>
                    <w:p w14:paraId="27F035EB" w14:textId="71CAB015" w:rsidR="003F117F" w:rsidRDefault="003F117F">
                      <w:r>
                        <w:rPr>
                          <w:noProof/>
                        </w:rPr>
                        <w:drawing>
                          <wp:inline distT="0" distB="0" distL="0" distR="0" wp14:anchorId="07D20341" wp14:editId="1E2EE110">
                            <wp:extent cx="1990090" cy="1592654"/>
                            <wp:effectExtent l="0" t="0" r="0" b="7620"/>
                            <wp:docPr id="6" name="Image5"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Une image contenant texte, ligne, Tracé, diagramme&#10;&#10;Le contenu généré par l’IA peut être incorrect."/>
                                    <pic:cNvPicPr>
                                      <a:picLocks noChangeAspect="1" noChangeArrowheads="1"/>
                                    </pic:cNvPicPr>
                                  </pic:nvPicPr>
                                  <pic:blipFill>
                                    <a:blip r:embed="rId10"/>
                                    <a:stretch>
                                      <a:fillRect/>
                                    </a:stretch>
                                  </pic:blipFill>
                                  <pic:spPr bwMode="auto">
                                    <a:xfrm>
                                      <a:off x="0" y="0"/>
                                      <a:ext cx="1990090" cy="1592654"/>
                                    </a:xfrm>
                                    <a:prstGeom prst="rect">
                                      <a:avLst/>
                                    </a:prstGeom>
                                  </pic:spPr>
                                </pic:pic>
                              </a:graphicData>
                            </a:graphic>
                          </wp:inline>
                        </w:drawing>
                      </w:r>
                    </w:p>
                  </w:txbxContent>
                </v:textbox>
              </v:shape>
            </w:pict>
          </mc:Fallback>
        </mc:AlternateContent>
      </w:r>
    </w:p>
    <w:p w14:paraId="06412088" w14:textId="4A14F49A" w:rsidR="008E7341" w:rsidRDefault="005F3F48" w:rsidP="003F117F">
      <w:pPr>
        <w:jc w:val="both"/>
        <w:rPr>
          <w:rFonts w:ascii="Times New Roman" w:hAnsi="Times New Roman" w:cs="Times New Roman"/>
          <w:b/>
          <w:bCs/>
        </w:rPr>
      </w:pPr>
      <w:r w:rsidRPr="006C27A7">
        <w:rPr>
          <w:rFonts w:ascii="Times New Roman" w:hAnsi="Times New Roman" w:cs="Times New Roman"/>
          <w:b/>
          <w:bCs/>
        </w:rPr>
        <w:br w:type="page"/>
      </w:r>
      <w:r w:rsidR="003F117F" w:rsidRPr="003F117F">
        <w:rPr>
          <w:rFonts w:ascii="Times New Roman" w:hAnsi="Times New Roman" w:cs="Times New Roman"/>
          <w:b/>
          <w:bCs/>
        </w:rPr>
        <w:lastRenderedPageBreak/>
        <w:t xml:space="preserve">Incertitude du modèle : </w:t>
      </w:r>
      <w:proofErr w:type="spellStart"/>
      <w:r w:rsidR="003F117F" w:rsidRPr="003F117F">
        <w:rPr>
          <w:rFonts w:ascii="Times New Roman" w:hAnsi="Times New Roman" w:cs="Times New Roman"/>
          <w:b/>
          <w:bCs/>
        </w:rPr>
        <w:t>bootstrap</w:t>
      </w:r>
      <w:proofErr w:type="spellEnd"/>
      <w:r w:rsidR="003F117F" w:rsidRPr="003F117F">
        <w:rPr>
          <w:rFonts w:ascii="Times New Roman" w:hAnsi="Times New Roman" w:cs="Times New Roman"/>
          <w:b/>
          <w:bCs/>
        </w:rPr>
        <w:t xml:space="preserve"> et prédiction conforme</w:t>
      </w:r>
    </w:p>
    <w:p w14:paraId="1A946174" w14:textId="77777777" w:rsidR="003F117F" w:rsidRPr="003F117F" w:rsidRDefault="003F117F" w:rsidP="009F42EE">
      <w:pPr>
        <w:pStyle w:val="NormalWeb"/>
        <w:jc w:val="both"/>
      </w:pPr>
      <w:r w:rsidRPr="003F117F">
        <w:t xml:space="preserve">Pour le modèle final LogReg_A2, la </w:t>
      </w:r>
      <w:r w:rsidRPr="003F117F">
        <w:rPr>
          <w:rStyle w:val="lev"/>
          <w:rFonts w:eastAsiaTheme="majorEastAsia"/>
        </w:rPr>
        <w:t>variabilité des performances</w:t>
      </w:r>
      <w:r w:rsidRPr="003F117F">
        <w:t xml:space="preserve"> a été quantifiée par </w:t>
      </w:r>
      <w:proofErr w:type="spellStart"/>
      <w:r w:rsidRPr="003F117F">
        <w:rPr>
          <w:rStyle w:val="lev"/>
          <w:rFonts w:eastAsiaTheme="majorEastAsia"/>
        </w:rPr>
        <w:t>bootstrap</w:t>
      </w:r>
      <w:proofErr w:type="spellEnd"/>
      <w:r w:rsidRPr="003F117F">
        <w:rPr>
          <w:rStyle w:val="lev"/>
          <w:rFonts w:eastAsiaTheme="majorEastAsia"/>
        </w:rPr>
        <w:t xml:space="preserve"> non paramétrique</w:t>
      </w:r>
      <w:r w:rsidRPr="003F117F">
        <w:t xml:space="preserve"> sur le jeu de test (B = 1 000). Les intervalles de confiance à 95 % obtenus pour les métriques principales (rappel, précision, F1 de la classe événement, AUC-ROC, AUC-PR, Brier score) sont relativement resserrés, ce qui suggère une </w:t>
      </w:r>
      <w:r w:rsidRPr="003F117F">
        <w:rPr>
          <w:rStyle w:val="lev"/>
          <w:rFonts w:eastAsiaTheme="majorEastAsia"/>
        </w:rPr>
        <w:t>stabilité raisonnable</w:t>
      </w:r>
      <w:r w:rsidRPr="003F117F">
        <w:t xml:space="preserve"> des performances du modèle final vis-à-vis des fluctuations d’échantillonnage internes. Par exemple, le rappel de la classe événement reste globalement compris entre un peu plus de 0,50 et un peu moins de 0,70, et le F1 de la classe événement entre ≈ 0,30 et 0,41.</w:t>
      </w:r>
    </w:p>
    <w:p w14:paraId="496B51CB" w14:textId="77777777" w:rsidR="003F117F" w:rsidRPr="003F117F" w:rsidRDefault="003F117F" w:rsidP="009F42EE">
      <w:pPr>
        <w:pStyle w:val="NormalWeb"/>
        <w:jc w:val="both"/>
      </w:pPr>
      <w:r w:rsidRPr="003F117F">
        <w:t xml:space="preserve">Au-delà de cette incertitude « globale », une </w:t>
      </w:r>
      <w:r w:rsidRPr="003F117F">
        <w:rPr>
          <w:rStyle w:val="lev"/>
          <w:rFonts w:eastAsiaTheme="majorEastAsia"/>
        </w:rPr>
        <w:t>prédiction conforme de type Mondrian</w:t>
      </w:r>
      <w:r w:rsidRPr="003F117F">
        <w:t xml:space="preserve"> a été appliquée en aval du modèle LogReg_A2 pour produire, pour chaque individu, un </w:t>
      </w:r>
      <w:r w:rsidRPr="003F117F">
        <w:rPr>
          <w:rStyle w:val="lev"/>
          <w:rFonts w:eastAsiaTheme="majorEastAsia"/>
        </w:rPr>
        <w:t>ensemble prédictif</w:t>
      </w:r>
      <w:r w:rsidRPr="003F117F">
        <w:t xml:space="preserve"> ( {0}, {1} ou {0,1} ) assorti de </w:t>
      </w:r>
      <w:r w:rsidRPr="003F117F">
        <w:rPr>
          <w:rStyle w:val="lev"/>
          <w:rFonts w:eastAsiaTheme="majorEastAsia"/>
        </w:rPr>
        <w:t>garanties formelles de couverture</w:t>
      </w:r>
      <w:r w:rsidRPr="003F117F">
        <w:t xml:space="preserve"> à un niveau cible de 90 % (α = 0,10). Dans cette configuration :</w:t>
      </w:r>
    </w:p>
    <w:p w14:paraId="352DAA7E" w14:textId="77777777" w:rsidR="003F117F" w:rsidRPr="003F117F" w:rsidRDefault="003F117F" w:rsidP="009F42EE">
      <w:pPr>
        <w:pStyle w:val="NormalWeb"/>
        <w:numPr>
          <w:ilvl w:val="0"/>
          <w:numId w:val="6"/>
        </w:numPr>
        <w:jc w:val="both"/>
      </w:pPr>
      <w:r w:rsidRPr="003F117F">
        <w:t xml:space="preserve">la </w:t>
      </w:r>
      <w:r w:rsidRPr="003F117F">
        <w:rPr>
          <w:rStyle w:val="lev"/>
          <w:rFonts w:eastAsiaTheme="majorEastAsia"/>
        </w:rPr>
        <w:t>couverture globale</w:t>
      </w:r>
      <w:r w:rsidRPr="003F117F">
        <w:t xml:space="preserve"> et la </w:t>
      </w:r>
      <w:r w:rsidRPr="003F117F">
        <w:rPr>
          <w:rStyle w:val="lev"/>
          <w:rFonts w:eastAsiaTheme="majorEastAsia"/>
        </w:rPr>
        <w:t>couverture par classe</w:t>
      </w:r>
      <w:r w:rsidRPr="003F117F">
        <w:t xml:space="preserve"> sont proches de 0,90 ;</w:t>
      </w:r>
    </w:p>
    <w:p w14:paraId="33F28422" w14:textId="77777777" w:rsidR="003F117F" w:rsidRPr="003F117F" w:rsidRDefault="003F117F" w:rsidP="009F42EE">
      <w:pPr>
        <w:pStyle w:val="NormalWeb"/>
        <w:numPr>
          <w:ilvl w:val="0"/>
          <w:numId w:val="6"/>
        </w:numPr>
        <w:jc w:val="both"/>
      </w:pPr>
      <w:r w:rsidRPr="003F117F">
        <w:t>environ un tiers des patients reçoivent un ensemble {0} (faible risque avec forte confiance), un peu plus de 10 % un ensemble {1} (risque élevé avec forte confiance) ;</w:t>
      </w:r>
    </w:p>
    <w:p w14:paraId="79C3D674" w14:textId="77777777" w:rsidR="003F117F" w:rsidRPr="003F117F" w:rsidRDefault="003F117F" w:rsidP="009F42EE">
      <w:pPr>
        <w:pStyle w:val="NormalWeb"/>
        <w:numPr>
          <w:ilvl w:val="0"/>
          <w:numId w:val="6"/>
        </w:numPr>
        <w:jc w:val="both"/>
      </w:pPr>
      <w:r w:rsidRPr="003F117F">
        <w:t xml:space="preserve">un peu plus de la moitié se voient attribuer un ensemble {0,1}, marquant une </w:t>
      </w:r>
      <w:r w:rsidRPr="003F117F">
        <w:rPr>
          <w:rStyle w:val="lev"/>
          <w:rFonts w:eastAsiaTheme="majorEastAsia"/>
        </w:rPr>
        <w:t>zone d’incertitude explicite</w:t>
      </w:r>
      <w:r w:rsidRPr="003F117F">
        <w:t>.</w:t>
      </w:r>
    </w:p>
    <w:p w14:paraId="690712A1" w14:textId="49910BF4" w:rsidR="003F117F" w:rsidRPr="003F117F" w:rsidRDefault="003F117F" w:rsidP="009F42EE">
      <w:pPr>
        <w:pStyle w:val="NormalWeb"/>
        <w:jc w:val="both"/>
      </w:pPr>
      <w:r w:rsidRPr="003F117F">
        <w:t>Une analyse de sensibilité</w:t>
      </w:r>
      <w:r w:rsidR="009F42EE">
        <w:t xml:space="preserve"> (tableau en annexe)</w:t>
      </w:r>
      <w:r w:rsidRPr="003F117F">
        <w:t xml:space="preserve"> en fonction du niveau d’erreur α montre, comme attendu, qu’une augmentation de la confiance cible augmente la couverture au prix d’ensembles plus larges (plus d’{0,1}), tandis qu’une diminution de la confiance produit davantage de prédictions singleton au prix d’une couverture plus faible. Le choix de </w:t>
      </w:r>
      <w:r w:rsidRPr="003F117F">
        <w:rPr>
          <w:rStyle w:val="lev"/>
          <w:rFonts w:eastAsiaTheme="majorEastAsia"/>
        </w:rPr>
        <w:t>α = 0,10</w:t>
      </w:r>
      <w:r w:rsidRPr="003F117F">
        <w:t xml:space="preserve"> représente ainsi un compromis pragmatique entre </w:t>
      </w:r>
      <w:r w:rsidRPr="003F117F">
        <w:rPr>
          <w:rStyle w:val="lev"/>
          <w:rFonts w:eastAsiaTheme="majorEastAsia"/>
        </w:rPr>
        <w:t>niveau de garantie</w:t>
      </w:r>
      <w:r w:rsidRPr="003F117F">
        <w:t xml:space="preserve"> et </w:t>
      </w:r>
      <w:r w:rsidRPr="003F117F">
        <w:rPr>
          <w:rStyle w:val="lev"/>
          <w:rFonts w:eastAsiaTheme="majorEastAsia"/>
        </w:rPr>
        <w:t>informativité des ensembles prédictifs</w:t>
      </w:r>
      <w:r w:rsidRPr="003F117F">
        <w:t>.</w:t>
      </w:r>
    </w:p>
    <w:p w14:paraId="1C97AD4B" w14:textId="63128AF6" w:rsidR="009F42EE" w:rsidRDefault="009F42EE" w:rsidP="009F42EE">
      <w:pPr>
        <w:jc w:val="both"/>
        <w:rPr>
          <w:rFonts w:ascii="Times New Roman" w:hAnsi="Times New Roman" w:cs="Times New Roman"/>
          <w:b/>
          <w:bCs/>
        </w:rPr>
      </w:pPr>
      <w:r w:rsidRPr="004F0D77">
        <w:rPr>
          <w:rFonts w:ascii="Times New Roman" w:hAnsi="Times New Roman" w:cs="Times New Roman"/>
          <w:b/>
          <w:bCs/>
        </w:rPr>
        <w:t xml:space="preserve">Tableau  Performances du modèle final LogReg_A2 (seuil 0,15) et intervalles de confiance </w:t>
      </w:r>
      <w:proofErr w:type="spellStart"/>
      <w:r w:rsidRPr="004F0D77">
        <w:rPr>
          <w:rFonts w:ascii="Times New Roman" w:hAnsi="Times New Roman" w:cs="Times New Roman"/>
          <w:b/>
          <w:bCs/>
        </w:rPr>
        <w:t>bootstrap</w:t>
      </w:r>
      <w:proofErr w:type="spellEnd"/>
      <w:r w:rsidRPr="004F0D77">
        <w:rPr>
          <w:rFonts w:ascii="Times New Roman" w:hAnsi="Times New Roman" w:cs="Times New Roman"/>
          <w:b/>
          <w:bCs/>
        </w:rPr>
        <w:t xml:space="preserve"> à 95 % (B = 1000, jeu de test N = 848)</w:t>
      </w:r>
    </w:p>
    <w:tbl>
      <w:tblPr>
        <w:tblStyle w:val="Grilledutableau"/>
        <w:tblW w:w="8656" w:type="dxa"/>
        <w:tblInd w:w="360" w:type="dxa"/>
        <w:tblLayout w:type="fixed"/>
        <w:tblLook w:val="04A0" w:firstRow="1" w:lastRow="0" w:firstColumn="1" w:lastColumn="0" w:noHBand="0" w:noVBand="1"/>
      </w:tblPr>
      <w:tblGrid>
        <w:gridCol w:w="2900"/>
        <w:gridCol w:w="2883"/>
        <w:gridCol w:w="2873"/>
      </w:tblGrid>
      <w:tr w:rsidR="009F42EE" w14:paraId="6D3E775D" w14:textId="77777777" w:rsidTr="005A4807">
        <w:tc>
          <w:tcPr>
            <w:tcW w:w="2900" w:type="dxa"/>
          </w:tcPr>
          <w:p w14:paraId="638B6521"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Métrique</w:t>
            </w:r>
          </w:p>
        </w:tc>
        <w:tc>
          <w:tcPr>
            <w:tcW w:w="2883" w:type="dxa"/>
          </w:tcPr>
          <w:p w14:paraId="75B387C4"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Estimation ponctuelle</w:t>
            </w:r>
          </w:p>
        </w:tc>
        <w:tc>
          <w:tcPr>
            <w:tcW w:w="2873" w:type="dxa"/>
          </w:tcPr>
          <w:p w14:paraId="036C4FCF"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IC95 % </w:t>
            </w:r>
            <w:proofErr w:type="spellStart"/>
            <w:r>
              <w:rPr>
                <w:rFonts w:ascii="Times New Roman" w:eastAsia="Times New Roman" w:hAnsi="Times New Roman" w:cs="Times New Roman"/>
                <w:kern w:val="0"/>
                <w:lang w:eastAsia="fr-BE"/>
                <w14:ligatures w14:val="none"/>
              </w:rPr>
              <w:t>bootstrap</w:t>
            </w:r>
            <w:proofErr w:type="spellEnd"/>
          </w:p>
        </w:tc>
      </w:tr>
      <w:tr w:rsidR="009F42EE" w14:paraId="584CE348" w14:textId="77777777" w:rsidTr="005A4807">
        <w:tc>
          <w:tcPr>
            <w:tcW w:w="2900" w:type="dxa"/>
          </w:tcPr>
          <w:p w14:paraId="10760959"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Accuracy</w:t>
            </w:r>
          </w:p>
        </w:tc>
        <w:tc>
          <w:tcPr>
            <w:tcW w:w="2883" w:type="dxa"/>
          </w:tcPr>
          <w:p w14:paraId="1B5157CD"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0,667</w:t>
            </w:r>
          </w:p>
        </w:tc>
        <w:tc>
          <w:tcPr>
            <w:tcW w:w="2873" w:type="dxa"/>
          </w:tcPr>
          <w:p w14:paraId="1AA21D5B"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[0,636 ; 0,697]</w:t>
            </w:r>
          </w:p>
        </w:tc>
      </w:tr>
      <w:tr w:rsidR="009F42EE" w14:paraId="7E10FCFE" w14:textId="77777777" w:rsidTr="005A4807">
        <w:tc>
          <w:tcPr>
            <w:tcW w:w="2900" w:type="dxa"/>
          </w:tcPr>
          <w:p w14:paraId="18B815FA"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Recall</w:t>
            </w:r>
            <w:proofErr w:type="spellEnd"/>
            <w:r>
              <w:rPr>
                <w:rFonts w:ascii="Times New Roman" w:eastAsia="Times New Roman" w:hAnsi="Times New Roman" w:cs="Times New Roman"/>
                <w:kern w:val="0"/>
                <w:lang w:eastAsia="fr-BE"/>
                <w14:ligatures w14:val="none"/>
              </w:rPr>
              <w:t xml:space="preserve"> classe 1</w:t>
            </w:r>
          </w:p>
        </w:tc>
        <w:tc>
          <w:tcPr>
            <w:tcW w:w="2883" w:type="dxa"/>
          </w:tcPr>
          <w:p w14:paraId="692FE2F9"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0,605</w:t>
            </w:r>
          </w:p>
        </w:tc>
        <w:tc>
          <w:tcPr>
            <w:tcW w:w="2873" w:type="dxa"/>
          </w:tcPr>
          <w:p w14:paraId="6D234B69"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[0,517 ; 0,688]</w:t>
            </w:r>
          </w:p>
        </w:tc>
      </w:tr>
      <w:tr w:rsidR="009F42EE" w14:paraId="545A6D70" w14:textId="77777777" w:rsidTr="005A4807">
        <w:tc>
          <w:tcPr>
            <w:tcW w:w="2900" w:type="dxa"/>
          </w:tcPr>
          <w:p w14:paraId="6CC6943B"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Précision classe 1</w:t>
            </w:r>
          </w:p>
        </w:tc>
        <w:tc>
          <w:tcPr>
            <w:tcW w:w="2883" w:type="dxa"/>
          </w:tcPr>
          <w:p w14:paraId="1931944C"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0,252</w:t>
            </w:r>
          </w:p>
        </w:tc>
        <w:tc>
          <w:tcPr>
            <w:tcW w:w="2873" w:type="dxa"/>
          </w:tcPr>
          <w:p w14:paraId="1E12DAA3"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[0,204 ; 0,303]</w:t>
            </w:r>
          </w:p>
        </w:tc>
      </w:tr>
      <w:tr w:rsidR="009F42EE" w14:paraId="5A435EEF" w14:textId="77777777" w:rsidTr="005A4807">
        <w:tc>
          <w:tcPr>
            <w:tcW w:w="2900" w:type="dxa"/>
          </w:tcPr>
          <w:p w14:paraId="2C2553CE"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classe 1</w:t>
            </w:r>
          </w:p>
        </w:tc>
        <w:tc>
          <w:tcPr>
            <w:tcW w:w="2883" w:type="dxa"/>
          </w:tcPr>
          <w:p w14:paraId="2F0CD1D1"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0,356</w:t>
            </w:r>
          </w:p>
        </w:tc>
        <w:tc>
          <w:tcPr>
            <w:tcW w:w="2873" w:type="dxa"/>
          </w:tcPr>
          <w:p w14:paraId="19D9F973"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[0,297 ; 0,413]</w:t>
            </w:r>
          </w:p>
        </w:tc>
      </w:tr>
      <w:tr w:rsidR="009F42EE" w14:paraId="58B393A4" w14:textId="77777777" w:rsidTr="005A4807">
        <w:tc>
          <w:tcPr>
            <w:tcW w:w="2900" w:type="dxa"/>
          </w:tcPr>
          <w:p w14:paraId="659DCC77"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2883" w:type="dxa"/>
          </w:tcPr>
          <w:p w14:paraId="71B9E2AB"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0,697</w:t>
            </w:r>
          </w:p>
        </w:tc>
        <w:tc>
          <w:tcPr>
            <w:tcW w:w="2873" w:type="dxa"/>
          </w:tcPr>
          <w:p w14:paraId="0339BA7A"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[0,652 ; 0,741]</w:t>
            </w:r>
          </w:p>
        </w:tc>
      </w:tr>
      <w:tr w:rsidR="009F42EE" w14:paraId="4BF08147" w14:textId="77777777" w:rsidTr="005A4807">
        <w:tc>
          <w:tcPr>
            <w:tcW w:w="2900" w:type="dxa"/>
          </w:tcPr>
          <w:p w14:paraId="7C33D2B1"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c>
          <w:tcPr>
            <w:tcW w:w="2883" w:type="dxa"/>
          </w:tcPr>
          <w:p w14:paraId="6B26D885"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c>
          <w:tcPr>
            <w:tcW w:w="2873" w:type="dxa"/>
          </w:tcPr>
          <w:p w14:paraId="4C4D48D9"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[0,227 ; 0,374]</w:t>
            </w:r>
          </w:p>
        </w:tc>
      </w:tr>
      <w:tr w:rsidR="009F42EE" w14:paraId="5424E28D" w14:textId="77777777" w:rsidTr="005A4807">
        <w:tc>
          <w:tcPr>
            <w:tcW w:w="2900" w:type="dxa"/>
          </w:tcPr>
          <w:p w14:paraId="649C4F77" w14:textId="77777777" w:rsidR="009F42EE" w:rsidRDefault="009F42EE"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Brier score</w:t>
            </w:r>
          </w:p>
        </w:tc>
        <w:tc>
          <w:tcPr>
            <w:tcW w:w="2883" w:type="dxa"/>
          </w:tcPr>
          <w:p w14:paraId="5BA17DCB"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0,122</w:t>
            </w:r>
          </w:p>
        </w:tc>
        <w:tc>
          <w:tcPr>
            <w:tcW w:w="2873" w:type="dxa"/>
          </w:tcPr>
          <w:p w14:paraId="5D63AE5C" w14:textId="77777777" w:rsidR="009F42EE" w:rsidRDefault="009F42EE"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[0,107 ; 0,138]</w:t>
            </w:r>
          </w:p>
        </w:tc>
      </w:tr>
    </w:tbl>
    <w:p w14:paraId="3AFA447D" w14:textId="77777777" w:rsidR="003F117F" w:rsidRDefault="003F117F" w:rsidP="003F117F">
      <w:pPr>
        <w:jc w:val="both"/>
        <w:rPr>
          <w:rFonts w:ascii="Times New Roman" w:hAnsi="Times New Roman" w:cs="Times New Roman"/>
          <w:b/>
          <w:bCs/>
        </w:rPr>
      </w:pPr>
    </w:p>
    <w:p w14:paraId="4CFDD515" w14:textId="77777777" w:rsidR="009F42EE" w:rsidRDefault="009F42EE">
      <w:pPr>
        <w:rPr>
          <w:rFonts w:ascii="Times New Roman" w:hAnsi="Times New Roman" w:cs="Times New Roman"/>
          <w:b/>
          <w:bCs/>
        </w:rPr>
      </w:pPr>
      <w:r w:rsidRPr="009F42EE">
        <w:rPr>
          <w:rFonts w:ascii="Times New Roman" w:hAnsi="Times New Roman" w:cs="Times New Roman"/>
          <w:b/>
          <w:bCs/>
        </w:rPr>
        <w:t>Tableau  Résultats de la prédiction conforme Mondrian (label-</w:t>
      </w:r>
      <w:proofErr w:type="spellStart"/>
      <w:r w:rsidRPr="009F42EE">
        <w:rPr>
          <w:rFonts w:ascii="Times New Roman" w:hAnsi="Times New Roman" w:cs="Times New Roman"/>
          <w:b/>
          <w:bCs/>
        </w:rPr>
        <w:t>conditional</w:t>
      </w:r>
      <w:proofErr w:type="spellEnd"/>
      <w:r w:rsidRPr="009F42EE">
        <w:rPr>
          <w:rFonts w:ascii="Times New Roman" w:hAnsi="Times New Roman" w:cs="Times New Roman"/>
          <w:b/>
          <w:bCs/>
        </w:rPr>
        <w:t>) pour le modèle final LogReg_A2 au niveau d’erreur α = 0,10 (jeu de test N = 848)</w:t>
      </w:r>
    </w:p>
    <w:tbl>
      <w:tblPr>
        <w:tblStyle w:val="Grilledutableau"/>
        <w:tblW w:w="0" w:type="auto"/>
        <w:tblLook w:val="04A0" w:firstRow="1" w:lastRow="0" w:firstColumn="1" w:lastColumn="0" w:noHBand="0" w:noVBand="1"/>
      </w:tblPr>
      <w:tblGrid>
        <w:gridCol w:w="3634"/>
        <w:gridCol w:w="2023"/>
      </w:tblGrid>
      <w:tr w:rsidR="009F42EE" w:rsidRPr="004F0D77" w14:paraId="58E7DD44" w14:textId="77777777" w:rsidTr="005A4807">
        <w:tc>
          <w:tcPr>
            <w:tcW w:w="0" w:type="auto"/>
            <w:hideMark/>
          </w:tcPr>
          <w:p w14:paraId="44476D68" w14:textId="77777777" w:rsidR="009F42EE" w:rsidRPr="004F0D77" w:rsidRDefault="009F42EE" w:rsidP="005A480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Indicateur</w:t>
            </w:r>
          </w:p>
        </w:tc>
        <w:tc>
          <w:tcPr>
            <w:tcW w:w="0" w:type="auto"/>
            <w:hideMark/>
          </w:tcPr>
          <w:p w14:paraId="033D11FE" w14:textId="77777777" w:rsidR="009F42EE" w:rsidRPr="004F0D77" w:rsidRDefault="009F42EE" w:rsidP="005A480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Valeur</w:t>
            </w:r>
          </w:p>
        </w:tc>
      </w:tr>
      <w:tr w:rsidR="009F42EE" w:rsidRPr="004F0D77" w14:paraId="5EFBF2ED" w14:textId="77777777" w:rsidTr="005A4807">
        <w:tc>
          <w:tcPr>
            <w:tcW w:w="0" w:type="auto"/>
            <w:hideMark/>
          </w:tcPr>
          <w:p w14:paraId="5220690C"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du jeu de calibration</w:t>
            </w:r>
          </w:p>
        </w:tc>
        <w:tc>
          <w:tcPr>
            <w:tcW w:w="0" w:type="auto"/>
            <w:hideMark/>
          </w:tcPr>
          <w:p w14:paraId="406ADF0E"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678</w:t>
            </w:r>
          </w:p>
        </w:tc>
      </w:tr>
      <w:tr w:rsidR="009F42EE" w:rsidRPr="004F0D77" w14:paraId="53A4A91F" w14:textId="77777777" w:rsidTr="005A4807">
        <w:tc>
          <w:tcPr>
            <w:tcW w:w="0" w:type="auto"/>
            <w:hideMark/>
          </w:tcPr>
          <w:p w14:paraId="02A35BF2"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du jeu de test</w:t>
            </w:r>
          </w:p>
        </w:tc>
        <w:tc>
          <w:tcPr>
            <w:tcW w:w="0" w:type="auto"/>
            <w:hideMark/>
          </w:tcPr>
          <w:p w14:paraId="500B1154"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848</w:t>
            </w:r>
          </w:p>
        </w:tc>
      </w:tr>
      <w:tr w:rsidR="009F42EE" w:rsidRPr="004F0D77" w14:paraId="4D9292B8" w14:textId="77777777" w:rsidTr="005A4807">
        <w:tc>
          <w:tcPr>
            <w:tcW w:w="0" w:type="auto"/>
            <w:hideMark/>
          </w:tcPr>
          <w:p w14:paraId="6EF8E06D"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Niveau d’erreur cible (α)</w:t>
            </w:r>
          </w:p>
        </w:tc>
        <w:tc>
          <w:tcPr>
            <w:tcW w:w="0" w:type="auto"/>
            <w:hideMark/>
          </w:tcPr>
          <w:p w14:paraId="5CC6B174"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0,10</w:t>
            </w:r>
          </w:p>
        </w:tc>
      </w:tr>
      <w:tr w:rsidR="009F42EE" w:rsidRPr="004F0D77" w14:paraId="2CAFBADD" w14:textId="77777777" w:rsidTr="005A4807">
        <w:tc>
          <w:tcPr>
            <w:tcW w:w="0" w:type="auto"/>
            <w:hideMark/>
          </w:tcPr>
          <w:p w14:paraId="0B13860C"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globale</w:t>
            </w:r>
          </w:p>
        </w:tc>
        <w:tc>
          <w:tcPr>
            <w:tcW w:w="0" w:type="auto"/>
            <w:hideMark/>
          </w:tcPr>
          <w:p w14:paraId="070A2EBD"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0,902</w:t>
            </w:r>
          </w:p>
        </w:tc>
      </w:tr>
      <w:tr w:rsidR="009F42EE" w:rsidRPr="004F0D77" w14:paraId="7D5EECD5" w14:textId="77777777" w:rsidTr="005A4807">
        <w:tc>
          <w:tcPr>
            <w:tcW w:w="0" w:type="auto"/>
            <w:hideMark/>
          </w:tcPr>
          <w:p w14:paraId="6CA07E95"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classe 0</w:t>
            </w:r>
          </w:p>
        </w:tc>
        <w:tc>
          <w:tcPr>
            <w:tcW w:w="0" w:type="auto"/>
            <w:hideMark/>
          </w:tcPr>
          <w:p w14:paraId="64251336"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0,901</w:t>
            </w:r>
          </w:p>
        </w:tc>
      </w:tr>
      <w:tr w:rsidR="009F42EE" w:rsidRPr="004F0D77" w14:paraId="47ACD4C7" w14:textId="77777777" w:rsidTr="005A4807">
        <w:tc>
          <w:tcPr>
            <w:tcW w:w="0" w:type="auto"/>
            <w:hideMark/>
          </w:tcPr>
          <w:p w14:paraId="3DB0AF00"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lastRenderedPageBreak/>
              <w:t>Couverture classe 1</w:t>
            </w:r>
          </w:p>
        </w:tc>
        <w:tc>
          <w:tcPr>
            <w:tcW w:w="0" w:type="auto"/>
            <w:hideMark/>
          </w:tcPr>
          <w:p w14:paraId="3E366426"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0,907</w:t>
            </w:r>
          </w:p>
        </w:tc>
      </w:tr>
      <w:tr w:rsidR="009F42EE" w:rsidRPr="004F0D77" w14:paraId="7E0C146B" w14:textId="77777777" w:rsidTr="005A4807">
        <w:tc>
          <w:tcPr>
            <w:tcW w:w="0" w:type="auto"/>
            <w:hideMark/>
          </w:tcPr>
          <w:p w14:paraId="4C6BC15D"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{0}</w:t>
            </w:r>
          </w:p>
        </w:tc>
        <w:tc>
          <w:tcPr>
            <w:tcW w:w="0" w:type="auto"/>
            <w:hideMark/>
          </w:tcPr>
          <w:p w14:paraId="5CE5FC47"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280 / 848 (33,0 %)</w:t>
            </w:r>
          </w:p>
        </w:tc>
      </w:tr>
      <w:tr w:rsidR="009F42EE" w:rsidRPr="004F0D77" w14:paraId="1768D8B5" w14:textId="77777777" w:rsidTr="005A4807">
        <w:tc>
          <w:tcPr>
            <w:tcW w:w="0" w:type="auto"/>
            <w:hideMark/>
          </w:tcPr>
          <w:p w14:paraId="30784AE7"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{1}</w:t>
            </w:r>
          </w:p>
        </w:tc>
        <w:tc>
          <w:tcPr>
            <w:tcW w:w="0" w:type="auto"/>
            <w:hideMark/>
          </w:tcPr>
          <w:p w14:paraId="11DE477A"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104 / 848 (12,3 %)</w:t>
            </w:r>
          </w:p>
        </w:tc>
      </w:tr>
      <w:tr w:rsidR="009F42EE" w:rsidRPr="004F0D77" w14:paraId="24EB5E0C" w14:textId="77777777" w:rsidTr="005A4807">
        <w:tc>
          <w:tcPr>
            <w:tcW w:w="0" w:type="auto"/>
            <w:hideMark/>
          </w:tcPr>
          <w:p w14:paraId="2C4E52E0"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{0,1}</w:t>
            </w:r>
          </w:p>
        </w:tc>
        <w:tc>
          <w:tcPr>
            <w:tcW w:w="0" w:type="auto"/>
            <w:hideMark/>
          </w:tcPr>
          <w:p w14:paraId="53CE1AEA"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464 / 848 (54,7 %)</w:t>
            </w:r>
          </w:p>
        </w:tc>
      </w:tr>
      <w:tr w:rsidR="009F42EE" w:rsidRPr="004F0D77" w14:paraId="56EF9728" w14:textId="77777777" w:rsidTr="005A4807">
        <w:tc>
          <w:tcPr>
            <w:tcW w:w="0" w:type="auto"/>
            <w:hideMark/>
          </w:tcPr>
          <w:p w14:paraId="7483C06F"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vides (</w:t>
            </w:r>
            <w:r w:rsidRPr="004F0D77">
              <w:rPr>
                <w:rFonts w:ascii="Cambria Math" w:eastAsia="Times New Roman" w:hAnsi="Cambria Math" w:cs="Cambria Math"/>
                <w:kern w:val="0"/>
                <w:lang w:eastAsia="fr-BE"/>
                <w14:ligatures w14:val="none"/>
              </w:rPr>
              <w:t>∅</w:t>
            </w:r>
            <w:r w:rsidRPr="004F0D77">
              <w:rPr>
                <w:rFonts w:ascii="Times New Roman" w:eastAsia="Times New Roman" w:hAnsi="Times New Roman" w:cs="Times New Roman"/>
                <w:kern w:val="0"/>
                <w:lang w:eastAsia="fr-BE"/>
                <w14:ligatures w14:val="none"/>
              </w:rPr>
              <w:t>)</w:t>
            </w:r>
          </w:p>
        </w:tc>
        <w:tc>
          <w:tcPr>
            <w:tcW w:w="0" w:type="auto"/>
            <w:hideMark/>
          </w:tcPr>
          <w:p w14:paraId="7D7A4680"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 / 848 (0,0 %)</w:t>
            </w:r>
          </w:p>
        </w:tc>
      </w:tr>
      <w:tr w:rsidR="009F42EE" w:rsidRPr="004F0D77" w14:paraId="4DDB2600" w14:textId="77777777" w:rsidTr="005A4807">
        <w:tc>
          <w:tcPr>
            <w:tcW w:w="0" w:type="auto"/>
            <w:hideMark/>
          </w:tcPr>
          <w:p w14:paraId="4086C0B5"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moyenne des ensembles Γ(x)</w:t>
            </w:r>
          </w:p>
        </w:tc>
        <w:tc>
          <w:tcPr>
            <w:tcW w:w="0" w:type="auto"/>
            <w:hideMark/>
          </w:tcPr>
          <w:p w14:paraId="0C9BBE2B" w14:textId="77777777" w:rsidR="009F42EE" w:rsidRPr="004F0D77" w:rsidRDefault="009F42EE" w:rsidP="005A480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1,55</w:t>
            </w:r>
          </w:p>
        </w:tc>
      </w:tr>
    </w:tbl>
    <w:p w14:paraId="3AD28F20" w14:textId="5969DADA" w:rsidR="003F117F" w:rsidRDefault="003F117F">
      <w:pPr>
        <w:rPr>
          <w:rFonts w:ascii="Times New Roman" w:hAnsi="Times New Roman" w:cs="Times New Roman"/>
          <w:b/>
          <w:bCs/>
        </w:rPr>
      </w:pPr>
      <w:r>
        <w:rPr>
          <w:rFonts w:ascii="Times New Roman" w:hAnsi="Times New Roman" w:cs="Times New Roman"/>
          <w:b/>
          <w:bCs/>
        </w:rPr>
        <w:br w:type="page"/>
      </w:r>
    </w:p>
    <w:p w14:paraId="230AD0B6" w14:textId="19272C06" w:rsidR="003A4D32" w:rsidRDefault="003A4D32">
      <w:pPr>
        <w:rPr>
          <w:rFonts w:ascii="Times New Roman" w:hAnsi="Times New Roman" w:cs="Times New Roman"/>
          <w:b/>
          <w:bCs/>
        </w:rPr>
      </w:pPr>
      <w:r>
        <w:rPr>
          <w:rStyle w:val="lev"/>
        </w:rPr>
        <w:lastRenderedPageBreak/>
        <w:t>Partie III – Application 2 (images / Aziz)</w:t>
      </w:r>
      <w:r>
        <w:t xml:space="preserve"> </w:t>
      </w:r>
      <w:r>
        <w:rPr>
          <w:rFonts w:ascii="Times New Roman" w:hAnsi="Times New Roman" w:cs="Times New Roman"/>
          <w:b/>
          <w:bCs/>
        </w:rPr>
        <w:br w:type="page"/>
      </w:r>
    </w:p>
    <w:p w14:paraId="17F9CEE4" w14:textId="77777777" w:rsidR="003A4D32" w:rsidRDefault="003A4D32">
      <w:pPr>
        <w:rPr>
          <w:rFonts w:ascii="Times New Roman" w:hAnsi="Times New Roman" w:cs="Times New Roman"/>
          <w:b/>
          <w:bCs/>
        </w:rPr>
      </w:pPr>
    </w:p>
    <w:p w14:paraId="3E271F23" w14:textId="77777777" w:rsidR="00ED7FC8" w:rsidRDefault="00ED7FC8">
      <w:pPr>
        <w:rPr>
          <w:rFonts w:ascii="Times New Roman" w:hAnsi="Times New Roman" w:cs="Times New Roman"/>
          <w:b/>
          <w:bCs/>
        </w:rPr>
      </w:pPr>
      <w:r>
        <w:rPr>
          <w:rFonts w:ascii="Times New Roman" w:hAnsi="Times New Roman" w:cs="Times New Roman"/>
          <w:b/>
          <w:bCs/>
        </w:rPr>
        <w:t xml:space="preserve">Références bibliographique </w:t>
      </w:r>
    </w:p>
    <w:p w14:paraId="233C4655" w14:textId="77777777" w:rsidR="00D736FF" w:rsidRPr="00D736FF" w:rsidRDefault="00ED7FC8" w:rsidP="00D736FF">
      <w:pPr>
        <w:pStyle w:val="Bibliographie"/>
        <w:rPr>
          <w:rFonts w:ascii="Times New Roman" w:hAnsi="Times New Roman" w:cs="Times New Roman"/>
        </w:rPr>
      </w:pPr>
      <w:r>
        <w:rPr>
          <w:b/>
          <w:bCs/>
        </w:rPr>
        <w:fldChar w:fldCharType="begin"/>
      </w:r>
      <w:r>
        <w:rPr>
          <w:b/>
          <w:bCs/>
        </w:rPr>
        <w:instrText xml:space="preserve"> ADDIN ZOTERO_BIBL {"uncited":[],"omitted":[],"custom":[]} CSL_BIBLIOGRAPHY </w:instrText>
      </w:r>
      <w:r>
        <w:rPr>
          <w:b/>
          <w:bCs/>
        </w:rPr>
        <w:fldChar w:fldCharType="separate"/>
      </w:r>
      <w:r w:rsidR="00D736FF" w:rsidRPr="00D736FF">
        <w:rPr>
          <w:rFonts w:ascii="Times New Roman" w:hAnsi="Times New Roman" w:cs="Times New Roman"/>
        </w:rPr>
        <w:t>[1]</w:t>
      </w:r>
      <w:r w:rsidR="00D736FF" w:rsidRPr="00D736FF">
        <w:rPr>
          <w:rFonts w:ascii="Times New Roman" w:hAnsi="Times New Roman" w:cs="Times New Roman"/>
        </w:rPr>
        <w:tab/>
        <w:t>« Maladies cardiovasculaires (MCV) | Portail de connaissances et d’action sur les MNT ». Consulté le: 28 janvier 2026. [En ligne]. Disponible sur: https://knowledge-action-portal.com/en/content/cardiovascular-diseases-cvds</w:t>
      </w:r>
    </w:p>
    <w:p w14:paraId="5A62FEA6"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w:t>
      </w:r>
      <w:r w:rsidRPr="00D736FF">
        <w:rPr>
          <w:rFonts w:ascii="Times New Roman" w:hAnsi="Times New Roman" w:cs="Times New Roman"/>
          <w:lang w:val="en-US"/>
        </w:rPr>
        <w:tab/>
        <w:t xml:space="preserve">S. </w:t>
      </w:r>
      <w:proofErr w:type="spellStart"/>
      <w:r w:rsidRPr="00D736FF">
        <w:rPr>
          <w:rFonts w:ascii="Times New Roman" w:hAnsi="Times New Roman" w:cs="Times New Roman"/>
          <w:lang w:val="en-US"/>
        </w:rPr>
        <w:t>Momtazmanesh</w:t>
      </w:r>
      <w:proofErr w:type="spellEnd"/>
      <w:r w:rsidRPr="00D736FF">
        <w:rPr>
          <w:rFonts w:ascii="Times New Roman" w:hAnsi="Times New Roman" w:cs="Times New Roman"/>
          <w:lang w:val="en-US"/>
        </w:rPr>
        <w:t xml:space="preserve"> </w:t>
      </w:r>
      <w:r w:rsidRPr="00D736FF">
        <w:rPr>
          <w:rFonts w:ascii="Times New Roman" w:hAnsi="Times New Roman" w:cs="Times New Roman"/>
          <w:i/>
          <w:iCs/>
          <w:lang w:val="en-US"/>
        </w:rPr>
        <w:t>et al.</w:t>
      </w:r>
      <w:r w:rsidRPr="00D736FF">
        <w:rPr>
          <w:rFonts w:ascii="Times New Roman" w:hAnsi="Times New Roman" w:cs="Times New Roman"/>
          <w:lang w:val="en-US"/>
        </w:rPr>
        <w:t xml:space="preserve">, « Global burden of chronic respiratory diseases and risk factors, 1990–2019: an update from the Global Burden of Disease Study 2019 », </w:t>
      </w:r>
      <w:proofErr w:type="spellStart"/>
      <w:r w:rsidRPr="00D736FF">
        <w:rPr>
          <w:rFonts w:ascii="Times New Roman" w:hAnsi="Times New Roman" w:cs="Times New Roman"/>
          <w:i/>
          <w:iCs/>
          <w:lang w:val="en-US"/>
        </w:rPr>
        <w:t>eClinicalMedicine</w:t>
      </w:r>
      <w:proofErr w:type="spellEnd"/>
      <w:r w:rsidRPr="00D736FF">
        <w:rPr>
          <w:rFonts w:ascii="Times New Roman" w:hAnsi="Times New Roman" w:cs="Times New Roman"/>
          <w:lang w:val="en-US"/>
        </w:rPr>
        <w:t xml:space="preserve">, vol. 59, </w:t>
      </w:r>
      <w:proofErr w:type="spellStart"/>
      <w:r w:rsidRPr="00D736FF">
        <w:rPr>
          <w:rFonts w:ascii="Times New Roman" w:hAnsi="Times New Roman" w:cs="Times New Roman"/>
          <w:lang w:val="en-US"/>
        </w:rPr>
        <w:t>mai</w:t>
      </w:r>
      <w:proofErr w:type="spellEnd"/>
      <w:r w:rsidRPr="00D736FF">
        <w:rPr>
          <w:rFonts w:ascii="Times New Roman" w:hAnsi="Times New Roman" w:cs="Times New Roman"/>
          <w:lang w:val="en-US"/>
        </w:rPr>
        <w:t xml:space="preserve"> 2023,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10.1016/j.eclinm.2023.101936.</w:t>
      </w:r>
    </w:p>
    <w:p w14:paraId="22D002FE" w14:textId="77777777" w:rsidR="00D736FF" w:rsidRPr="00D736FF" w:rsidRDefault="00D736FF" w:rsidP="00D736FF">
      <w:pPr>
        <w:pStyle w:val="Bibliographie"/>
        <w:rPr>
          <w:rFonts w:ascii="Times New Roman" w:hAnsi="Times New Roman" w:cs="Times New Roman"/>
        </w:rPr>
      </w:pPr>
      <w:r w:rsidRPr="00D736FF">
        <w:rPr>
          <w:rFonts w:ascii="Times New Roman" w:hAnsi="Times New Roman" w:cs="Times New Roman"/>
        </w:rPr>
        <w:t>[3]</w:t>
      </w:r>
      <w:r w:rsidRPr="00D736FF">
        <w:rPr>
          <w:rFonts w:ascii="Times New Roman" w:hAnsi="Times New Roman" w:cs="Times New Roman"/>
        </w:rPr>
        <w:tab/>
        <w:t>« OMSRapport2024.pdf ». Consulté le: 28 janvier 2026. [En ligne]. Disponible sur: https://frhta.org/wp-content/uploads/2024/05/OMSRapport2024.pdf?utm_source=chatgpt.com</w:t>
      </w:r>
    </w:p>
    <w:p w14:paraId="210F9833"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[4]</w:t>
      </w:r>
      <w:r w:rsidRPr="00D736FF">
        <w:rPr>
          <w:rFonts w:ascii="Times New Roman" w:hAnsi="Times New Roman" w:cs="Times New Roman"/>
          <w:lang w:val="en-US"/>
        </w:rPr>
        <w:tab/>
        <w:t xml:space="preserve">E. Yuda, I. Kaneko, et D. Hirahara, « Machine-Learning Insights from the Framingham Heart Study: Enhancing Cardiovascular Risk Prediction and Monitoring », </w:t>
      </w:r>
      <w:r w:rsidRPr="00D736FF">
        <w:rPr>
          <w:rFonts w:ascii="Times New Roman" w:hAnsi="Times New Roman" w:cs="Times New Roman"/>
          <w:i/>
          <w:iCs/>
          <w:lang w:val="en-US"/>
        </w:rPr>
        <w:t>Appl. Sci.</w:t>
      </w:r>
      <w:r w:rsidRPr="00D736FF">
        <w:rPr>
          <w:rFonts w:ascii="Times New Roman" w:hAnsi="Times New Roman" w:cs="Times New Roman"/>
          <w:lang w:val="en-US"/>
        </w:rPr>
        <w:t>, vol. 15,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15, p. 8671, </w:t>
      </w:r>
      <w:proofErr w:type="spellStart"/>
      <w:r w:rsidRPr="00D736FF">
        <w:rPr>
          <w:rFonts w:ascii="Times New Roman" w:hAnsi="Times New Roman" w:cs="Times New Roman"/>
          <w:lang w:val="en-US"/>
        </w:rPr>
        <w:t>janv</w:t>
      </w:r>
      <w:proofErr w:type="spellEnd"/>
      <w:r w:rsidRPr="00D736FF">
        <w:rPr>
          <w:rFonts w:ascii="Times New Roman" w:hAnsi="Times New Roman" w:cs="Times New Roman"/>
          <w:lang w:val="en-US"/>
        </w:rPr>
        <w:t xml:space="preserve">. 2025,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10.3390/app15158671.</w:t>
      </w:r>
    </w:p>
    <w:p w14:paraId="6E4EB2C4"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[5]</w:t>
      </w:r>
      <w:r w:rsidRPr="00D736FF">
        <w:rPr>
          <w:rFonts w:ascii="Times New Roman" w:hAnsi="Times New Roman" w:cs="Times New Roman"/>
          <w:lang w:val="en-US"/>
        </w:rPr>
        <w:tab/>
        <w:t xml:space="preserve">P. </w:t>
      </w:r>
      <w:proofErr w:type="spellStart"/>
      <w:r w:rsidRPr="00D736FF">
        <w:rPr>
          <w:rFonts w:ascii="Times New Roman" w:hAnsi="Times New Roman" w:cs="Times New Roman"/>
          <w:lang w:val="en-US"/>
        </w:rPr>
        <w:t>Rajpurkar</w:t>
      </w:r>
      <w:proofErr w:type="spellEnd"/>
      <w:r w:rsidRPr="00D736FF">
        <w:rPr>
          <w:rFonts w:ascii="Times New Roman" w:hAnsi="Times New Roman" w:cs="Times New Roman"/>
          <w:lang w:val="en-US"/>
        </w:rPr>
        <w:t xml:space="preserve"> </w:t>
      </w:r>
      <w:r w:rsidRPr="00D736FF">
        <w:rPr>
          <w:rFonts w:ascii="Times New Roman" w:hAnsi="Times New Roman" w:cs="Times New Roman"/>
          <w:i/>
          <w:iCs/>
          <w:lang w:val="en-US"/>
        </w:rPr>
        <w:t>et al.</w:t>
      </w:r>
      <w:r w:rsidRPr="00D736FF">
        <w:rPr>
          <w:rFonts w:ascii="Times New Roman" w:hAnsi="Times New Roman" w:cs="Times New Roman"/>
          <w:lang w:val="en-US"/>
        </w:rPr>
        <w:t>, « </w:t>
      </w:r>
      <w:proofErr w:type="spellStart"/>
      <w:r w:rsidRPr="00D736FF">
        <w:rPr>
          <w:rFonts w:ascii="Times New Roman" w:hAnsi="Times New Roman" w:cs="Times New Roman"/>
          <w:lang w:val="en-US"/>
        </w:rPr>
        <w:t>CheXNet</w:t>
      </w:r>
      <w:proofErr w:type="spellEnd"/>
      <w:r w:rsidRPr="00D736FF">
        <w:rPr>
          <w:rFonts w:ascii="Times New Roman" w:hAnsi="Times New Roman" w:cs="Times New Roman"/>
          <w:lang w:val="en-US"/>
        </w:rPr>
        <w:t xml:space="preserve">: Radiologist-Level Pneumonia Detection on Chest X-Rays with Deep Learning », 1 </w:t>
      </w:r>
      <w:proofErr w:type="spellStart"/>
      <w:r w:rsidRPr="00D736FF">
        <w:rPr>
          <w:rFonts w:ascii="Times New Roman" w:hAnsi="Times New Roman" w:cs="Times New Roman"/>
          <w:lang w:val="en-US"/>
        </w:rPr>
        <w:t>novembre</w:t>
      </w:r>
      <w:proofErr w:type="spellEnd"/>
      <w:r w:rsidRPr="00D736FF">
        <w:rPr>
          <w:rFonts w:ascii="Times New Roman" w:hAnsi="Times New Roman" w:cs="Times New Roman"/>
          <w:lang w:val="en-US"/>
        </w:rPr>
        <w:t xml:space="preserve"> 2017, </w:t>
      </w:r>
      <w:proofErr w:type="spellStart"/>
      <w:r w:rsidRPr="00D736FF">
        <w:rPr>
          <w:rFonts w:ascii="Times New Roman" w:hAnsi="Times New Roman" w:cs="Times New Roman"/>
          <w:i/>
          <w:iCs/>
          <w:lang w:val="en-US"/>
        </w:rPr>
        <w:t>arXiv</w:t>
      </w:r>
      <w:proofErr w:type="spellEnd"/>
      <w:r w:rsidRPr="00D736FF">
        <w:rPr>
          <w:rFonts w:ascii="Times New Roman" w:hAnsi="Times New Roman" w:cs="Times New Roman"/>
          <w:lang w:val="en-US"/>
        </w:rPr>
        <w:t xml:space="preserve">.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10.48550/arXiv.1711.05225.</w:t>
      </w:r>
    </w:p>
    <w:p w14:paraId="5C2D0C07"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[6]</w:t>
      </w:r>
      <w:r w:rsidRPr="00D736FF">
        <w:rPr>
          <w:rFonts w:ascii="Times New Roman" w:hAnsi="Times New Roman" w:cs="Times New Roman"/>
          <w:lang w:val="en-US"/>
        </w:rPr>
        <w:tab/>
        <w:t xml:space="preserve">B. Lambert, F. Forbes, S. Doyle, H. Dehaene, et M. </w:t>
      </w:r>
      <w:proofErr w:type="spellStart"/>
      <w:r w:rsidRPr="00D736FF">
        <w:rPr>
          <w:rFonts w:ascii="Times New Roman" w:hAnsi="Times New Roman" w:cs="Times New Roman"/>
          <w:lang w:val="en-US"/>
        </w:rPr>
        <w:t>Dojat</w:t>
      </w:r>
      <w:proofErr w:type="spellEnd"/>
      <w:r w:rsidRPr="00D736FF">
        <w:rPr>
          <w:rFonts w:ascii="Times New Roman" w:hAnsi="Times New Roman" w:cs="Times New Roman"/>
          <w:lang w:val="en-US"/>
        </w:rPr>
        <w:t xml:space="preserve">, « Trustworthy clinical AI solutions: A unified review of uncertainty quantification in Deep Learning models for medical image analysis », </w:t>
      </w:r>
      <w:proofErr w:type="spellStart"/>
      <w:r w:rsidRPr="00D736FF">
        <w:rPr>
          <w:rFonts w:ascii="Times New Roman" w:hAnsi="Times New Roman" w:cs="Times New Roman"/>
          <w:i/>
          <w:iCs/>
          <w:lang w:val="en-US"/>
        </w:rPr>
        <w:t>Artif</w:t>
      </w:r>
      <w:proofErr w:type="spellEnd"/>
      <w:r w:rsidRPr="00D736FF">
        <w:rPr>
          <w:rFonts w:ascii="Times New Roman" w:hAnsi="Times New Roman" w:cs="Times New Roman"/>
          <w:i/>
          <w:iCs/>
          <w:lang w:val="en-US"/>
        </w:rPr>
        <w:t xml:space="preserve">. </w:t>
      </w:r>
      <w:proofErr w:type="spellStart"/>
      <w:r w:rsidRPr="00D736FF">
        <w:rPr>
          <w:rFonts w:ascii="Times New Roman" w:hAnsi="Times New Roman" w:cs="Times New Roman"/>
          <w:i/>
          <w:iCs/>
          <w:lang w:val="en-US"/>
        </w:rPr>
        <w:t>Intell</w:t>
      </w:r>
      <w:proofErr w:type="spellEnd"/>
      <w:r w:rsidRPr="00D736FF">
        <w:rPr>
          <w:rFonts w:ascii="Times New Roman" w:hAnsi="Times New Roman" w:cs="Times New Roman"/>
          <w:i/>
          <w:iCs/>
          <w:lang w:val="en-US"/>
        </w:rPr>
        <w:t>. Med.</w:t>
      </w:r>
      <w:r w:rsidRPr="00D736FF">
        <w:rPr>
          <w:rFonts w:ascii="Times New Roman" w:hAnsi="Times New Roman" w:cs="Times New Roman"/>
          <w:lang w:val="en-US"/>
        </w:rPr>
        <w:t xml:space="preserve">, vol. 150, p. 102830, </w:t>
      </w:r>
      <w:proofErr w:type="spellStart"/>
      <w:r w:rsidRPr="00D736FF">
        <w:rPr>
          <w:rFonts w:ascii="Times New Roman" w:hAnsi="Times New Roman" w:cs="Times New Roman"/>
          <w:lang w:val="en-US"/>
        </w:rPr>
        <w:t>avr</w:t>
      </w:r>
      <w:proofErr w:type="spellEnd"/>
      <w:r w:rsidRPr="00D736FF">
        <w:rPr>
          <w:rFonts w:ascii="Times New Roman" w:hAnsi="Times New Roman" w:cs="Times New Roman"/>
          <w:lang w:val="en-US"/>
        </w:rPr>
        <w:t xml:space="preserve">. 2024,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10.1016/j.artmed.2024.102830.</w:t>
      </w:r>
    </w:p>
    <w:p w14:paraId="47334814" w14:textId="77777777" w:rsidR="00D736FF" w:rsidRPr="00D736FF" w:rsidRDefault="00D736FF" w:rsidP="00D736FF">
      <w:pPr>
        <w:pStyle w:val="Bibliographie"/>
        <w:rPr>
          <w:rFonts w:ascii="Times New Roman" w:hAnsi="Times New Roman" w:cs="Times New Roman"/>
        </w:rPr>
      </w:pPr>
      <w:r w:rsidRPr="00D736FF">
        <w:rPr>
          <w:rFonts w:ascii="Times New Roman" w:hAnsi="Times New Roman" w:cs="Times New Roman"/>
          <w:lang w:val="en-US"/>
        </w:rPr>
        <w:t>[7]</w:t>
      </w:r>
      <w:r w:rsidRPr="00D736FF">
        <w:rPr>
          <w:rFonts w:ascii="Times New Roman" w:hAnsi="Times New Roman" w:cs="Times New Roman"/>
          <w:lang w:val="en-US"/>
        </w:rPr>
        <w:tab/>
        <w:t xml:space="preserve">« Framingham Heart Study (FHS) | NHLBI, NIH ». </w:t>
      </w:r>
      <w:r w:rsidRPr="00D736FF">
        <w:rPr>
          <w:rFonts w:ascii="Times New Roman" w:hAnsi="Times New Roman" w:cs="Times New Roman"/>
        </w:rPr>
        <w:t>Consulté le: 28 janvier 2026. [En ligne]. Disponible sur: https://www.nhlbi.nih.gov/science/framingham-heart-study-fhs</w:t>
      </w:r>
    </w:p>
    <w:p w14:paraId="1560F173"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[8]</w:t>
      </w:r>
      <w:r w:rsidRPr="00D736FF">
        <w:rPr>
          <w:rFonts w:ascii="Times New Roman" w:hAnsi="Times New Roman" w:cs="Times New Roman"/>
          <w:lang w:val="en-US"/>
        </w:rPr>
        <w:tab/>
        <w:t xml:space="preserve">R. B. D’Agostino Sr., M. J. Pencina, J. M. Massaro, et S. Coady, « Cardiovascular Disease Risk Assessment: Insights from Framingham », </w:t>
      </w:r>
      <w:r w:rsidRPr="00D736FF">
        <w:rPr>
          <w:rFonts w:ascii="Times New Roman" w:hAnsi="Times New Roman" w:cs="Times New Roman"/>
          <w:i/>
          <w:iCs/>
          <w:lang w:val="en-US"/>
        </w:rPr>
        <w:t>Glob. Heart</w:t>
      </w:r>
      <w:r w:rsidRPr="00D736FF">
        <w:rPr>
          <w:rFonts w:ascii="Times New Roman" w:hAnsi="Times New Roman" w:cs="Times New Roman"/>
          <w:lang w:val="en-US"/>
        </w:rPr>
        <w:t>, vol. 8,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1, p. 11, mars 2013,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10.1016/j.gheart.2013.01.001.</w:t>
      </w:r>
    </w:p>
    <w:p w14:paraId="431B7582" w14:textId="77777777" w:rsidR="00D736FF" w:rsidRPr="00D736FF" w:rsidRDefault="00D736FF" w:rsidP="00D736FF">
      <w:pPr>
        <w:pStyle w:val="Bibliographie"/>
        <w:rPr>
          <w:rFonts w:ascii="Times New Roman" w:hAnsi="Times New Roman" w:cs="Times New Roman"/>
        </w:rPr>
      </w:pPr>
      <w:r w:rsidRPr="00D736FF">
        <w:rPr>
          <w:rFonts w:ascii="Times New Roman" w:hAnsi="Times New Roman" w:cs="Times New Roman"/>
          <w:lang w:val="en-US"/>
        </w:rPr>
        <w:t>[9]</w:t>
      </w:r>
      <w:r w:rsidRPr="00D736FF">
        <w:rPr>
          <w:rFonts w:ascii="Times New Roman" w:hAnsi="Times New Roman" w:cs="Times New Roman"/>
          <w:lang w:val="en-US"/>
        </w:rPr>
        <w:tab/>
        <w:t>https://datasetninja.com/zhang-lab-data-chest-xray, « </w:t>
      </w:r>
      <w:proofErr w:type="spellStart"/>
      <w:r w:rsidRPr="00D736FF">
        <w:rPr>
          <w:rFonts w:ascii="Times New Roman" w:hAnsi="Times New Roman" w:cs="Times New Roman"/>
          <w:lang w:val="en-US"/>
        </w:rPr>
        <w:t>ZhangLabData</w:t>
      </w:r>
      <w:proofErr w:type="spellEnd"/>
      <w:r w:rsidRPr="00D736FF">
        <w:rPr>
          <w:rFonts w:ascii="Times New Roman" w:hAnsi="Times New Roman" w:cs="Times New Roman"/>
          <w:lang w:val="en-US"/>
        </w:rPr>
        <w:t xml:space="preserve">: Chest X-Ray », Dataset Ninja. </w:t>
      </w:r>
      <w:r w:rsidRPr="00D736FF">
        <w:rPr>
          <w:rFonts w:ascii="Times New Roman" w:hAnsi="Times New Roman" w:cs="Times New Roman"/>
        </w:rPr>
        <w:t>Consulté le: 28 janvier 2026. [En ligne]. Disponible sur: https://datasetninja.com/zhang-lab-data-chest-xray</w:t>
      </w:r>
    </w:p>
    <w:p w14:paraId="0F77E6EE"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[10]</w:t>
      </w:r>
      <w:r w:rsidRPr="00D736FF">
        <w:rPr>
          <w:rFonts w:ascii="Times New Roman" w:hAnsi="Times New Roman" w:cs="Times New Roman"/>
          <w:lang w:val="en-US"/>
        </w:rPr>
        <w:tab/>
        <w:t xml:space="preserve">S. J. Pan et Q. Yang, « A Survey on Transfer Learning », </w:t>
      </w:r>
      <w:r w:rsidRPr="00D736FF">
        <w:rPr>
          <w:rFonts w:ascii="Times New Roman" w:hAnsi="Times New Roman" w:cs="Times New Roman"/>
          <w:i/>
          <w:iCs/>
          <w:lang w:val="en-US"/>
        </w:rPr>
        <w:t xml:space="preserve">IEEE Trans. </w:t>
      </w:r>
      <w:proofErr w:type="spellStart"/>
      <w:r w:rsidRPr="00D736FF">
        <w:rPr>
          <w:rFonts w:ascii="Times New Roman" w:hAnsi="Times New Roman" w:cs="Times New Roman"/>
          <w:i/>
          <w:iCs/>
          <w:lang w:val="en-US"/>
        </w:rPr>
        <w:t>Knowl</w:t>
      </w:r>
      <w:proofErr w:type="spellEnd"/>
      <w:r w:rsidRPr="00D736FF">
        <w:rPr>
          <w:rFonts w:ascii="Times New Roman" w:hAnsi="Times New Roman" w:cs="Times New Roman"/>
          <w:i/>
          <w:iCs/>
          <w:lang w:val="en-US"/>
        </w:rPr>
        <w:t>. Data Eng.</w:t>
      </w:r>
      <w:r w:rsidRPr="00D736FF">
        <w:rPr>
          <w:rFonts w:ascii="Times New Roman" w:hAnsi="Times New Roman" w:cs="Times New Roman"/>
          <w:lang w:val="en-US"/>
        </w:rPr>
        <w:t>, vol. 22,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10, p. 1345‑1359, oct. 2010,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10.1109/TKDE.2009.191.</w:t>
      </w:r>
    </w:p>
    <w:p w14:paraId="05E2DEC1"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[11]</w:t>
      </w:r>
      <w:r w:rsidRPr="00D736FF">
        <w:rPr>
          <w:rFonts w:ascii="Times New Roman" w:hAnsi="Times New Roman" w:cs="Times New Roman"/>
          <w:lang w:val="en-US"/>
        </w:rPr>
        <w:tab/>
        <w:t xml:space="preserve">G. S. Collins </w:t>
      </w:r>
      <w:r w:rsidRPr="00D736FF">
        <w:rPr>
          <w:rFonts w:ascii="Times New Roman" w:hAnsi="Times New Roman" w:cs="Times New Roman"/>
          <w:i/>
          <w:iCs/>
          <w:lang w:val="en-US"/>
        </w:rPr>
        <w:t>et al.</w:t>
      </w:r>
      <w:r w:rsidRPr="00D736FF">
        <w:rPr>
          <w:rFonts w:ascii="Times New Roman" w:hAnsi="Times New Roman" w:cs="Times New Roman"/>
          <w:lang w:val="en-US"/>
        </w:rPr>
        <w:t xml:space="preserve">, « TRIPOD+AI statement: updated guidance for reporting clinical prediction models that use regression or machine learning methods », </w:t>
      </w:r>
      <w:r w:rsidRPr="00D736FF">
        <w:rPr>
          <w:rFonts w:ascii="Times New Roman" w:hAnsi="Times New Roman" w:cs="Times New Roman"/>
          <w:i/>
          <w:iCs/>
          <w:lang w:val="en-US"/>
        </w:rPr>
        <w:t>BMJ</w:t>
      </w:r>
      <w:r w:rsidRPr="00D736FF">
        <w:rPr>
          <w:rFonts w:ascii="Times New Roman" w:hAnsi="Times New Roman" w:cs="Times New Roman"/>
          <w:lang w:val="en-US"/>
        </w:rPr>
        <w:t xml:space="preserve">, vol. 385, p. e078378, </w:t>
      </w:r>
      <w:proofErr w:type="spellStart"/>
      <w:r w:rsidRPr="00D736FF">
        <w:rPr>
          <w:rFonts w:ascii="Times New Roman" w:hAnsi="Times New Roman" w:cs="Times New Roman"/>
          <w:lang w:val="en-US"/>
        </w:rPr>
        <w:t>avr</w:t>
      </w:r>
      <w:proofErr w:type="spellEnd"/>
      <w:r w:rsidRPr="00D736FF">
        <w:rPr>
          <w:rFonts w:ascii="Times New Roman" w:hAnsi="Times New Roman" w:cs="Times New Roman"/>
          <w:lang w:val="en-US"/>
        </w:rPr>
        <w:t xml:space="preserve">. 2024,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10.1136/bmj-2023-078378.</w:t>
      </w:r>
    </w:p>
    <w:p w14:paraId="6B883E9E"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[12]</w:t>
      </w:r>
      <w:r w:rsidRPr="00D736FF">
        <w:rPr>
          <w:rFonts w:ascii="Times New Roman" w:hAnsi="Times New Roman" w:cs="Times New Roman"/>
          <w:lang w:val="en-US"/>
        </w:rPr>
        <w:tab/>
        <w:t xml:space="preserve">L. Gao, L. Zhang, C. Liu, et S. Wu, « Handling imbalanced medical image data: A deep-learning-based one-class classification approach », </w:t>
      </w:r>
      <w:proofErr w:type="spellStart"/>
      <w:r w:rsidRPr="00D736FF">
        <w:rPr>
          <w:rFonts w:ascii="Times New Roman" w:hAnsi="Times New Roman" w:cs="Times New Roman"/>
          <w:i/>
          <w:iCs/>
          <w:lang w:val="en-US"/>
        </w:rPr>
        <w:t>Artif</w:t>
      </w:r>
      <w:proofErr w:type="spellEnd"/>
      <w:r w:rsidRPr="00D736FF">
        <w:rPr>
          <w:rFonts w:ascii="Times New Roman" w:hAnsi="Times New Roman" w:cs="Times New Roman"/>
          <w:i/>
          <w:iCs/>
          <w:lang w:val="en-US"/>
        </w:rPr>
        <w:t xml:space="preserve">. </w:t>
      </w:r>
      <w:proofErr w:type="spellStart"/>
      <w:r w:rsidRPr="00D736FF">
        <w:rPr>
          <w:rFonts w:ascii="Times New Roman" w:hAnsi="Times New Roman" w:cs="Times New Roman"/>
          <w:i/>
          <w:iCs/>
          <w:lang w:val="en-US"/>
        </w:rPr>
        <w:t>Intell</w:t>
      </w:r>
      <w:proofErr w:type="spellEnd"/>
      <w:r w:rsidRPr="00D736FF">
        <w:rPr>
          <w:rFonts w:ascii="Times New Roman" w:hAnsi="Times New Roman" w:cs="Times New Roman"/>
          <w:i/>
          <w:iCs/>
          <w:lang w:val="en-US"/>
        </w:rPr>
        <w:t>. Med.</w:t>
      </w:r>
      <w:r w:rsidRPr="00D736FF">
        <w:rPr>
          <w:rFonts w:ascii="Times New Roman" w:hAnsi="Times New Roman" w:cs="Times New Roman"/>
          <w:lang w:val="en-US"/>
        </w:rPr>
        <w:t xml:space="preserve">, vol. 108, p. 101935, </w:t>
      </w:r>
      <w:proofErr w:type="spellStart"/>
      <w:r w:rsidRPr="00D736FF">
        <w:rPr>
          <w:rFonts w:ascii="Times New Roman" w:hAnsi="Times New Roman" w:cs="Times New Roman"/>
          <w:lang w:val="en-US"/>
        </w:rPr>
        <w:t>août</w:t>
      </w:r>
      <w:proofErr w:type="spellEnd"/>
      <w:r w:rsidRPr="00D736FF">
        <w:rPr>
          <w:rFonts w:ascii="Times New Roman" w:hAnsi="Times New Roman" w:cs="Times New Roman"/>
          <w:lang w:val="en-US"/>
        </w:rPr>
        <w:t xml:space="preserve"> 2020,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10.1016/j.artmed.2020.101935.</w:t>
      </w:r>
    </w:p>
    <w:p w14:paraId="64D72F8D"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[13]</w:t>
      </w:r>
      <w:r w:rsidRPr="00D736FF">
        <w:rPr>
          <w:rFonts w:ascii="Times New Roman" w:hAnsi="Times New Roman" w:cs="Times New Roman"/>
          <w:lang w:val="en-US"/>
        </w:rPr>
        <w:tab/>
        <w:t xml:space="preserve">N. V. Chawla, K. W. Bowyer, L. O. Hall, et W. P. </w:t>
      </w:r>
      <w:proofErr w:type="spellStart"/>
      <w:r w:rsidRPr="00D736FF">
        <w:rPr>
          <w:rFonts w:ascii="Times New Roman" w:hAnsi="Times New Roman" w:cs="Times New Roman"/>
          <w:lang w:val="en-US"/>
        </w:rPr>
        <w:t>Kegelmeyer</w:t>
      </w:r>
      <w:proofErr w:type="spellEnd"/>
      <w:r w:rsidRPr="00D736FF">
        <w:rPr>
          <w:rFonts w:ascii="Times New Roman" w:hAnsi="Times New Roman" w:cs="Times New Roman"/>
          <w:lang w:val="en-US"/>
        </w:rPr>
        <w:t xml:space="preserve">, « SMOTE: Synthetic Minority Over-sampling Technique », </w:t>
      </w:r>
      <w:r w:rsidRPr="00D736FF">
        <w:rPr>
          <w:rFonts w:ascii="Times New Roman" w:hAnsi="Times New Roman" w:cs="Times New Roman"/>
          <w:i/>
          <w:iCs/>
          <w:lang w:val="en-US"/>
        </w:rPr>
        <w:t xml:space="preserve">J. </w:t>
      </w:r>
      <w:proofErr w:type="spellStart"/>
      <w:r w:rsidRPr="00D736FF">
        <w:rPr>
          <w:rFonts w:ascii="Times New Roman" w:hAnsi="Times New Roman" w:cs="Times New Roman"/>
          <w:i/>
          <w:iCs/>
          <w:lang w:val="en-US"/>
        </w:rPr>
        <w:t>Artif</w:t>
      </w:r>
      <w:proofErr w:type="spellEnd"/>
      <w:r w:rsidRPr="00D736FF">
        <w:rPr>
          <w:rFonts w:ascii="Times New Roman" w:hAnsi="Times New Roman" w:cs="Times New Roman"/>
          <w:i/>
          <w:iCs/>
          <w:lang w:val="en-US"/>
        </w:rPr>
        <w:t xml:space="preserve">. </w:t>
      </w:r>
      <w:proofErr w:type="spellStart"/>
      <w:r w:rsidRPr="00D736FF">
        <w:rPr>
          <w:rFonts w:ascii="Times New Roman" w:hAnsi="Times New Roman" w:cs="Times New Roman"/>
          <w:i/>
          <w:iCs/>
          <w:lang w:val="en-US"/>
        </w:rPr>
        <w:t>Intell</w:t>
      </w:r>
      <w:proofErr w:type="spellEnd"/>
      <w:r w:rsidRPr="00D736FF">
        <w:rPr>
          <w:rFonts w:ascii="Times New Roman" w:hAnsi="Times New Roman" w:cs="Times New Roman"/>
          <w:i/>
          <w:iCs/>
          <w:lang w:val="en-US"/>
        </w:rPr>
        <w:t>. Res.</w:t>
      </w:r>
      <w:r w:rsidRPr="00D736FF">
        <w:rPr>
          <w:rFonts w:ascii="Times New Roman" w:hAnsi="Times New Roman" w:cs="Times New Roman"/>
          <w:lang w:val="en-US"/>
        </w:rPr>
        <w:t xml:space="preserve">, vol. 16, p. 321‑357, </w:t>
      </w:r>
      <w:proofErr w:type="spellStart"/>
      <w:r w:rsidRPr="00D736FF">
        <w:rPr>
          <w:rFonts w:ascii="Times New Roman" w:hAnsi="Times New Roman" w:cs="Times New Roman"/>
          <w:lang w:val="en-US"/>
        </w:rPr>
        <w:t>juin</w:t>
      </w:r>
      <w:proofErr w:type="spellEnd"/>
      <w:r w:rsidRPr="00D736FF">
        <w:rPr>
          <w:rFonts w:ascii="Times New Roman" w:hAnsi="Times New Roman" w:cs="Times New Roman"/>
          <w:lang w:val="en-US"/>
        </w:rPr>
        <w:t xml:space="preserve"> 2002,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10.1613/jair.953.</w:t>
      </w:r>
    </w:p>
    <w:p w14:paraId="2E4833AD" w14:textId="77777777" w:rsidR="00D736FF" w:rsidRPr="00D736FF" w:rsidRDefault="00D736FF" w:rsidP="00D736FF">
      <w:pPr>
        <w:pStyle w:val="Bibliographie"/>
        <w:rPr>
          <w:rFonts w:ascii="Times New Roman" w:hAnsi="Times New Roman" w:cs="Times New Roman"/>
        </w:rPr>
      </w:pPr>
      <w:r w:rsidRPr="00D736FF">
        <w:rPr>
          <w:rFonts w:ascii="Times New Roman" w:hAnsi="Times New Roman" w:cs="Times New Roman"/>
          <w:lang w:val="en-US"/>
        </w:rPr>
        <w:t>[14]</w:t>
      </w:r>
      <w:r w:rsidRPr="00D736FF">
        <w:rPr>
          <w:rFonts w:ascii="Times New Roman" w:hAnsi="Times New Roman" w:cs="Times New Roman"/>
          <w:lang w:val="en-US"/>
        </w:rPr>
        <w:tab/>
        <w:t xml:space="preserve">V. Farooq, S. </w:t>
      </w:r>
      <w:proofErr w:type="spellStart"/>
      <w:r w:rsidRPr="00D736FF">
        <w:rPr>
          <w:rFonts w:ascii="Times New Roman" w:hAnsi="Times New Roman" w:cs="Times New Roman"/>
          <w:lang w:val="en-US"/>
        </w:rPr>
        <w:t>Brugaletta</w:t>
      </w:r>
      <w:proofErr w:type="spellEnd"/>
      <w:r w:rsidRPr="00D736FF">
        <w:rPr>
          <w:rFonts w:ascii="Times New Roman" w:hAnsi="Times New Roman" w:cs="Times New Roman"/>
          <w:lang w:val="en-US"/>
        </w:rPr>
        <w:t xml:space="preserve">, P. Vranckx, et P. W. </w:t>
      </w:r>
      <w:proofErr w:type="spellStart"/>
      <w:r w:rsidRPr="00D736FF">
        <w:rPr>
          <w:rFonts w:ascii="Times New Roman" w:hAnsi="Times New Roman" w:cs="Times New Roman"/>
          <w:lang w:val="en-US"/>
        </w:rPr>
        <w:t>Serruys</w:t>
      </w:r>
      <w:proofErr w:type="spellEnd"/>
      <w:r w:rsidRPr="00D736FF">
        <w:rPr>
          <w:rFonts w:ascii="Times New Roman" w:hAnsi="Times New Roman" w:cs="Times New Roman"/>
          <w:lang w:val="en-US"/>
        </w:rPr>
        <w:t xml:space="preserve">, « A guide to interpreting and assessing the performance of prediction models ». </w:t>
      </w:r>
      <w:r w:rsidRPr="00D736FF">
        <w:rPr>
          <w:rFonts w:ascii="Times New Roman" w:hAnsi="Times New Roman" w:cs="Times New Roman"/>
        </w:rPr>
        <w:t>Consulté le: 28 janvier 2026. [En ligne]. Disponible sur: https://eurointervention.pcronline.com/article/a-guide-to-interpreting-and-assessing-the-performance-of-prediction-models</w:t>
      </w:r>
    </w:p>
    <w:p w14:paraId="22F34C91" w14:textId="77777777" w:rsidR="00D736FF" w:rsidRPr="00D736FF" w:rsidRDefault="00D736FF" w:rsidP="00D736FF">
      <w:pPr>
        <w:pStyle w:val="Bibliographie"/>
        <w:rPr>
          <w:rFonts w:ascii="Times New Roman" w:hAnsi="Times New Roman" w:cs="Times New Roman"/>
        </w:rPr>
      </w:pPr>
      <w:r w:rsidRPr="00D736FF">
        <w:rPr>
          <w:rFonts w:ascii="Times New Roman" w:hAnsi="Times New Roman" w:cs="Times New Roman"/>
          <w:lang w:val="en-US"/>
        </w:rPr>
        <w:t>[15]</w:t>
      </w:r>
      <w:r w:rsidRPr="00D736FF">
        <w:rPr>
          <w:rFonts w:ascii="Times New Roman" w:hAnsi="Times New Roman" w:cs="Times New Roman"/>
          <w:lang w:val="en-US"/>
        </w:rPr>
        <w:tab/>
        <w:t xml:space="preserve">« Clinical Prediction Models: A Practical Approach to Development, Validation, and Updating [2nd ed.] 978-3-030-16398-3;978-3-030-16399-0 », dokumen.pub. </w:t>
      </w:r>
      <w:proofErr w:type="spellStart"/>
      <w:r w:rsidRPr="00D736FF">
        <w:rPr>
          <w:rFonts w:ascii="Times New Roman" w:hAnsi="Times New Roman" w:cs="Times New Roman"/>
          <w:lang w:val="en-US"/>
        </w:rPr>
        <w:t>Consulté</w:t>
      </w:r>
      <w:proofErr w:type="spellEnd"/>
      <w:r w:rsidRPr="00D736FF">
        <w:rPr>
          <w:rFonts w:ascii="Times New Roman" w:hAnsi="Times New Roman" w:cs="Times New Roman"/>
          <w:lang w:val="en-US"/>
        </w:rPr>
        <w:t xml:space="preserve"> le: 28 </w:t>
      </w:r>
      <w:proofErr w:type="spellStart"/>
      <w:r w:rsidRPr="00D736FF">
        <w:rPr>
          <w:rFonts w:ascii="Times New Roman" w:hAnsi="Times New Roman" w:cs="Times New Roman"/>
          <w:lang w:val="en-US"/>
        </w:rPr>
        <w:t>janvier</w:t>
      </w:r>
      <w:proofErr w:type="spellEnd"/>
      <w:r w:rsidRPr="00D736FF">
        <w:rPr>
          <w:rFonts w:ascii="Times New Roman" w:hAnsi="Times New Roman" w:cs="Times New Roman"/>
          <w:lang w:val="en-US"/>
        </w:rPr>
        <w:t xml:space="preserve"> 2026. </w:t>
      </w:r>
      <w:r w:rsidRPr="00D736FF">
        <w:rPr>
          <w:rFonts w:ascii="Times New Roman" w:hAnsi="Times New Roman" w:cs="Times New Roman"/>
        </w:rPr>
        <w:t>[En ligne]. Disponible sur: https://dokumen.pub/clinical-prediction-models-a-practical-approach-to-development-validation-and-updating-2nd-ed-978-3-030-16398-3978-3-030-16399-0.html</w:t>
      </w:r>
    </w:p>
    <w:p w14:paraId="6ACD0C8C"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lastRenderedPageBreak/>
        <w:t>[16]</w:t>
      </w:r>
      <w:r w:rsidRPr="00D736FF">
        <w:rPr>
          <w:rFonts w:ascii="Times New Roman" w:hAnsi="Times New Roman" w:cs="Times New Roman"/>
          <w:lang w:val="en-US"/>
        </w:rPr>
        <w:tab/>
        <w:t xml:space="preserve">B. V. </w:t>
      </w:r>
      <w:proofErr w:type="spellStart"/>
      <w:r w:rsidRPr="00D736FF">
        <w:rPr>
          <w:rFonts w:ascii="Times New Roman" w:hAnsi="Times New Roman" w:cs="Times New Roman"/>
          <w:lang w:val="en-US"/>
        </w:rPr>
        <w:t>Calster</w:t>
      </w:r>
      <w:proofErr w:type="spellEnd"/>
      <w:r w:rsidRPr="00D736FF">
        <w:rPr>
          <w:rFonts w:ascii="Times New Roman" w:hAnsi="Times New Roman" w:cs="Times New Roman"/>
          <w:lang w:val="en-US"/>
        </w:rPr>
        <w:t xml:space="preserve"> </w:t>
      </w:r>
      <w:r w:rsidRPr="00D736FF">
        <w:rPr>
          <w:rFonts w:ascii="Times New Roman" w:hAnsi="Times New Roman" w:cs="Times New Roman"/>
          <w:i/>
          <w:iCs/>
          <w:lang w:val="en-US"/>
        </w:rPr>
        <w:t>et al.</w:t>
      </w:r>
      <w:r w:rsidRPr="00D736FF">
        <w:rPr>
          <w:rFonts w:ascii="Times New Roman" w:hAnsi="Times New Roman" w:cs="Times New Roman"/>
          <w:lang w:val="en-US"/>
        </w:rPr>
        <w:t xml:space="preserve">, « Performance evaluation of predictive AI models to support medical decisions: Overview and guidance », 13 </w:t>
      </w:r>
      <w:proofErr w:type="spellStart"/>
      <w:r w:rsidRPr="00D736FF">
        <w:rPr>
          <w:rFonts w:ascii="Times New Roman" w:hAnsi="Times New Roman" w:cs="Times New Roman"/>
          <w:lang w:val="en-US"/>
        </w:rPr>
        <w:t>décembre</w:t>
      </w:r>
      <w:proofErr w:type="spellEnd"/>
      <w:r w:rsidRPr="00D736FF">
        <w:rPr>
          <w:rFonts w:ascii="Times New Roman" w:hAnsi="Times New Roman" w:cs="Times New Roman"/>
          <w:lang w:val="en-US"/>
        </w:rPr>
        <w:t xml:space="preserve"> 2024, </w:t>
      </w:r>
      <w:proofErr w:type="spellStart"/>
      <w:r w:rsidRPr="00D736FF">
        <w:rPr>
          <w:rFonts w:ascii="Times New Roman" w:hAnsi="Times New Roman" w:cs="Times New Roman"/>
          <w:i/>
          <w:iCs/>
          <w:lang w:val="en-US"/>
        </w:rPr>
        <w:t>arXiv</w:t>
      </w:r>
      <w:proofErr w:type="spellEnd"/>
      <w:r w:rsidRPr="00D736FF">
        <w:rPr>
          <w:rFonts w:ascii="Times New Roman" w:hAnsi="Times New Roman" w:cs="Times New Roman"/>
          <w:lang w:val="en-US"/>
        </w:rPr>
        <w:t xml:space="preserve">: arXiv:2412.10288.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10.48550/arXiv.2412.10288.</w:t>
      </w:r>
    </w:p>
    <w:p w14:paraId="576747B3"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[17]</w:t>
      </w:r>
      <w:r w:rsidRPr="00D736FF">
        <w:rPr>
          <w:rFonts w:ascii="Times New Roman" w:hAnsi="Times New Roman" w:cs="Times New Roman"/>
          <w:lang w:val="en-US"/>
        </w:rPr>
        <w:tab/>
        <w:t xml:space="preserve">T. Saito et M. </w:t>
      </w:r>
      <w:proofErr w:type="spellStart"/>
      <w:r w:rsidRPr="00D736FF">
        <w:rPr>
          <w:rFonts w:ascii="Times New Roman" w:hAnsi="Times New Roman" w:cs="Times New Roman"/>
          <w:lang w:val="en-US"/>
        </w:rPr>
        <w:t>Rehmsmeier</w:t>
      </w:r>
      <w:proofErr w:type="spellEnd"/>
      <w:r w:rsidRPr="00D736FF">
        <w:rPr>
          <w:rFonts w:ascii="Times New Roman" w:hAnsi="Times New Roman" w:cs="Times New Roman"/>
          <w:lang w:val="en-US"/>
        </w:rPr>
        <w:t xml:space="preserve">, « The Precision-Recall Plot Is More Informative than the ROC Plot When Evaluating Binary Classifiers on Imbalanced Datasets », </w:t>
      </w:r>
      <w:r w:rsidRPr="00D736FF">
        <w:rPr>
          <w:rFonts w:ascii="Times New Roman" w:hAnsi="Times New Roman" w:cs="Times New Roman"/>
          <w:i/>
          <w:iCs/>
          <w:lang w:val="en-US"/>
        </w:rPr>
        <w:t>PLOS ONE</w:t>
      </w:r>
      <w:r w:rsidRPr="00D736FF">
        <w:rPr>
          <w:rFonts w:ascii="Times New Roman" w:hAnsi="Times New Roman" w:cs="Times New Roman"/>
          <w:lang w:val="en-US"/>
        </w:rPr>
        <w:t>, vol. 10,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3, p. e0118432, mars 2015,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10.1371/journal.pone.0118432.</w:t>
      </w:r>
    </w:p>
    <w:p w14:paraId="30368D26"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[18]</w:t>
      </w:r>
      <w:r w:rsidRPr="00D736FF">
        <w:rPr>
          <w:rFonts w:ascii="Times New Roman" w:hAnsi="Times New Roman" w:cs="Times New Roman"/>
          <w:lang w:val="en-US"/>
        </w:rPr>
        <w:tab/>
        <w:t xml:space="preserve">L. Tao, M. Dong, D. Liu, C. Sun, et C. Xu, « Calibrating a Deep Neural Network with Its Predecessors », in </w:t>
      </w:r>
      <w:r w:rsidRPr="00D736FF">
        <w:rPr>
          <w:rFonts w:ascii="Times New Roman" w:hAnsi="Times New Roman" w:cs="Times New Roman"/>
          <w:i/>
          <w:iCs/>
          <w:lang w:val="en-US"/>
        </w:rPr>
        <w:t>Proceedings of the Thirty-Second International Joint Conference on Artificial Intelligence</w:t>
      </w:r>
      <w:r w:rsidRPr="00D736FF">
        <w:rPr>
          <w:rFonts w:ascii="Times New Roman" w:hAnsi="Times New Roman" w:cs="Times New Roman"/>
          <w:lang w:val="en-US"/>
        </w:rPr>
        <w:t xml:space="preserve">, Macau, SAR China: International Joint Conferences on Artificial Intelligence Organization, </w:t>
      </w:r>
      <w:proofErr w:type="spellStart"/>
      <w:r w:rsidRPr="00D736FF">
        <w:rPr>
          <w:rFonts w:ascii="Times New Roman" w:hAnsi="Times New Roman" w:cs="Times New Roman"/>
          <w:lang w:val="en-US"/>
        </w:rPr>
        <w:t>août</w:t>
      </w:r>
      <w:proofErr w:type="spellEnd"/>
      <w:r w:rsidRPr="00D736FF">
        <w:rPr>
          <w:rFonts w:ascii="Times New Roman" w:hAnsi="Times New Roman" w:cs="Times New Roman"/>
          <w:lang w:val="en-US"/>
        </w:rPr>
        <w:t xml:space="preserve"> 2023, p. 4271‑4279.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10.24963/ijcai.2023/475.</w:t>
      </w:r>
    </w:p>
    <w:p w14:paraId="37D1AC98"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[19]</w:t>
      </w:r>
      <w:r w:rsidRPr="00D736FF">
        <w:rPr>
          <w:rFonts w:ascii="Times New Roman" w:hAnsi="Times New Roman" w:cs="Times New Roman"/>
          <w:lang w:val="en-US"/>
        </w:rPr>
        <w:tab/>
        <w:t xml:space="preserve">V. Vovk, « Lecture 3: Conformal prediction », </w:t>
      </w:r>
      <w:r w:rsidRPr="00D736FF">
        <w:rPr>
          <w:rFonts w:ascii="Times New Roman" w:hAnsi="Times New Roman" w:cs="Times New Roman"/>
          <w:i/>
          <w:iCs/>
          <w:lang w:val="en-US"/>
        </w:rPr>
        <w:t>Two Cult.</w:t>
      </w:r>
      <w:r w:rsidRPr="00D736FF">
        <w:rPr>
          <w:rFonts w:ascii="Times New Roman" w:hAnsi="Times New Roman" w:cs="Times New Roman"/>
          <w:lang w:val="en-US"/>
        </w:rPr>
        <w:t>.</w:t>
      </w:r>
    </w:p>
    <w:p w14:paraId="01D70922"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[20]</w:t>
      </w:r>
      <w:r w:rsidRPr="00D736FF">
        <w:rPr>
          <w:rFonts w:ascii="Times New Roman" w:hAnsi="Times New Roman" w:cs="Times New Roman"/>
          <w:lang w:val="en-US"/>
        </w:rPr>
        <w:tab/>
        <w:t xml:space="preserve">R. B. D’Agostino </w:t>
      </w:r>
      <w:r w:rsidRPr="00D736FF">
        <w:rPr>
          <w:rFonts w:ascii="Times New Roman" w:hAnsi="Times New Roman" w:cs="Times New Roman"/>
          <w:i/>
          <w:iCs/>
          <w:lang w:val="en-US"/>
        </w:rPr>
        <w:t>et al.</w:t>
      </w:r>
      <w:r w:rsidRPr="00D736FF">
        <w:rPr>
          <w:rFonts w:ascii="Times New Roman" w:hAnsi="Times New Roman" w:cs="Times New Roman"/>
          <w:lang w:val="en-US"/>
        </w:rPr>
        <w:t xml:space="preserve">, « General cardiovascular risk profile for use in primary care: the Framingham Heart Study », </w:t>
      </w:r>
      <w:r w:rsidRPr="00D736FF">
        <w:rPr>
          <w:rFonts w:ascii="Times New Roman" w:hAnsi="Times New Roman" w:cs="Times New Roman"/>
          <w:i/>
          <w:iCs/>
          <w:lang w:val="en-US"/>
        </w:rPr>
        <w:t>Circulation</w:t>
      </w:r>
      <w:r w:rsidRPr="00D736FF">
        <w:rPr>
          <w:rFonts w:ascii="Times New Roman" w:hAnsi="Times New Roman" w:cs="Times New Roman"/>
          <w:lang w:val="en-US"/>
        </w:rPr>
        <w:t>, vol. 117,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6, p. 743‑753, </w:t>
      </w:r>
      <w:proofErr w:type="spellStart"/>
      <w:r w:rsidRPr="00D736FF">
        <w:rPr>
          <w:rFonts w:ascii="Times New Roman" w:hAnsi="Times New Roman" w:cs="Times New Roman"/>
          <w:lang w:val="en-US"/>
        </w:rPr>
        <w:t>févr</w:t>
      </w:r>
      <w:proofErr w:type="spellEnd"/>
      <w:r w:rsidRPr="00D736FF">
        <w:rPr>
          <w:rFonts w:ascii="Times New Roman" w:hAnsi="Times New Roman" w:cs="Times New Roman"/>
          <w:lang w:val="en-US"/>
        </w:rPr>
        <w:t xml:space="preserve">. 2008,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10.1161/CIRCULATIONAHA.107.699579.</w:t>
      </w:r>
    </w:p>
    <w:p w14:paraId="3185FC86"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[21]</w:t>
      </w:r>
      <w:r w:rsidRPr="00D736FF">
        <w:rPr>
          <w:rFonts w:ascii="Times New Roman" w:hAnsi="Times New Roman" w:cs="Times New Roman"/>
          <w:lang w:val="en-US"/>
        </w:rPr>
        <w:tab/>
        <w:t xml:space="preserve">P. W. F. Wilson, R. B. D’Agostino, D. Levy, A. M. Belanger, H. </w:t>
      </w:r>
      <w:proofErr w:type="spellStart"/>
      <w:r w:rsidRPr="00D736FF">
        <w:rPr>
          <w:rFonts w:ascii="Times New Roman" w:hAnsi="Times New Roman" w:cs="Times New Roman"/>
          <w:lang w:val="en-US"/>
        </w:rPr>
        <w:t>Silbershatz</w:t>
      </w:r>
      <w:proofErr w:type="spellEnd"/>
      <w:r w:rsidRPr="00D736FF">
        <w:rPr>
          <w:rFonts w:ascii="Times New Roman" w:hAnsi="Times New Roman" w:cs="Times New Roman"/>
          <w:lang w:val="en-US"/>
        </w:rPr>
        <w:t xml:space="preserve">, et W. B. Kannel, « Prediction of Coronary Heart Disease Using Risk Factor Categories », </w:t>
      </w:r>
      <w:r w:rsidRPr="00D736FF">
        <w:rPr>
          <w:rFonts w:ascii="Times New Roman" w:hAnsi="Times New Roman" w:cs="Times New Roman"/>
          <w:i/>
          <w:iCs/>
          <w:lang w:val="en-US"/>
        </w:rPr>
        <w:t>Circulation</w:t>
      </w:r>
      <w:r w:rsidRPr="00D736FF">
        <w:rPr>
          <w:rFonts w:ascii="Times New Roman" w:hAnsi="Times New Roman" w:cs="Times New Roman"/>
          <w:lang w:val="en-US"/>
        </w:rPr>
        <w:t>, vol. 97,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18, p. 1837‑1847, </w:t>
      </w:r>
      <w:proofErr w:type="spellStart"/>
      <w:r w:rsidRPr="00D736FF">
        <w:rPr>
          <w:rFonts w:ascii="Times New Roman" w:hAnsi="Times New Roman" w:cs="Times New Roman"/>
          <w:lang w:val="en-US"/>
        </w:rPr>
        <w:t>mai</w:t>
      </w:r>
      <w:proofErr w:type="spellEnd"/>
      <w:r w:rsidRPr="00D736FF">
        <w:rPr>
          <w:rFonts w:ascii="Times New Roman" w:hAnsi="Times New Roman" w:cs="Times New Roman"/>
          <w:lang w:val="en-US"/>
        </w:rPr>
        <w:t xml:space="preserve"> 1998,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10.1161/01.CIR.97.18.1837.</w:t>
      </w:r>
    </w:p>
    <w:p w14:paraId="7C3569BC"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[22]</w:t>
      </w:r>
      <w:r w:rsidRPr="00D736FF">
        <w:rPr>
          <w:rFonts w:ascii="Times New Roman" w:hAnsi="Times New Roman" w:cs="Times New Roman"/>
          <w:lang w:val="en-US"/>
        </w:rPr>
        <w:tab/>
        <w:t xml:space="preserve">« Missing Data in Clinical Research: A Tutorial on Multiple Imputation », </w:t>
      </w:r>
      <w:r w:rsidRPr="00D736FF">
        <w:rPr>
          <w:rFonts w:ascii="Times New Roman" w:hAnsi="Times New Roman" w:cs="Times New Roman"/>
          <w:i/>
          <w:iCs/>
          <w:lang w:val="en-US"/>
        </w:rPr>
        <w:t xml:space="preserve">Can. J. </w:t>
      </w:r>
      <w:proofErr w:type="spellStart"/>
      <w:r w:rsidRPr="00D736FF">
        <w:rPr>
          <w:rFonts w:ascii="Times New Roman" w:hAnsi="Times New Roman" w:cs="Times New Roman"/>
          <w:i/>
          <w:iCs/>
          <w:lang w:val="en-US"/>
        </w:rPr>
        <w:t>Cardiol</w:t>
      </w:r>
      <w:proofErr w:type="spellEnd"/>
      <w:r w:rsidRPr="00D736FF">
        <w:rPr>
          <w:rFonts w:ascii="Times New Roman" w:hAnsi="Times New Roman" w:cs="Times New Roman"/>
          <w:i/>
          <w:iCs/>
          <w:lang w:val="en-US"/>
        </w:rPr>
        <w:t>.</w:t>
      </w:r>
      <w:r w:rsidRPr="00D736FF">
        <w:rPr>
          <w:rFonts w:ascii="Times New Roman" w:hAnsi="Times New Roman" w:cs="Times New Roman"/>
          <w:lang w:val="en-US"/>
        </w:rPr>
        <w:t>, vol. 37,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9, p. 1322‑1331, sept. 2021,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10.1016/j.cjca.2020.11.010.</w:t>
      </w:r>
    </w:p>
    <w:p w14:paraId="282645F6"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[23]</w:t>
      </w:r>
      <w:r w:rsidRPr="00D736FF">
        <w:rPr>
          <w:rFonts w:ascii="Times New Roman" w:hAnsi="Times New Roman" w:cs="Times New Roman"/>
          <w:lang w:val="en-US"/>
        </w:rPr>
        <w:tab/>
        <w:t xml:space="preserve">K. G. M. Moons </w:t>
      </w:r>
      <w:r w:rsidRPr="00D736FF">
        <w:rPr>
          <w:rFonts w:ascii="Times New Roman" w:hAnsi="Times New Roman" w:cs="Times New Roman"/>
          <w:i/>
          <w:iCs/>
          <w:lang w:val="en-US"/>
        </w:rPr>
        <w:t>et al.</w:t>
      </w:r>
      <w:r w:rsidRPr="00D736FF">
        <w:rPr>
          <w:rFonts w:ascii="Times New Roman" w:hAnsi="Times New Roman" w:cs="Times New Roman"/>
          <w:lang w:val="en-US"/>
        </w:rPr>
        <w:t xml:space="preserve">, « Transparent Reporting of a multivariable prediction model for Individual Prognosis Or Diagnosis (TRIPOD): Explanation and Elaboration », </w:t>
      </w:r>
      <w:r w:rsidRPr="00D736FF">
        <w:rPr>
          <w:rFonts w:ascii="Times New Roman" w:hAnsi="Times New Roman" w:cs="Times New Roman"/>
          <w:i/>
          <w:iCs/>
          <w:lang w:val="en-US"/>
        </w:rPr>
        <w:t>Ann. Intern. Med.</w:t>
      </w:r>
      <w:r w:rsidRPr="00D736FF">
        <w:rPr>
          <w:rFonts w:ascii="Times New Roman" w:hAnsi="Times New Roman" w:cs="Times New Roman"/>
          <w:lang w:val="en-US"/>
        </w:rPr>
        <w:t>, vol. 162,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1, p. W1‑W73, </w:t>
      </w:r>
      <w:proofErr w:type="spellStart"/>
      <w:r w:rsidRPr="00D736FF">
        <w:rPr>
          <w:rFonts w:ascii="Times New Roman" w:hAnsi="Times New Roman" w:cs="Times New Roman"/>
          <w:lang w:val="en-US"/>
        </w:rPr>
        <w:t>janv</w:t>
      </w:r>
      <w:proofErr w:type="spellEnd"/>
      <w:r w:rsidRPr="00D736FF">
        <w:rPr>
          <w:rFonts w:ascii="Times New Roman" w:hAnsi="Times New Roman" w:cs="Times New Roman"/>
          <w:lang w:val="en-US"/>
        </w:rPr>
        <w:t xml:space="preserve">. 2015,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10.7326/M14-0698.</w:t>
      </w:r>
    </w:p>
    <w:p w14:paraId="5F56C129"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[24]</w:t>
      </w:r>
      <w:r w:rsidRPr="00D736FF">
        <w:rPr>
          <w:rFonts w:ascii="Times New Roman" w:hAnsi="Times New Roman" w:cs="Times New Roman"/>
          <w:lang w:val="en-US"/>
        </w:rPr>
        <w:tab/>
        <w:t xml:space="preserve">M. J. Azur, E. A. Stuart, C. Frangakis, et P. J. Leaf, « Multiple imputation by chained equations: what is it and how does it work? », </w:t>
      </w:r>
      <w:r w:rsidRPr="00D736FF">
        <w:rPr>
          <w:rFonts w:ascii="Times New Roman" w:hAnsi="Times New Roman" w:cs="Times New Roman"/>
          <w:i/>
          <w:iCs/>
          <w:lang w:val="en-US"/>
        </w:rPr>
        <w:t xml:space="preserve">Int. J. Methods </w:t>
      </w:r>
      <w:proofErr w:type="spellStart"/>
      <w:r w:rsidRPr="00D736FF">
        <w:rPr>
          <w:rFonts w:ascii="Times New Roman" w:hAnsi="Times New Roman" w:cs="Times New Roman"/>
          <w:i/>
          <w:iCs/>
          <w:lang w:val="en-US"/>
        </w:rPr>
        <w:t>Psychiatr</w:t>
      </w:r>
      <w:proofErr w:type="spellEnd"/>
      <w:r w:rsidRPr="00D736FF">
        <w:rPr>
          <w:rFonts w:ascii="Times New Roman" w:hAnsi="Times New Roman" w:cs="Times New Roman"/>
          <w:i/>
          <w:iCs/>
          <w:lang w:val="en-US"/>
        </w:rPr>
        <w:t>. Res.</w:t>
      </w:r>
      <w:r w:rsidRPr="00D736FF">
        <w:rPr>
          <w:rFonts w:ascii="Times New Roman" w:hAnsi="Times New Roman" w:cs="Times New Roman"/>
          <w:lang w:val="en-US"/>
        </w:rPr>
        <w:t>, vol. 20,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1, p. 40‑49, </w:t>
      </w:r>
      <w:proofErr w:type="spellStart"/>
      <w:r w:rsidRPr="00D736FF">
        <w:rPr>
          <w:rFonts w:ascii="Times New Roman" w:hAnsi="Times New Roman" w:cs="Times New Roman"/>
          <w:lang w:val="en-US"/>
        </w:rPr>
        <w:t>févr</w:t>
      </w:r>
      <w:proofErr w:type="spellEnd"/>
      <w:r w:rsidRPr="00D736FF">
        <w:rPr>
          <w:rFonts w:ascii="Times New Roman" w:hAnsi="Times New Roman" w:cs="Times New Roman"/>
          <w:lang w:val="en-US"/>
        </w:rPr>
        <w:t xml:space="preserve">. 2011,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10.1002/mpr.329.</w:t>
      </w:r>
    </w:p>
    <w:p w14:paraId="1E3D3716"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[25]</w:t>
      </w:r>
      <w:r w:rsidRPr="00D736FF">
        <w:rPr>
          <w:rFonts w:ascii="Times New Roman" w:hAnsi="Times New Roman" w:cs="Times New Roman"/>
          <w:lang w:val="en-US"/>
        </w:rPr>
        <w:tab/>
        <w:t xml:space="preserve">E. W. </w:t>
      </w:r>
      <w:proofErr w:type="spellStart"/>
      <w:r w:rsidRPr="00D736FF">
        <w:rPr>
          <w:rFonts w:ascii="Times New Roman" w:hAnsi="Times New Roman" w:cs="Times New Roman"/>
          <w:lang w:val="en-US"/>
        </w:rPr>
        <w:t>Steyerberg</w:t>
      </w:r>
      <w:proofErr w:type="spellEnd"/>
      <w:r w:rsidRPr="00D736FF">
        <w:rPr>
          <w:rFonts w:ascii="Times New Roman" w:hAnsi="Times New Roman" w:cs="Times New Roman"/>
          <w:lang w:val="en-US"/>
        </w:rPr>
        <w:t xml:space="preserve">, </w:t>
      </w:r>
      <w:r w:rsidRPr="00D736FF">
        <w:rPr>
          <w:rFonts w:ascii="Times New Roman" w:hAnsi="Times New Roman" w:cs="Times New Roman"/>
          <w:i/>
          <w:iCs/>
          <w:lang w:val="en-US"/>
        </w:rPr>
        <w:t>Clinical Prediction Models: A Practical Approach to Development, Validation, and Updating</w:t>
      </w:r>
      <w:r w:rsidRPr="00D736FF">
        <w:rPr>
          <w:rFonts w:ascii="Times New Roman" w:hAnsi="Times New Roman" w:cs="Times New Roman"/>
          <w:lang w:val="en-US"/>
        </w:rPr>
        <w:t>. Springer Science &amp; Business Media, 2008.</w:t>
      </w:r>
    </w:p>
    <w:p w14:paraId="2D76FDC4"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[26]</w:t>
      </w:r>
      <w:r w:rsidRPr="00D736FF">
        <w:rPr>
          <w:rFonts w:ascii="Times New Roman" w:hAnsi="Times New Roman" w:cs="Times New Roman"/>
          <w:lang w:val="en-US"/>
        </w:rPr>
        <w:tab/>
        <w:t xml:space="preserve">C. Cortes et V. </w:t>
      </w:r>
      <w:proofErr w:type="spellStart"/>
      <w:r w:rsidRPr="00D736FF">
        <w:rPr>
          <w:rFonts w:ascii="Times New Roman" w:hAnsi="Times New Roman" w:cs="Times New Roman"/>
          <w:lang w:val="en-US"/>
        </w:rPr>
        <w:t>Vapnik</w:t>
      </w:r>
      <w:proofErr w:type="spellEnd"/>
      <w:r w:rsidRPr="00D736FF">
        <w:rPr>
          <w:rFonts w:ascii="Times New Roman" w:hAnsi="Times New Roman" w:cs="Times New Roman"/>
          <w:lang w:val="en-US"/>
        </w:rPr>
        <w:t xml:space="preserve">, « Support-vector networks », </w:t>
      </w:r>
      <w:r w:rsidRPr="00D736FF">
        <w:rPr>
          <w:rFonts w:ascii="Times New Roman" w:hAnsi="Times New Roman" w:cs="Times New Roman"/>
          <w:i/>
          <w:iCs/>
          <w:lang w:val="en-US"/>
        </w:rPr>
        <w:t>Mach. Learn.</w:t>
      </w:r>
      <w:r w:rsidRPr="00D736FF">
        <w:rPr>
          <w:rFonts w:ascii="Times New Roman" w:hAnsi="Times New Roman" w:cs="Times New Roman"/>
          <w:lang w:val="en-US"/>
        </w:rPr>
        <w:t>, vol. 20,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3, p. 273‑297, sept. 1995,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10.1007/BF00994018.</w:t>
      </w:r>
    </w:p>
    <w:p w14:paraId="48F21993"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[27]</w:t>
      </w:r>
      <w:r w:rsidRPr="00D736FF">
        <w:rPr>
          <w:rFonts w:ascii="Times New Roman" w:hAnsi="Times New Roman" w:cs="Times New Roman"/>
          <w:lang w:val="en-US"/>
        </w:rPr>
        <w:tab/>
        <w:t xml:space="preserve">J. H. Friedman, « Greedy function approximation: A gradient boosting machine. », </w:t>
      </w:r>
      <w:r w:rsidRPr="00D736FF">
        <w:rPr>
          <w:rFonts w:ascii="Times New Roman" w:hAnsi="Times New Roman" w:cs="Times New Roman"/>
          <w:i/>
          <w:iCs/>
          <w:lang w:val="en-US"/>
        </w:rPr>
        <w:t>Ann. Stat.</w:t>
      </w:r>
      <w:r w:rsidRPr="00D736FF">
        <w:rPr>
          <w:rFonts w:ascii="Times New Roman" w:hAnsi="Times New Roman" w:cs="Times New Roman"/>
          <w:lang w:val="en-US"/>
        </w:rPr>
        <w:t>, vol. 29, n</w:t>
      </w:r>
      <w:r w:rsidRPr="00D736FF">
        <w:rPr>
          <w:rFonts w:ascii="Times New Roman" w:hAnsi="Times New Roman" w:cs="Times New Roman"/>
          <w:vertAlign w:val="superscript"/>
          <w:lang w:val="en-US"/>
        </w:rPr>
        <w:t>o</w:t>
      </w:r>
      <w:r w:rsidRPr="00D736FF">
        <w:rPr>
          <w:rFonts w:ascii="Times New Roman" w:hAnsi="Times New Roman" w:cs="Times New Roman"/>
          <w:lang w:val="en-US"/>
        </w:rPr>
        <w:t xml:space="preserve"> 5, p. 1189‑1232, oct. 2001,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10.1214/</w:t>
      </w:r>
      <w:proofErr w:type="spellStart"/>
      <w:r w:rsidRPr="00D736FF">
        <w:rPr>
          <w:rFonts w:ascii="Times New Roman" w:hAnsi="Times New Roman" w:cs="Times New Roman"/>
          <w:lang w:val="en-US"/>
        </w:rPr>
        <w:t>aos</w:t>
      </w:r>
      <w:proofErr w:type="spellEnd"/>
      <w:r w:rsidRPr="00D736FF">
        <w:rPr>
          <w:rFonts w:ascii="Times New Roman" w:hAnsi="Times New Roman" w:cs="Times New Roman"/>
          <w:lang w:val="en-US"/>
        </w:rPr>
        <w:t>/1013203451.</w:t>
      </w:r>
    </w:p>
    <w:p w14:paraId="0ACC0049" w14:textId="77777777" w:rsidR="00D736FF" w:rsidRPr="00D736FF" w:rsidRDefault="00D736FF" w:rsidP="00D736FF">
      <w:pPr>
        <w:pStyle w:val="Bibliographie"/>
        <w:rPr>
          <w:rFonts w:ascii="Times New Roman" w:hAnsi="Times New Roman" w:cs="Times New Roman"/>
          <w:lang w:val="en-US"/>
        </w:rPr>
      </w:pPr>
      <w:r w:rsidRPr="00D736FF">
        <w:rPr>
          <w:rFonts w:ascii="Times New Roman" w:hAnsi="Times New Roman" w:cs="Times New Roman"/>
          <w:lang w:val="en-US"/>
        </w:rPr>
        <w:t>[28]</w:t>
      </w:r>
      <w:r w:rsidRPr="00D736FF">
        <w:rPr>
          <w:rFonts w:ascii="Times New Roman" w:hAnsi="Times New Roman" w:cs="Times New Roman"/>
          <w:lang w:val="en-US"/>
        </w:rPr>
        <w:tab/>
        <w:t xml:space="preserve">O. Efthimiou, M. Seo, K. </w:t>
      </w:r>
      <w:proofErr w:type="spellStart"/>
      <w:r w:rsidRPr="00D736FF">
        <w:rPr>
          <w:rFonts w:ascii="Times New Roman" w:hAnsi="Times New Roman" w:cs="Times New Roman"/>
          <w:lang w:val="en-US"/>
        </w:rPr>
        <w:t>Chalkou</w:t>
      </w:r>
      <w:proofErr w:type="spellEnd"/>
      <w:r w:rsidRPr="00D736FF">
        <w:rPr>
          <w:rFonts w:ascii="Times New Roman" w:hAnsi="Times New Roman" w:cs="Times New Roman"/>
          <w:lang w:val="en-US"/>
        </w:rPr>
        <w:t xml:space="preserve">, T. Debray, M. Egger, et G. Salanti, « Developing clinical prediction models: a step-by-step guide », </w:t>
      </w:r>
      <w:r w:rsidRPr="00D736FF">
        <w:rPr>
          <w:rFonts w:ascii="Times New Roman" w:hAnsi="Times New Roman" w:cs="Times New Roman"/>
          <w:i/>
          <w:iCs/>
          <w:lang w:val="en-US"/>
        </w:rPr>
        <w:t>BMJ</w:t>
      </w:r>
      <w:r w:rsidRPr="00D736FF">
        <w:rPr>
          <w:rFonts w:ascii="Times New Roman" w:hAnsi="Times New Roman" w:cs="Times New Roman"/>
          <w:lang w:val="en-US"/>
        </w:rPr>
        <w:t xml:space="preserve">, vol. 386, p. e078276, sept. 2024, </w:t>
      </w:r>
      <w:proofErr w:type="spellStart"/>
      <w:r w:rsidRPr="00D736FF">
        <w:rPr>
          <w:rFonts w:ascii="Times New Roman" w:hAnsi="Times New Roman" w:cs="Times New Roman"/>
          <w:lang w:val="en-US"/>
        </w:rPr>
        <w:t>doi</w:t>
      </w:r>
      <w:proofErr w:type="spellEnd"/>
      <w:r w:rsidRPr="00D736FF">
        <w:rPr>
          <w:rFonts w:ascii="Times New Roman" w:hAnsi="Times New Roman" w:cs="Times New Roman"/>
          <w:lang w:val="en-US"/>
        </w:rPr>
        <w:t>: 10.1136/bmj-2023-078276.</w:t>
      </w:r>
    </w:p>
    <w:p w14:paraId="61F689E5" w14:textId="0BE216E8" w:rsidR="00ED7FC8" w:rsidRPr="00ED7FC8" w:rsidRDefault="00ED7FC8">
      <w:pPr>
        <w:rPr>
          <w:rFonts w:ascii="Times New Roman" w:hAnsi="Times New Roman" w:cs="Times New Roman"/>
          <w:b/>
          <w:bCs/>
          <w:lang w:val="en-US"/>
        </w:rPr>
      </w:pPr>
      <w:r>
        <w:rPr>
          <w:rFonts w:ascii="Times New Roman" w:hAnsi="Times New Roman" w:cs="Times New Roman"/>
          <w:b/>
          <w:bCs/>
        </w:rPr>
        <w:fldChar w:fldCharType="end"/>
      </w:r>
      <w:r w:rsidRPr="00ED7FC8">
        <w:rPr>
          <w:rFonts w:ascii="Times New Roman" w:hAnsi="Times New Roman" w:cs="Times New Roman"/>
          <w:b/>
          <w:bCs/>
          <w:lang w:val="en-US"/>
        </w:rPr>
        <w:br w:type="page"/>
      </w:r>
    </w:p>
    <w:p w14:paraId="3BDDFB9A" w14:textId="77777777" w:rsidR="003F117F" w:rsidRPr="00ED7FC8" w:rsidRDefault="003F117F">
      <w:pPr>
        <w:rPr>
          <w:rFonts w:ascii="Times New Roman" w:hAnsi="Times New Roman" w:cs="Times New Roman"/>
          <w:b/>
          <w:bCs/>
          <w:lang w:val="en-US"/>
        </w:rPr>
      </w:pPr>
    </w:p>
    <w:p w14:paraId="7321AD19" w14:textId="6DFA7F1B" w:rsidR="008E7341" w:rsidRPr="008E7341" w:rsidRDefault="008E7341" w:rsidP="008E7341">
      <w:pPr>
        <w:jc w:val="both"/>
        <w:rPr>
          <w:rFonts w:ascii="Times New Roman" w:hAnsi="Times New Roman" w:cs="Times New Roman"/>
          <w:b/>
          <w:bCs/>
        </w:rPr>
      </w:pPr>
      <w:r w:rsidRPr="008E7341">
        <w:rPr>
          <w:rFonts w:ascii="Times New Roman" w:hAnsi="Times New Roman" w:cs="Times New Roman"/>
          <w:b/>
          <w:bCs/>
        </w:rPr>
        <w:t>Annexe</w:t>
      </w:r>
      <w:r>
        <w:rPr>
          <w:rFonts w:ascii="Times New Roman" w:hAnsi="Times New Roman" w:cs="Times New Roman"/>
          <w:b/>
          <w:bCs/>
        </w:rPr>
        <w:t>s</w:t>
      </w:r>
    </w:p>
    <w:p w14:paraId="20B2236C" w14:textId="7F016236" w:rsidR="00180430" w:rsidRPr="00FD71A8" w:rsidRDefault="00B72E63" w:rsidP="008E7341">
      <w:pPr>
        <w:jc w:val="both"/>
        <w:rPr>
          <w:rFonts w:ascii="Times New Roman" w:hAnsi="Times New Roman" w:cs="Times New Roman"/>
        </w:rPr>
      </w:pPr>
      <w:r w:rsidRPr="00FD71A8">
        <w:rPr>
          <w:rFonts w:ascii="Times New Roman" w:hAnsi="Times New Roman" w:cs="Times New Roman"/>
        </w:rPr>
        <w:t>Tableau  – Variable cible et prédicteurs utilisés pour la modélisation (base Framingham)</w:t>
      </w:r>
    </w:p>
    <w:tbl>
      <w:tblPr>
        <w:tblStyle w:val="Grilledutableau"/>
        <w:tblW w:w="10632" w:type="dxa"/>
        <w:tblInd w:w="-856" w:type="dxa"/>
        <w:tblLook w:val="04A0" w:firstRow="1" w:lastRow="0" w:firstColumn="1" w:lastColumn="0" w:noHBand="0" w:noVBand="1"/>
      </w:tblPr>
      <w:tblGrid>
        <w:gridCol w:w="2443"/>
        <w:gridCol w:w="1736"/>
        <w:gridCol w:w="1195"/>
        <w:gridCol w:w="1416"/>
        <w:gridCol w:w="3842"/>
      </w:tblGrid>
      <w:tr w:rsidR="00B72E63" w:rsidRPr="00B72E63" w14:paraId="3432B74F" w14:textId="77777777" w:rsidTr="006C615F">
        <w:tc>
          <w:tcPr>
            <w:tcW w:w="2443" w:type="dxa"/>
            <w:hideMark/>
          </w:tcPr>
          <w:p w14:paraId="70EBA454" w14:textId="0A063F69" w:rsidR="00B72E63" w:rsidRPr="00B72E63" w:rsidRDefault="00B72E63" w:rsidP="00B72E63">
            <w:pPr>
              <w:jc w:val="center"/>
              <w:rPr>
                <w:rFonts w:ascii="Times New Roman" w:eastAsia="Times New Roman" w:hAnsi="Times New Roman" w:cs="Times New Roman"/>
                <w:b/>
                <w:bCs/>
                <w:kern w:val="0"/>
                <w:lang w:eastAsia="fr-BE"/>
                <w14:ligatures w14:val="none"/>
              </w:rPr>
            </w:pPr>
            <w:r w:rsidRPr="00B72E63">
              <w:rPr>
                <w:rFonts w:ascii="Times New Roman" w:eastAsia="Times New Roman" w:hAnsi="Times New Roman" w:cs="Times New Roman"/>
                <w:b/>
                <w:bCs/>
                <w:kern w:val="0"/>
                <w:lang w:eastAsia="fr-BE"/>
                <w14:ligatures w14:val="none"/>
              </w:rPr>
              <w:t xml:space="preserve">Nom </w:t>
            </w:r>
          </w:p>
        </w:tc>
        <w:tc>
          <w:tcPr>
            <w:tcW w:w="1736" w:type="dxa"/>
            <w:hideMark/>
          </w:tcPr>
          <w:p w14:paraId="1B0C0B53" w14:textId="77777777" w:rsidR="00B72E63" w:rsidRPr="00B72E63" w:rsidRDefault="00B72E63" w:rsidP="00B72E63">
            <w:pPr>
              <w:jc w:val="center"/>
              <w:rPr>
                <w:rFonts w:ascii="Times New Roman" w:eastAsia="Times New Roman" w:hAnsi="Times New Roman" w:cs="Times New Roman"/>
                <w:b/>
                <w:bCs/>
                <w:kern w:val="0"/>
                <w:lang w:eastAsia="fr-BE"/>
                <w14:ligatures w14:val="none"/>
              </w:rPr>
            </w:pPr>
            <w:r w:rsidRPr="00B72E63">
              <w:rPr>
                <w:rFonts w:ascii="Times New Roman" w:eastAsia="Times New Roman" w:hAnsi="Times New Roman" w:cs="Times New Roman"/>
                <w:b/>
                <w:bCs/>
                <w:kern w:val="0"/>
                <w:lang w:eastAsia="fr-BE"/>
                <w14:ligatures w14:val="none"/>
              </w:rPr>
              <w:t>Nom original</w:t>
            </w:r>
          </w:p>
        </w:tc>
        <w:tc>
          <w:tcPr>
            <w:tcW w:w="1208" w:type="dxa"/>
            <w:hideMark/>
          </w:tcPr>
          <w:p w14:paraId="381B3CB4" w14:textId="77777777" w:rsidR="00B72E63" w:rsidRPr="00B72E63" w:rsidRDefault="00B72E63" w:rsidP="00B72E63">
            <w:pPr>
              <w:jc w:val="center"/>
              <w:rPr>
                <w:rFonts w:ascii="Times New Roman" w:eastAsia="Times New Roman" w:hAnsi="Times New Roman" w:cs="Times New Roman"/>
                <w:b/>
                <w:bCs/>
                <w:kern w:val="0"/>
                <w:lang w:eastAsia="fr-BE"/>
                <w14:ligatures w14:val="none"/>
              </w:rPr>
            </w:pPr>
            <w:r w:rsidRPr="00B72E63">
              <w:rPr>
                <w:rFonts w:ascii="Times New Roman" w:eastAsia="Times New Roman" w:hAnsi="Times New Roman" w:cs="Times New Roman"/>
                <w:b/>
                <w:bCs/>
                <w:kern w:val="0"/>
                <w:lang w:eastAsia="fr-BE"/>
                <w14:ligatures w14:val="none"/>
              </w:rPr>
              <w:t>Type</w:t>
            </w:r>
          </w:p>
        </w:tc>
        <w:tc>
          <w:tcPr>
            <w:tcW w:w="1134" w:type="dxa"/>
            <w:hideMark/>
          </w:tcPr>
          <w:p w14:paraId="07F49F29" w14:textId="0B9055F3" w:rsidR="00B72E63" w:rsidRPr="00B72E63" w:rsidRDefault="00B72E63" w:rsidP="006C615F">
            <w:pPr>
              <w:rPr>
                <w:rFonts w:ascii="Times New Roman" w:eastAsia="Times New Roman" w:hAnsi="Times New Roman" w:cs="Times New Roman"/>
                <w:b/>
                <w:bCs/>
                <w:kern w:val="0"/>
                <w:lang w:eastAsia="fr-BE"/>
                <w14:ligatures w14:val="none"/>
              </w:rPr>
            </w:pPr>
            <w:r w:rsidRPr="00B72E63">
              <w:rPr>
                <w:rFonts w:ascii="Times New Roman" w:eastAsia="Times New Roman" w:hAnsi="Times New Roman" w:cs="Times New Roman"/>
                <w:b/>
                <w:bCs/>
                <w:kern w:val="0"/>
                <w:lang w:eastAsia="fr-BE"/>
                <w14:ligatures w14:val="none"/>
              </w:rPr>
              <w:t>codage</w:t>
            </w:r>
          </w:p>
        </w:tc>
        <w:tc>
          <w:tcPr>
            <w:tcW w:w="4111" w:type="dxa"/>
            <w:hideMark/>
          </w:tcPr>
          <w:p w14:paraId="4E8A8C3C" w14:textId="77777777" w:rsidR="00B72E63" w:rsidRPr="00B72E63" w:rsidRDefault="00B72E63" w:rsidP="00B72E63">
            <w:pPr>
              <w:jc w:val="center"/>
              <w:rPr>
                <w:rFonts w:ascii="Times New Roman" w:eastAsia="Times New Roman" w:hAnsi="Times New Roman" w:cs="Times New Roman"/>
                <w:b/>
                <w:bCs/>
                <w:kern w:val="0"/>
                <w:lang w:eastAsia="fr-BE"/>
                <w14:ligatures w14:val="none"/>
              </w:rPr>
            </w:pPr>
            <w:r w:rsidRPr="00B72E63">
              <w:rPr>
                <w:rFonts w:ascii="Times New Roman" w:eastAsia="Times New Roman" w:hAnsi="Times New Roman" w:cs="Times New Roman"/>
                <w:b/>
                <w:bCs/>
                <w:kern w:val="0"/>
                <w:lang w:eastAsia="fr-BE"/>
                <w14:ligatures w14:val="none"/>
              </w:rPr>
              <w:t>Description synthétique</w:t>
            </w:r>
          </w:p>
        </w:tc>
      </w:tr>
      <w:tr w:rsidR="00B72E63" w:rsidRPr="00B72E63" w14:paraId="3D62CACF" w14:textId="77777777" w:rsidTr="006C615F">
        <w:tc>
          <w:tcPr>
            <w:tcW w:w="2443" w:type="dxa"/>
            <w:hideMark/>
          </w:tcPr>
          <w:p w14:paraId="18AF1F8D"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Risque_chd_10ans</w:t>
            </w:r>
          </w:p>
        </w:tc>
        <w:tc>
          <w:tcPr>
            <w:tcW w:w="1736" w:type="dxa"/>
            <w:hideMark/>
          </w:tcPr>
          <w:p w14:paraId="115A3380"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TenYearCHD</w:t>
            </w:r>
            <w:proofErr w:type="spellEnd"/>
          </w:p>
        </w:tc>
        <w:tc>
          <w:tcPr>
            <w:tcW w:w="1208" w:type="dxa"/>
            <w:hideMark/>
          </w:tcPr>
          <w:p w14:paraId="4C766FB8"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76A8C4DA"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non, 1 = oui</w:t>
            </w:r>
          </w:p>
        </w:tc>
        <w:tc>
          <w:tcPr>
            <w:tcW w:w="4111" w:type="dxa"/>
            <w:hideMark/>
          </w:tcPr>
          <w:p w14:paraId="4394C55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Survenue d’un événement coronarien (angor, infarctus, décès coronarien) dans les 10 ans.</w:t>
            </w:r>
          </w:p>
        </w:tc>
      </w:tr>
      <w:tr w:rsidR="00B72E63" w:rsidRPr="00B72E63" w14:paraId="50DCA9B0" w14:textId="77777777" w:rsidTr="006C615F">
        <w:tc>
          <w:tcPr>
            <w:tcW w:w="2443" w:type="dxa"/>
            <w:hideMark/>
          </w:tcPr>
          <w:p w14:paraId="120B2FE2"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Age</w:t>
            </w:r>
          </w:p>
        </w:tc>
        <w:tc>
          <w:tcPr>
            <w:tcW w:w="1736" w:type="dxa"/>
            <w:hideMark/>
          </w:tcPr>
          <w:p w14:paraId="5238ABEB"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age</w:t>
            </w:r>
            <w:proofErr w:type="spellEnd"/>
          </w:p>
        </w:tc>
        <w:tc>
          <w:tcPr>
            <w:tcW w:w="1208" w:type="dxa"/>
            <w:hideMark/>
          </w:tcPr>
          <w:p w14:paraId="632846C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1B2F925D"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Années</w:t>
            </w:r>
          </w:p>
        </w:tc>
        <w:tc>
          <w:tcPr>
            <w:tcW w:w="4111" w:type="dxa"/>
            <w:hideMark/>
          </w:tcPr>
          <w:p w14:paraId="0B0EC65E"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Âge du participant à l’inclusion.</w:t>
            </w:r>
          </w:p>
        </w:tc>
      </w:tr>
      <w:tr w:rsidR="00B72E63" w:rsidRPr="00B72E63" w14:paraId="5F9F5A24" w14:textId="77777777" w:rsidTr="006C615F">
        <w:tc>
          <w:tcPr>
            <w:tcW w:w="2443" w:type="dxa"/>
            <w:hideMark/>
          </w:tcPr>
          <w:p w14:paraId="3C669EDA"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Sexe masculin</w:t>
            </w:r>
          </w:p>
        </w:tc>
        <w:tc>
          <w:tcPr>
            <w:tcW w:w="1736" w:type="dxa"/>
            <w:hideMark/>
          </w:tcPr>
          <w:p w14:paraId="47E8E9D6"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male</w:t>
            </w:r>
          </w:p>
        </w:tc>
        <w:tc>
          <w:tcPr>
            <w:tcW w:w="1208" w:type="dxa"/>
            <w:hideMark/>
          </w:tcPr>
          <w:p w14:paraId="4D5F8C0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658B1DB0"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femme, 1 = homme</w:t>
            </w:r>
          </w:p>
        </w:tc>
        <w:tc>
          <w:tcPr>
            <w:tcW w:w="4111" w:type="dxa"/>
            <w:hideMark/>
          </w:tcPr>
          <w:p w14:paraId="24FED789"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Sexe biologique.</w:t>
            </w:r>
          </w:p>
        </w:tc>
      </w:tr>
      <w:tr w:rsidR="00B72E63" w:rsidRPr="00B72E63" w14:paraId="7EB3FCB4" w14:textId="77777777" w:rsidTr="006C615F">
        <w:tc>
          <w:tcPr>
            <w:tcW w:w="2443" w:type="dxa"/>
            <w:hideMark/>
          </w:tcPr>
          <w:p w14:paraId="7F51F9D4"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Fumeur actuel</w:t>
            </w:r>
          </w:p>
        </w:tc>
        <w:tc>
          <w:tcPr>
            <w:tcW w:w="1736" w:type="dxa"/>
            <w:hideMark/>
          </w:tcPr>
          <w:p w14:paraId="06EA49A8"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currentSmoker</w:t>
            </w:r>
            <w:proofErr w:type="spellEnd"/>
          </w:p>
        </w:tc>
        <w:tc>
          <w:tcPr>
            <w:tcW w:w="1208" w:type="dxa"/>
            <w:hideMark/>
          </w:tcPr>
          <w:p w14:paraId="65186D7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752BB030"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non, 1 = oui</w:t>
            </w:r>
          </w:p>
        </w:tc>
        <w:tc>
          <w:tcPr>
            <w:tcW w:w="4111" w:type="dxa"/>
            <w:hideMark/>
          </w:tcPr>
          <w:p w14:paraId="2813125B"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Statut de fumeur actuel au moment de l’inclusion.</w:t>
            </w:r>
          </w:p>
        </w:tc>
      </w:tr>
      <w:tr w:rsidR="00B72E63" w:rsidRPr="00B72E63" w14:paraId="58BC2E70" w14:textId="77777777" w:rsidTr="006C615F">
        <w:tc>
          <w:tcPr>
            <w:tcW w:w="2443" w:type="dxa"/>
            <w:hideMark/>
          </w:tcPr>
          <w:p w14:paraId="59F288D0"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b/>
                <w:bCs/>
                <w:kern w:val="0"/>
                <w:lang w:eastAsia="fr-BE"/>
                <w14:ligatures w14:val="none"/>
              </w:rPr>
              <w:t>Cigarettes_par_jour</w:t>
            </w:r>
            <w:proofErr w:type="spellEnd"/>
          </w:p>
        </w:tc>
        <w:tc>
          <w:tcPr>
            <w:tcW w:w="1736" w:type="dxa"/>
            <w:hideMark/>
          </w:tcPr>
          <w:p w14:paraId="4877847B"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cigsPerDay</w:t>
            </w:r>
            <w:proofErr w:type="spellEnd"/>
          </w:p>
        </w:tc>
        <w:tc>
          <w:tcPr>
            <w:tcW w:w="1208" w:type="dxa"/>
            <w:hideMark/>
          </w:tcPr>
          <w:p w14:paraId="2C223242"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36EEE412"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Cigarettes / jour</w:t>
            </w:r>
          </w:p>
        </w:tc>
        <w:tc>
          <w:tcPr>
            <w:tcW w:w="4111" w:type="dxa"/>
            <w:hideMark/>
          </w:tcPr>
          <w:p w14:paraId="05B0551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Nombre moyen de cigarettes fumées par jour chez les fumeurs.</w:t>
            </w:r>
          </w:p>
        </w:tc>
      </w:tr>
      <w:tr w:rsidR="00B72E63" w:rsidRPr="00B72E63" w14:paraId="326704FA" w14:textId="77777777" w:rsidTr="006C615F">
        <w:tc>
          <w:tcPr>
            <w:tcW w:w="2443" w:type="dxa"/>
            <w:hideMark/>
          </w:tcPr>
          <w:p w14:paraId="464E608B"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b/>
                <w:bCs/>
                <w:kern w:val="0"/>
                <w:lang w:eastAsia="fr-BE"/>
                <w14:ligatures w14:val="none"/>
              </w:rPr>
              <w:t>Cholesterol_total</w:t>
            </w:r>
            <w:proofErr w:type="spellEnd"/>
          </w:p>
        </w:tc>
        <w:tc>
          <w:tcPr>
            <w:tcW w:w="1736" w:type="dxa"/>
            <w:hideMark/>
          </w:tcPr>
          <w:p w14:paraId="47DA96E0"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totChol</w:t>
            </w:r>
            <w:proofErr w:type="spellEnd"/>
          </w:p>
        </w:tc>
        <w:tc>
          <w:tcPr>
            <w:tcW w:w="1208" w:type="dxa"/>
            <w:hideMark/>
          </w:tcPr>
          <w:p w14:paraId="27DAFC2C"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1708F3F0"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mg/</w:t>
            </w:r>
            <w:proofErr w:type="spellStart"/>
            <w:r w:rsidRPr="00B72E63">
              <w:rPr>
                <w:rFonts w:ascii="Times New Roman" w:eastAsia="Times New Roman" w:hAnsi="Times New Roman" w:cs="Times New Roman"/>
                <w:kern w:val="0"/>
                <w:lang w:eastAsia="fr-BE"/>
                <w14:ligatures w14:val="none"/>
              </w:rPr>
              <w:t>dL</w:t>
            </w:r>
            <w:proofErr w:type="spellEnd"/>
          </w:p>
        </w:tc>
        <w:tc>
          <w:tcPr>
            <w:tcW w:w="4111" w:type="dxa"/>
            <w:hideMark/>
          </w:tcPr>
          <w:p w14:paraId="4D82EA65"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Concentration de cholestérol total.</w:t>
            </w:r>
          </w:p>
        </w:tc>
      </w:tr>
      <w:tr w:rsidR="00B72E63" w:rsidRPr="00B72E63" w14:paraId="3C50F0D0" w14:textId="77777777" w:rsidTr="006C615F">
        <w:tc>
          <w:tcPr>
            <w:tcW w:w="2443" w:type="dxa"/>
            <w:hideMark/>
          </w:tcPr>
          <w:p w14:paraId="3536ADF5"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Glucose</w:t>
            </w:r>
          </w:p>
        </w:tc>
        <w:tc>
          <w:tcPr>
            <w:tcW w:w="1736" w:type="dxa"/>
            <w:hideMark/>
          </w:tcPr>
          <w:p w14:paraId="0DBC604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glucose</w:t>
            </w:r>
          </w:p>
        </w:tc>
        <w:tc>
          <w:tcPr>
            <w:tcW w:w="1208" w:type="dxa"/>
            <w:hideMark/>
          </w:tcPr>
          <w:p w14:paraId="0EC565B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45DB2D76"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mg/</w:t>
            </w:r>
            <w:proofErr w:type="spellStart"/>
            <w:r w:rsidRPr="00B72E63">
              <w:rPr>
                <w:rFonts w:ascii="Times New Roman" w:eastAsia="Times New Roman" w:hAnsi="Times New Roman" w:cs="Times New Roman"/>
                <w:kern w:val="0"/>
                <w:lang w:eastAsia="fr-BE"/>
                <w14:ligatures w14:val="none"/>
              </w:rPr>
              <w:t>dL</w:t>
            </w:r>
            <w:proofErr w:type="spellEnd"/>
          </w:p>
        </w:tc>
        <w:tc>
          <w:tcPr>
            <w:tcW w:w="4111" w:type="dxa"/>
            <w:hideMark/>
          </w:tcPr>
          <w:p w14:paraId="046BF2DE"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Glycémie à jeun.</w:t>
            </w:r>
          </w:p>
        </w:tc>
      </w:tr>
      <w:tr w:rsidR="00B72E63" w:rsidRPr="00B72E63" w14:paraId="7DF63BA4" w14:textId="77777777" w:rsidTr="006C615F">
        <w:tc>
          <w:tcPr>
            <w:tcW w:w="2443" w:type="dxa"/>
            <w:hideMark/>
          </w:tcPr>
          <w:p w14:paraId="08331DF4"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Diabète</w:t>
            </w:r>
          </w:p>
        </w:tc>
        <w:tc>
          <w:tcPr>
            <w:tcW w:w="1736" w:type="dxa"/>
            <w:hideMark/>
          </w:tcPr>
          <w:p w14:paraId="2C10CA92"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diabetes</w:t>
            </w:r>
            <w:proofErr w:type="spellEnd"/>
          </w:p>
        </w:tc>
        <w:tc>
          <w:tcPr>
            <w:tcW w:w="1208" w:type="dxa"/>
            <w:hideMark/>
          </w:tcPr>
          <w:p w14:paraId="1B380DF8"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507CAF25"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non, 1 = oui</w:t>
            </w:r>
          </w:p>
        </w:tc>
        <w:tc>
          <w:tcPr>
            <w:tcW w:w="4111" w:type="dxa"/>
            <w:hideMark/>
          </w:tcPr>
          <w:p w14:paraId="5A58064A"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Diabète connu au moment de l’inclusion.</w:t>
            </w:r>
          </w:p>
        </w:tc>
      </w:tr>
      <w:tr w:rsidR="00B72E63" w:rsidRPr="00B72E63" w14:paraId="693913EE" w14:textId="77777777" w:rsidTr="006C615F">
        <w:tc>
          <w:tcPr>
            <w:tcW w:w="2443" w:type="dxa"/>
            <w:hideMark/>
          </w:tcPr>
          <w:p w14:paraId="6A5AFEF5"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Tension systolique</w:t>
            </w:r>
          </w:p>
        </w:tc>
        <w:tc>
          <w:tcPr>
            <w:tcW w:w="1736" w:type="dxa"/>
            <w:hideMark/>
          </w:tcPr>
          <w:p w14:paraId="3FF3EAED"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sysBP</w:t>
            </w:r>
            <w:proofErr w:type="spellEnd"/>
          </w:p>
        </w:tc>
        <w:tc>
          <w:tcPr>
            <w:tcW w:w="1208" w:type="dxa"/>
            <w:hideMark/>
          </w:tcPr>
          <w:p w14:paraId="0B884B7C"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06C48F2B"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mmHg</w:t>
            </w:r>
            <w:proofErr w:type="spellEnd"/>
          </w:p>
        </w:tc>
        <w:tc>
          <w:tcPr>
            <w:tcW w:w="4111" w:type="dxa"/>
            <w:hideMark/>
          </w:tcPr>
          <w:p w14:paraId="3DB52429"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Pression artérielle systolique.</w:t>
            </w:r>
          </w:p>
        </w:tc>
      </w:tr>
      <w:tr w:rsidR="00B72E63" w:rsidRPr="00B72E63" w14:paraId="0E997EF3" w14:textId="77777777" w:rsidTr="006C615F">
        <w:tc>
          <w:tcPr>
            <w:tcW w:w="2443" w:type="dxa"/>
            <w:hideMark/>
          </w:tcPr>
          <w:p w14:paraId="4DBE85E6"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Tension diastolique</w:t>
            </w:r>
          </w:p>
        </w:tc>
        <w:tc>
          <w:tcPr>
            <w:tcW w:w="1736" w:type="dxa"/>
            <w:hideMark/>
          </w:tcPr>
          <w:p w14:paraId="2123ACBC"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diaBP</w:t>
            </w:r>
            <w:proofErr w:type="spellEnd"/>
          </w:p>
        </w:tc>
        <w:tc>
          <w:tcPr>
            <w:tcW w:w="1208" w:type="dxa"/>
            <w:hideMark/>
          </w:tcPr>
          <w:p w14:paraId="70A67C8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3E03B416"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mmHg</w:t>
            </w:r>
            <w:proofErr w:type="spellEnd"/>
          </w:p>
        </w:tc>
        <w:tc>
          <w:tcPr>
            <w:tcW w:w="4111" w:type="dxa"/>
            <w:hideMark/>
          </w:tcPr>
          <w:p w14:paraId="2F208BA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Pression artérielle diastolique.</w:t>
            </w:r>
          </w:p>
        </w:tc>
      </w:tr>
      <w:tr w:rsidR="00B72E63" w:rsidRPr="00B72E63" w14:paraId="53222CD9" w14:textId="77777777" w:rsidTr="006C615F">
        <w:tc>
          <w:tcPr>
            <w:tcW w:w="2443" w:type="dxa"/>
            <w:hideMark/>
          </w:tcPr>
          <w:p w14:paraId="31A7F37D"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Traitement antihypertenseur</w:t>
            </w:r>
          </w:p>
        </w:tc>
        <w:tc>
          <w:tcPr>
            <w:tcW w:w="1736" w:type="dxa"/>
            <w:hideMark/>
          </w:tcPr>
          <w:p w14:paraId="1334D9A1"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BPMeds</w:t>
            </w:r>
            <w:proofErr w:type="spellEnd"/>
          </w:p>
        </w:tc>
        <w:tc>
          <w:tcPr>
            <w:tcW w:w="1208" w:type="dxa"/>
            <w:hideMark/>
          </w:tcPr>
          <w:p w14:paraId="6D8DB972"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711040F3"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non, 1 = oui</w:t>
            </w:r>
          </w:p>
        </w:tc>
        <w:tc>
          <w:tcPr>
            <w:tcW w:w="4111" w:type="dxa"/>
            <w:hideMark/>
          </w:tcPr>
          <w:p w14:paraId="179891E8"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Traitement antihypertenseur en cours.</w:t>
            </w:r>
          </w:p>
        </w:tc>
      </w:tr>
      <w:tr w:rsidR="00B72E63" w:rsidRPr="00B72E63" w14:paraId="25914FE0" w14:textId="77777777" w:rsidTr="006C615F">
        <w:tc>
          <w:tcPr>
            <w:tcW w:w="2443" w:type="dxa"/>
            <w:hideMark/>
          </w:tcPr>
          <w:p w14:paraId="611F6A2E"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Hypertension connue</w:t>
            </w:r>
          </w:p>
        </w:tc>
        <w:tc>
          <w:tcPr>
            <w:tcW w:w="1736" w:type="dxa"/>
            <w:hideMark/>
          </w:tcPr>
          <w:p w14:paraId="0D394F64"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prevalentHyp</w:t>
            </w:r>
            <w:proofErr w:type="spellEnd"/>
          </w:p>
        </w:tc>
        <w:tc>
          <w:tcPr>
            <w:tcW w:w="1208" w:type="dxa"/>
            <w:hideMark/>
          </w:tcPr>
          <w:p w14:paraId="6AA75949"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31193AEF"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non, 1 = oui</w:t>
            </w:r>
          </w:p>
        </w:tc>
        <w:tc>
          <w:tcPr>
            <w:tcW w:w="4111" w:type="dxa"/>
            <w:hideMark/>
          </w:tcPr>
          <w:p w14:paraId="2FF6AE8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Hypertension artérielle connue (diagnostic antérieur).</w:t>
            </w:r>
          </w:p>
        </w:tc>
      </w:tr>
      <w:tr w:rsidR="00B72E63" w:rsidRPr="00B72E63" w14:paraId="11D372E3" w14:textId="77777777" w:rsidTr="006C615F">
        <w:tc>
          <w:tcPr>
            <w:tcW w:w="2443" w:type="dxa"/>
            <w:hideMark/>
          </w:tcPr>
          <w:p w14:paraId="52B20304"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b/>
                <w:bCs/>
                <w:kern w:val="0"/>
                <w:lang w:eastAsia="fr-BE"/>
                <w14:ligatures w14:val="none"/>
              </w:rPr>
              <w:t>Antécédent_AVC</w:t>
            </w:r>
            <w:proofErr w:type="spellEnd"/>
          </w:p>
        </w:tc>
        <w:tc>
          <w:tcPr>
            <w:tcW w:w="1736" w:type="dxa"/>
            <w:hideMark/>
          </w:tcPr>
          <w:p w14:paraId="122A849A"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prevalentStroke</w:t>
            </w:r>
            <w:proofErr w:type="spellEnd"/>
          </w:p>
        </w:tc>
        <w:tc>
          <w:tcPr>
            <w:tcW w:w="1208" w:type="dxa"/>
            <w:hideMark/>
          </w:tcPr>
          <w:p w14:paraId="042DBAC0"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Binaire</w:t>
            </w:r>
          </w:p>
        </w:tc>
        <w:tc>
          <w:tcPr>
            <w:tcW w:w="1134" w:type="dxa"/>
            <w:hideMark/>
          </w:tcPr>
          <w:p w14:paraId="6962111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0 = non, 1 = oui</w:t>
            </w:r>
          </w:p>
        </w:tc>
        <w:tc>
          <w:tcPr>
            <w:tcW w:w="4111" w:type="dxa"/>
            <w:hideMark/>
          </w:tcPr>
          <w:p w14:paraId="7235B7A7"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Antécédent d’accident vasculaire cérébral.</w:t>
            </w:r>
          </w:p>
        </w:tc>
      </w:tr>
      <w:tr w:rsidR="00B72E63" w:rsidRPr="00B72E63" w14:paraId="16A3AB72" w14:textId="77777777" w:rsidTr="006C615F">
        <w:tc>
          <w:tcPr>
            <w:tcW w:w="2443" w:type="dxa"/>
            <w:hideMark/>
          </w:tcPr>
          <w:p w14:paraId="77EB339F"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IMC</w:t>
            </w:r>
          </w:p>
        </w:tc>
        <w:tc>
          <w:tcPr>
            <w:tcW w:w="1736" w:type="dxa"/>
            <w:hideMark/>
          </w:tcPr>
          <w:p w14:paraId="15284DB4"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BMI</w:t>
            </w:r>
          </w:p>
        </w:tc>
        <w:tc>
          <w:tcPr>
            <w:tcW w:w="1208" w:type="dxa"/>
            <w:hideMark/>
          </w:tcPr>
          <w:p w14:paraId="4639BE7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304BDCE7"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kg/m²</w:t>
            </w:r>
          </w:p>
        </w:tc>
        <w:tc>
          <w:tcPr>
            <w:tcW w:w="4111" w:type="dxa"/>
            <w:hideMark/>
          </w:tcPr>
          <w:p w14:paraId="69665A50"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Indice de masse corporelle.</w:t>
            </w:r>
          </w:p>
        </w:tc>
      </w:tr>
      <w:tr w:rsidR="00B72E63" w:rsidRPr="00B72E63" w14:paraId="19681E03" w14:textId="77777777" w:rsidTr="006C615F">
        <w:tc>
          <w:tcPr>
            <w:tcW w:w="2443" w:type="dxa"/>
            <w:hideMark/>
          </w:tcPr>
          <w:p w14:paraId="1FF4FBF9"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b/>
                <w:bCs/>
                <w:kern w:val="0"/>
                <w:lang w:eastAsia="fr-BE"/>
                <w14:ligatures w14:val="none"/>
              </w:rPr>
              <w:t>Fréquence_cardiaque</w:t>
            </w:r>
            <w:proofErr w:type="spellEnd"/>
          </w:p>
        </w:tc>
        <w:tc>
          <w:tcPr>
            <w:tcW w:w="1736" w:type="dxa"/>
            <w:hideMark/>
          </w:tcPr>
          <w:p w14:paraId="147344D8"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heartRate</w:t>
            </w:r>
            <w:proofErr w:type="spellEnd"/>
          </w:p>
        </w:tc>
        <w:tc>
          <w:tcPr>
            <w:tcW w:w="1208" w:type="dxa"/>
            <w:hideMark/>
          </w:tcPr>
          <w:p w14:paraId="2524CD97"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Continue</w:t>
            </w:r>
          </w:p>
        </w:tc>
        <w:tc>
          <w:tcPr>
            <w:tcW w:w="1134" w:type="dxa"/>
            <w:hideMark/>
          </w:tcPr>
          <w:p w14:paraId="0FEFD966"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battements / min (bpm)</w:t>
            </w:r>
          </w:p>
        </w:tc>
        <w:tc>
          <w:tcPr>
            <w:tcW w:w="4111" w:type="dxa"/>
            <w:hideMark/>
          </w:tcPr>
          <w:p w14:paraId="7F73D2BA"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Fréquence cardiaque au repos.</w:t>
            </w:r>
          </w:p>
        </w:tc>
      </w:tr>
      <w:tr w:rsidR="00B72E63" w:rsidRPr="00B72E63" w14:paraId="59E0AA25" w14:textId="77777777" w:rsidTr="006C615F">
        <w:tc>
          <w:tcPr>
            <w:tcW w:w="2443" w:type="dxa"/>
            <w:hideMark/>
          </w:tcPr>
          <w:p w14:paraId="4A54170E"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b/>
                <w:bCs/>
                <w:kern w:val="0"/>
                <w:lang w:eastAsia="fr-BE"/>
                <w14:ligatures w14:val="none"/>
              </w:rPr>
              <w:t>Niveau éducation</w:t>
            </w:r>
          </w:p>
        </w:tc>
        <w:tc>
          <w:tcPr>
            <w:tcW w:w="1736" w:type="dxa"/>
            <w:hideMark/>
          </w:tcPr>
          <w:p w14:paraId="1705563F" w14:textId="77777777" w:rsidR="00B72E63" w:rsidRPr="00B72E63" w:rsidRDefault="00B72E63" w:rsidP="00B72E63">
            <w:pPr>
              <w:rPr>
                <w:rFonts w:ascii="Times New Roman" w:eastAsia="Times New Roman" w:hAnsi="Times New Roman" w:cs="Times New Roman"/>
                <w:kern w:val="0"/>
                <w:lang w:eastAsia="fr-BE"/>
                <w14:ligatures w14:val="none"/>
              </w:rPr>
            </w:pPr>
            <w:proofErr w:type="spellStart"/>
            <w:r w:rsidRPr="00B72E63">
              <w:rPr>
                <w:rFonts w:ascii="Times New Roman" w:eastAsia="Times New Roman" w:hAnsi="Times New Roman" w:cs="Times New Roman"/>
                <w:kern w:val="0"/>
                <w:lang w:eastAsia="fr-BE"/>
                <w14:ligatures w14:val="none"/>
              </w:rPr>
              <w:t>education</w:t>
            </w:r>
            <w:proofErr w:type="spellEnd"/>
          </w:p>
        </w:tc>
        <w:tc>
          <w:tcPr>
            <w:tcW w:w="1208" w:type="dxa"/>
            <w:hideMark/>
          </w:tcPr>
          <w:p w14:paraId="42CA606A"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Ordinale</w:t>
            </w:r>
          </w:p>
        </w:tc>
        <w:tc>
          <w:tcPr>
            <w:tcW w:w="1134" w:type="dxa"/>
            <w:hideMark/>
          </w:tcPr>
          <w:p w14:paraId="68E19ED1"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1–4 (échelle catégorielle)</w:t>
            </w:r>
          </w:p>
        </w:tc>
        <w:tc>
          <w:tcPr>
            <w:tcW w:w="4111" w:type="dxa"/>
            <w:hideMark/>
          </w:tcPr>
          <w:p w14:paraId="3296AFBD" w14:textId="77777777" w:rsidR="00B72E63" w:rsidRPr="00B72E63" w:rsidRDefault="00B72E63" w:rsidP="00B72E63">
            <w:pPr>
              <w:rPr>
                <w:rFonts w:ascii="Times New Roman" w:eastAsia="Times New Roman" w:hAnsi="Times New Roman" w:cs="Times New Roman"/>
                <w:kern w:val="0"/>
                <w:lang w:eastAsia="fr-BE"/>
                <w14:ligatures w14:val="none"/>
              </w:rPr>
            </w:pPr>
            <w:r w:rsidRPr="00B72E63">
              <w:rPr>
                <w:rFonts w:ascii="Times New Roman" w:eastAsia="Times New Roman" w:hAnsi="Times New Roman" w:cs="Times New Roman"/>
                <w:kern w:val="0"/>
                <w:lang w:eastAsia="fr-BE"/>
                <w14:ligatures w14:val="none"/>
              </w:rPr>
              <w:t>Niveau d’éducation (faible à universitaire), selon le codage de la base Framingham.</w:t>
            </w:r>
          </w:p>
        </w:tc>
      </w:tr>
    </w:tbl>
    <w:p w14:paraId="6FEEDC69" w14:textId="77777777" w:rsidR="00B72E63" w:rsidRDefault="00B72E63" w:rsidP="00180430">
      <w:pPr>
        <w:ind w:left="360"/>
        <w:jc w:val="both"/>
        <w:rPr>
          <w:rFonts w:ascii="Times New Roman" w:hAnsi="Times New Roman" w:cs="Times New Roman"/>
        </w:rPr>
      </w:pPr>
    </w:p>
    <w:p w14:paraId="59A5C0AD" w14:textId="77777777" w:rsidR="00ED7FC8" w:rsidRPr="00180430" w:rsidRDefault="00ED7FC8" w:rsidP="00180430">
      <w:pPr>
        <w:ind w:left="360"/>
        <w:jc w:val="both"/>
        <w:rPr>
          <w:rFonts w:ascii="Times New Roman" w:hAnsi="Times New Roman" w:cs="Times New Roman"/>
        </w:rPr>
      </w:pPr>
    </w:p>
    <w:sectPr w:rsidR="00ED7FC8" w:rsidRPr="00180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54A"/>
    <w:multiLevelType w:val="hybridMultilevel"/>
    <w:tmpl w:val="618CB842"/>
    <w:lvl w:ilvl="0" w:tplc="2D800C5C">
      <w:start w:val="1"/>
      <w:numFmt w:val="low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A3E2C80"/>
    <w:multiLevelType w:val="hybridMultilevel"/>
    <w:tmpl w:val="AB8470D8"/>
    <w:lvl w:ilvl="0" w:tplc="41A2641A">
      <w:start w:val="1"/>
      <w:numFmt w:val="low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1B954A2D"/>
    <w:multiLevelType w:val="hybridMultilevel"/>
    <w:tmpl w:val="E21A805A"/>
    <w:lvl w:ilvl="0" w:tplc="DB9A2A58">
      <w:start w:val="1"/>
      <w:numFmt w:val="low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214D3628"/>
    <w:multiLevelType w:val="hybridMultilevel"/>
    <w:tmpl w:val="8758BE3C"/>
    <w:lvl w:ilvl="0" w:tplc="C3261F20">
      <w:start w:val="1"/>
      <w:numFmt w:val="low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451F7F0D"/>
    <w:multiLevelType w:val="hybridMultilevel"/>
    <w:tmpl w:val="E44E4016"/>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59A551AF"/>
    <w:multiLevelType w:val="multilevel"/>
    <w:tmpl w:val="D2F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96089">
    <w:abstractNumId w:val="4"/>
  </w:num>
  <w:num w:numId="2" w16cid:durableId="823008924">
    <w:abstractNumId w:val="2"/>
  </w:num>
  <w:num w:numId="3" w16cid:durableId="528376535">
    <w:abstractNumId w:val="1"/>
  </w:num>
  <w:num w:numId="4" w16cid:durableId="1097602625">
    <w:abstractNumId w:val="3"/>
  </w:num>
  <w:num w:numId="5" w16cid:durableId="601884372">
    <w:abstractNumId w:val="0"/>
  </w:num>
  <w:num w:numId="6" w16cid:durableId="21901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3E"/>
    <w:rsid w:val="000153D0"/>
    <w:rsid w:val="00030F69"/>
    <w:rsid w:val="00062FD1"/>
    <w:rsid w:val="00180430"/>
    <w:rsid w:val="0019458B"/>
    <w:rsid w:val="002918BE"/>
    <w:rsid w:val="002A5753"/>
    <w:rsid w:val="002C2296"/>
    <w:rsid w:val="003A4D32"/>
    <w:rsid w:val="003F117F"/>
    <w:rsid w:val="0048415A"/>
    <w:rsid w:val="004B403E"/>
    <w:rsid w:val="005F3F48"/>
    <w:rsid w:val="006C27A7"/>
    <w:rsid w:val="006C615F"/>
    <w:rsid w:val="00752A91"/>
    <w:rsid w:val="00767E5B"/>
    <w:rsid w:val="00787703"/>
    <w:rsid w:val="007F265B"/>
    <w:rsid w:val="00823767"/>
    <w:rsid w:val="008E7341"/>
    <w:rsid w:val="009754D5"/>
    <w:rsid w:val="009F42EE"/>
    <w:rsid w:val="00A01D5F"/>
    <w:rsid w:val="00A43C8F"/>
    <w:rsid w:val="00A52B2A"/>
    <w:rsid w:val="00AE6F52"/>
    <w:rsid w:val="00B72E63"/>
    <w:rsid w:val="00B8398B"/>
    <w:rsid w:val="00BE7E63"/>
    <w:rsid w:val="00C31D3E"/>
    <w:rsid w:val="00C6610F"/>
    <w:rsid w:val="00C97397"/>
    <w:rsid w:val="00CC17CB"/>
    <w:rsid w:val="00D10926"/>
    <w:rsid w:val="00D736FF"/>
    <w:rsid w:val="00E41BE0"/>
    <w:rsid w:val="00E642A3"/>
    <w:rsid w:val="00ED7FC8"/>
    <w:rsid w:val="00EF6623"/>
    <w:rsid w:val="00F01208"/>
    <w:rsid w:val="00FD71A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3188"/>
  <w15:chartTrackingRefBased/>
  <w15:docId w15:val="{FA268EC7-1881-47C3-B2E8-3F6348B5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E63"/>
  </w:style>
  <w:style w:type="paragraph" w:styleId="Titre1">
    <w:name w:val="heading 1"/>
    <w:basedOn w:val="Normal"/>
    <w:next w:val="Normal"/>
    <w:link w:val="Titre1Car"/>
    <w:uiPriority w:val="9"/>
    <w:qFormat/>
    <w:rsid w:val="004B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B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B40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B40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B403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40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40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40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40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403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B403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B40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B403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B403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B40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40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40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403E"/>
    <w:rPr>
      <w:rFonts w:eastAsiaTheme="majorEastAsia" w:cstheme="majorBidi"/>
      <w:color w:val="272727" w:themeColor="text1" w:themeTint="D8"/>
    </w:rPr>
  </w:style>
  <w:style w:type="paragraph" w:styleId="Titre">
    <w:name w:val="Title"/>
    <w:basedOn w:val="Normal"/>
    <w:next w:val="Normal"/>
    <w:link w:val="TitreCar"/>
    <w:uiPriority w:val="10"/>
    <w:qFormat/>
    <w:rsid w:val="004B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40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40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40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403E"/>
    <w:pPr>
      <w:spacing w:before="160"/>
      <w:jc w:val="center"/>
    </w:pPr>
    <w:rPr>
      <w:i/>
      <w:iCs/>
      <w:color w:val="404040" w:themeColor="text1" w:themeTint="BF"/>
    </w:rPr>
  </w:style>
  <w:style w:type="character" w:customStyle="1" w:styleId="CitationCar">
    <w:name w:val="Citation Car"/>
    <w:basedOn w:val="Policepardfaut"/>
    <w:link w:val="Citation"/>
    <w:uiPriority w:val="29"/>
    <w:rsid w:val="004B403E"/>
    <w:rPr>
      <w:i/>
      <w:iCs/>
      <w:color w:val="404040" w:themeColor="text1" w:themeTint="BF"/>
    </w:rPr>
  </w:style>
  <w:style w:type="paragraph" w:styleId="Paragraphedeliste">
    <w:name w:val="List Paragraph"/>
    <w:basedOn w:val="Normal"/>
    <w:uiPriority w:val="34"/>
    <w:qFormat/>
    <w:rsid w:val="004B403E"/>
    <w:pPr>
      <w:ind w:left="720"/>
      <w:contextualSpacing/>
    </w:pPr>
  </w:style>
  <w:style w:type="character" w:styleId="Accentuationintense">
    <w:name w:val="Intense Emphasis"/>
    <w:basedOn w:val="Policepardfaut"/>
    <w:uiPriority w:val="21"/>
    <w:qFormat/>
    <w:rsid w:val="004B403E"/>
    <w:rPr>
      <w:i/>
      <w:iCs/>
      <w:color w:val="0F4761" w:themeColor="accent1" w:themeShade="BF"/>
    </w:rPr>
  </w:style>
  <w:style w:type="paragraph" w:styleId="Citationintense">
    <w:name w:val="Intense Quote"/>
    <w:basedOn w:val="Normal"/>
    <w:next w:val="Normal"/>
    <w:link w:val="CitationintenseCar"/>
    <w:uiPriority w:val="30"/>
    <w:qFormat/>
    <w:rsid w:val="004B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B403E"/>
    <w:rPr>
      <w:i/>
      <w:iCs/>
      <w:color w:val="0F4761" w:themeColor="accent1" w:themeShade="BF"/>
    </w:rPr>
  </w:style>
  <w:style w:type="character" w:styleId="Rfrenceintense">
    <w:name w:val="Intense Reference"/>
    <w:basedOn w:val="Policepardfaut"/>
    <w:uiPriority w:val="32"/>
    <w:qFormat/>
    <w:rsid w:val="004B403E"/>
    <w:rPr>
      <w:b/>
      <w:bCs/>
      <w:smallCaps/>
      <w:color w:val="0F4761" w:themeColor="accent1" w:themeShade="BF"/>
      <w:spacing w:val="5"/>
    </w:rPr>
  </w:style>
  <w:style w:type="character" w:styleId="lev">
    <w:name w:val="Strong"/>
    <w:basedOn w:val="Policepardfaut"/>
    <w:uiPriority w:val="22"/>
    <w:qFormat/>
    <w:rsid w:val="00EF6623"/>
    <w:rPr>
      <w:b/>
      <w:bCs/>
    </w:rPr>
  </w:style>
  <w:style w:type="table" w:styleId="Grilledutableau">
    <w:name w:val="Table Grid"/>
    <w:basedOn w:val="TableauNormal"/>
    <w:uiPriority w:val="39"/>
    <w:rsid w:val="00B72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117F"/>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paragraph" w:styleId="Bibliographie">
    <w:name w:val="Bibliography"/>
    <w:basedOn w:val="Normal"/>
    <w:next w:val="Normal"/>
    <w:uiPriority w:val="37"/>
    <w:unhideWhenUsed/>
    <w:rsid w:val="00ED7FC8"/>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19900</Words>
  <Characters>109456</Characters>
  <Application>Microsoft Office Word</Application>
  <DocSecurity>0</DocSecurity>
  <Lines>912</Lines>
  <Paragraphs>258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14</cp:revision>
  <dcterms:created xsi:type="dcterms:W3CDTF">2026-01-28T06:27:00Z</dcterms:created>
  <dcterms:modified xsi:type="dcterms:W3CDTF">2026-02-05T09:25:00Z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id="hvhzW3E4"/&gt;&lt;style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