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6A87" w14:textId="77777777" w:rsidR="00B25088" w:rsidRDefault="00B25088">
      <w:pPr>
        <w:rPr>
          <w:rFonts w:ascii="Times New Roman" w:hAnsi="Times New Roman" w:cs="Times New Roman"/>
          <w:b/>
          <w:bCs/>
        </w:rPr>
        <w:sectPr w:rsidR="00B2508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67F44C5" w14:textId="20FEFA0F" w:rsidR="00B25088" w:rsidRDefault="00B25088">
      <w:pPr>
        <w:rPr>
          <w:rFonts w:ascii="Times New Roman" w:hAnsi="Times New Roman" w:cs="Times New Roman"/>
          <w:b/>
          <w:bCs/>
        </w:rPr>
      </w:pPr>
      <w:r w:rsidRPr="00B25088">
        <w:rPr>
          <w:rFonts w:ascii="Times New Roman" w:hAnsi="Times New Roman" w:cs="Times New Roman"/>
          <w:b/>
          <w:bCs/>
        </w:rPr>
        <w:lastRenderedPageBreak/>
        <w:t>Tableau. Références majeures mobilisées par étape du pipeline</w:t>
      </w:r>
    </w:p>
    <w:tbl>
      <w:tblPr>
        <w:tblStyle w:val="Grilledutableau"/>
        <w:tblW w:w="1415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252"/>
        <w:gridCol w:w="2710"/>
        <w:gridCol w:w="3828"/>
        <w:gridCol w:w="5368"/>
      </w:tblGrid>
      <w:tr w:rsidR="00B25088" w:rsidRPr="00B25088" w14:paraId="7E0A48CD" w14:textId="77777777" w:rsidTr="00B25088">
        <w:tc>
          <w:tcPr>
            <w:tcW w:w="2252" w:type="dxa"/>
            <w:shd w:val="clear" w:color="auto" w:fill="D9D9D9" w:themeFill="background1" w:themeFillShade="D9"/>
            <w:hideMark/>
          </w:tcPr>
          <w:p w14:paraId="2A2D109B" w14:textId="77777777" w:rsidR="00B25088" w:rsidRPr="00B25088" w:rsidRDefault="00B25088" w:rsidP="00B2508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Étape du pipeline</w:t>
            </w:r>
          </w:p>
        </w:tc>
        <w:tc>
          <w:tcPr>
            <w:tcW w:w="2710" w:type="dxa"/>
            <w:shd w:val="clear" w:color="auto" w:fill="D9D9D9" w:themeFill="background1" w:themeFillShade="D9"/>
            <w:hideMark/>
          </w:tcPr>
          <w:p w14:paraId="1DE2D58A" w14:textId="77777777" w:rsidR="00B25088" w:rsidRPr="00B25088" w:rsidRDefault="00B25088" w:rsidP="00B2508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Références de référence (revues / standards)</w:t>
            </w:r>
          </w:p>
        </w:tc>
        <w:tc>
          <w:tcPr>
            <w:tcW w:w="3828" w:type="dxa"/>
            <w:shd w:val="clear" w:color="auto" w:fill="D9D9D9" w:themeFill="background1" w:themeFillShade="D9"/>
            <w:hideMark/>
          </w:tcPr>
          <w:p w14:paraId="2226D0B2" w14:textId="760694F7" w:rsidR="00B25088" w:rsidRPr="00B25088" w:rsidRDefault="00B25088" w:rsidP="00B2508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Ce que ces références justifient dans </w:t>
            </w:r>
            <w:r w:rsidR="00194BA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ce</w:t>
            </w: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travail</w:t>
            </w:r>
          </w:p>
        </w:tc>
        <w:tc>
          <w:tcPr>
            <w:tcW w:w="5368" w:type="dxa"/>
            <w:shd w:val="clear" w:color="auto" w:fill="D9D9D9" w:themeFill="background1" w:themeFillShade="D9"/>
            <w:hideMark/>
          </w:tcPr>
          <w:p w14:paraId="46211408" w14:textId="77777777" w:rsidR="00B25088" w:rsidRPr="00B25088" w:rsidRDefault="00B25088" w:rsidP="00B2508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Liens directs</w:t>
            </w:r>
          </w:p>
        </w:tc>
      </w:tr>
      <w:tr w:rsidR="00B25088" w:rsidRPr="00B25088" w14:paraId="74F5AFC9" w14:textId="77777777" w:rsidTr="00B25088">
        <w:tc>
          <w:tcPr>
            <w:tcW w:w="2252" w:type="dxa"/>
            <w:hideMark/>
          </w:tcPr>
          <w:p w14:paraId="6B97CEC4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Reporting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&amp; cadre “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clinical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prediction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models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”</w:t>
            </w:r>
          </w:p>
        </w:tc>
        <w:tc>
          <w:tcPr>
            <w:tcW w:w="2710" w:type="dxa"/>
            <w:hideMark/>
          </w:tcPr>
          <w:p w14:paraId="39E41D6E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TRIPOD (2015) ; TRIPOD+AI (2024) ; Guide CPM BMJ (2024)</w:t>
            </w:r>
          </w:p>
        </w:tc>
        <w:tc>
          <w:tcPr>
            <w:tcW w:w="3828" w:type="dxa"/>
            <w:hideMark/>
          </w:tcPr>
          <w:p w14:paraId="7F49D1E9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Transparence du protocole (données, validation, métriques, calibration) et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reporting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conforme aux standards</w:t>
            </w:r>
          </w:p>
        </w:tc>
        <w:tc>
          <w:tcPr>
            <w:tcW w:w="5368" w:type="dxa"/>
            <w:hideMark/>
          </w:tcPr>
          <w:p w14:paraId="4E06C663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TRIPOD (BMJ 2015): </w:t>
            </w:r>
            <w:hyperlink r:id="rId7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https://www.bmj.com/content/350/bmj.g7594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• TRIPOD+AI (BMJ 2024): </w:t>
            </w:r>
            <w:hyperlink r:id="rId8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https://www.bmj.com/</w:t>
              </w:r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c</w:t>
              </w:r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ontent/385/bmj-2023-078378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• Guide CPM (BMJ 2024): </w:t>
            </w:r>
            <w:hyperlink r:id="rId9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https://www.bmj.com/content/386/bmj-2023-078276</w:t>
              </w:r>
            </w:hyperlink>
          </w:p>
        </w:tc>
      </w:tr>
      <w:tr w:rsidR="00B25088" w:rsidRPr="00B25088" w14:paraId="7B1DAEAA" w14:textId="77777777" w:rsidTr="00B25088">
        <w:tc>
          <w:tcPr>
            <w:tcW w:w="2252" w:type="dxa"/>
            <w:hideMark/>
          </w:tcPr>
          <w:p w14:paraId="10659A79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Données manquantes &amp; imputation (MICE)</w:t>
            </w:r>
          </w:p>
        </w:tc>
        <w:tc>
          <w:tcPr>
            <w:tcW w:w="2710" w:type="dxa"/>
            <w:hideMark/>
          </w:tcPr>
          <w:p w14:paraId="24E3CF87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White et al. (2011, </w:t>
            </w:r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fr-BE"/>
                <w14:ligatures w14:val="none"/>
              </w:rPr>
              <w:t>Stat Med</w:t>
            </w:r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) ; van Buuren &amp; Groothuis-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Oudshoorn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(2011, </w:t>
            </w:r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fr-BE"/>
                <w14:ligatures w14:val="none"/>
              </w:rPr>
              <w:t xml:space="preserve">J Stat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fr-BE"/>
                <w14:ligatures w14:val="none"/>
              </w:rPr>
              <w:t>Softw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) ; Little &amp; Rubin (2019, livre)</w:t>
            </w:r>
          </w:p>
        </w:tc>
        <w:tc>
          <w:tcPr>
            <w:tcW w:w="3828" w:type="dxa"/>
            <w:hideMark/>
          </w:tcPr>
          <w:p w14:paraId="529D3107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Pourquoi éviter l’analyse en cas complets ; pourquoi MICE est une approche standard en épidémiologie clinique</w:t>
            </w:r>
          </w:p>
        </w:tc>
        <w:tc>
          <w:tcPr>
            <w:tcW w:w="5368" w:type="dxa"/>
            <w:hideMark/>
          </w:tcPr>
          <w:p w14:paraId="736EC237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White et al. 2011 (Stat Med): </w:t>
            </w:r>
            <w:hyperlink r:id="rId10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https://onlinelibrary.wiley.com/doi/10.1002/sim.4067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• mice (J Stat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Softw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): </w:t>
            </w:r>
            <w:hyperlink r:id="rId11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https://www.jstatsoft.org/v45/i03/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• Little &amp; Rubin (Wiley): (ISBN/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éditeur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) </w:t>
            </w:r>
            <w:hyperlink r:id="rId12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https://www.wiley.com/en-us/Statistical+Analysis+with+Missing+Data%2C+3rd+Edition-p-9781119482260</w:t>
              </w:r>
            </w:hyperlink>
          </w:p>
        </w:tc>
      </w:tr>
      <w:tr w:rsidR="00B25088" w:rsidRPr="00B25088" w14:paraId="62A51B99" w14:textId="77777777" w:rsidTr="00B25088">
        <w:tc>
          <w:tcPr>
            <w:tcW w:w="2252" w:type="dxa"/>
            <w:hideMark/>
          </w:tcPr>
          <w:p w14:paraId="3CC2A52C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Déséquilibre de classes &amp; rééchantillonnage (SMOTE) vs seuil</w:t>
            </w:r>
          </w:p>
        </w:tc>
        <w:tc>
          <w:tcPr>
            <w:tcW w:w="2710" w:type="dxa"/>
            <w:hideMark/>
          </w:tcPr>
          <w:p w14:paraId="124754BD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He &amp; Garcia (2009, </w:t>
            </w:r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IEEE TKDE</w:t>
            </w: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) ; Chawla et al. (2002, </w:t>
            </w:r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JAIR</w:t>
            </w: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) ; van den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Goorbergh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et al. (2022, </w:t>
            </w:r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JAMIA</w:t>
            </w: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)</w:t>
            </w:r>
          </w:p>
        </w:tc>
        <w:tc>
          <w:tcPr>
            <w:tcW w:w="3828" w:type="dxa"/>
            <w:hideMark/>
          </w:tcPr>
          <w:p w14:paraId="558AA2A3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Pourquoi l’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accuracy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peut être trompeuse ; comment fonctionne SMOTE ; pourquoi le rééquilibrage peut dégrader la calibration et pourquoi l’ajustement du seuil est une alternative parcimonieuse en prédiction de risque</w:t>
            </w:r>
          </w:p>
        </w:tc>
        <w:tc>
          <w:tcPr>
            <w:tcW w:w="5368" w:type="dxa"/>
            <w:hideMark/>
          </w:tcPr>
          <w:p w14:paraId="428E2819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He &amp; Garcia 2009: </w:t>
            </w:r>
            <w:hyperlink r:id="rId13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https://dl.acm.org/doi/10.1109/TKDE.2008.239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• SMOTE (JAIR): </w:t>
            </w:r>
            <w:hyperlink r:id="rId14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https://www.jair.org/index.php/jair/article/view/10302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• van den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Goorbergh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2022 (JAMIA): </w:t>
            </w:r>
            <w:hyperlink r:id="rId15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https://academic.oup.com/jamia/article/29/9/1525/6605096</w:t>
              </w:r>
            </w:hyperlink>
          </w:p>
        </w:tc>
      </w:tr>
      <w:tr w:rsidR="00B25088" w:rsidRPr="00B25088" w14:paraId="090104EB" w14:textId="77777777" w:rsidTr="00B25088">
        <w:tc>
          <w:tcPr>
            <w:tcW w:w="2252" w:type="dxa"/>
            <w:hideMark/>
          </w:tcPr>
          <w:p w14:paraId="7320B896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Modèles tabulaires (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baseline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+ ML)</w:t>
            </w:r>
          </w:p>
        </w:tc>
        <w:tc>
          <w:tcPr>
            <w:tcW w:w="2710" w:type="dxa"/>
            <w:hideMark/>
          </w:tcPr>
          <w:p w14:paraId="495643EF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</w:pP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Breiman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(2001, </w:t>
            </w:r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fr-BE"/>
                <w14:ligatures w14:val="none"/>
              </w:rPr>
              <w:t>Machine Learning</w:t>
            </w:r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) ; Chen &amp;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Guestrin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(2016, KDD) ;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lastRenderedPageBreak/>
              <w:t>Steyerberg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(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chapitres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CPM, Springer)</w:t>
            </w:r>
          </w:p>
        </w:tc>
        <w:tc>
          <w:tcPr>
            <w:tcW w:w="3828" w:type="dxa"/>
            <w:hideMark/>
          </w:tcPr>
          <w:p w14:paraId="0D7901F7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lastRenderedPageBreak/>
              <w:t xml:space="preserve">Justification des familles de modèles (RF,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XGBoost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) + cadre méthodologique CPM (développement/validation)</w:t>
            </w:r>
          </w:p>
        </w:tc>
        <w:tc>
          <w:tcPr>
            <w:tcW w:w="5368" w:type="dxa"/>
            <w:hideMark/>
          </w:tcPr>
          <w:p w14:paraId="764D27E9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Random Forest: </w:t>
            </w:r>
            <w:hyperlink r:id="rId16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https://link.springer.com/article/10.1023/A:1010933404324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•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XGBoost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(KDD): </w:t>
            </w:r>
            <w:hyperlink r:id="rId17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https://dl.acm.org/doi/10.1145/2939672.2939785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•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lastRenderedPageBreak/>
              <w:t>Steyerberg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(Springer,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modèles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): </w:t>
            </w:r>
            <w:hyperlink r:id="rId18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https://doi.org/10.1007/978-3-030-16399-0_4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•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>Steyerberg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val="en-US" w:eastAsia="fr-BE"/>
                <w14:ligatures w14:val="none"/>
              </w:rPr>
              <w:t xml:space="preserve"> (validation): </w:t>
            </w:r>
            <w:hyperlink r:id="rId19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fr-BE"/>
                  <w14:ligatures w14:val="none"/>
                </w:rPr>
                <w:t>https://doi.org/10.1007/978-3-030-16399-0_17</w:t>
              </w:r>
            </w:hyperlink>
          </w:p>
        </w:tc>
      </w:tr>
      <w:tr w:rsidR="00B25088" w:rsidRPr="00B25088" w14:paraId="0E40516A" w14:textId="77777777" w:rsidTr="00B25088">
        <w:tc>
          <w:tcPr>
            <w:tcW w:w="2252" w:type="dxa"/>
            <w:hideMark/>
          </w:tcPr>
          <w:p w14:paraId="072654CF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lastRenderedPageBreak/>
              <w:t>Évaluation (déséquilibre), calibration &amp; score probabiliste</w:t>
            </w:r>
          </w:p>
        </w:tc>
        <w:tc>
          <w:tcPr>
            <w:tcW w:w="2710" w:type="dxa"/>
            <w:hideMark/>
          </w:tcPr>
          <w:p w14:paraId="64904DD5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Saito &amp;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Rehmsmeier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(2015, </w:t>
            </w:r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PLOS ONE</w:t>
            </w: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) ; Brier (1950, </w:t>
            </w:r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Mon Weather Rev</w:t>
            </w: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) ; Assel et al. (2017,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Diagn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 xml:space="preserve">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Progn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 xml:space="preserve">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Res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)</w:t>
            </w:r>
          </w:p>
        </w:tc>
        <w:tc>
          <w:tcPr>
            <w:tcW w:w="3828" w:type="dxa"/>
            <w:hideMark/>
          </w:tcPr>
          <w:p w14:paraId="0F06CCE8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Pourquoi AUC-PR est informative en classe rare ; définition du Brier score ; limites du Brier (≠ utilité clinique)</w:t>
            </w:r>
          </w:p>
        </w:tc>
        <w:tc>
          <w:tcPr>
            <w:tcW w:w="5368" w:type="dxa"/>
            <w:hideMark/>
          </w:tcPr>
          <w:p w14:paraId="12EFA2AC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AUC-PR (PLOS ONE): </w:t>
            </w:r>
            <w:hyperlink r:id="rId20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BE"/>
                  <w14:ligatures w14:val="none"/>
                </w:rPr>
                <w:t>https://journals.plos.org/plosone/article?id=10.1371/journal.pone.0118432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• Brier 1950 (AMS): </w:t>
            </w:r>
            <w:hyperlink r:id="rId21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BE"/>
                  <w14:ligatures w14:val="none"/>
                </w:rPr>
                <w:t>https://journals.ametsoc.org/view/journals/mwre/78/1/1520-0493_1950_078_0001_vofeit_2_0_co_2.xml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• Assel 2017 (Springer): </w:t>
            </w:r>
            <w:hyperlink r:id="rId22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BE"/>
                  <w14:ligatures w14:val="none"/>
                </w:rPr>
                <w:t>https://link.springer.com/article/10.1186/s41512-017-0020-3</w:t>
              </w:r>
            </w:hyperlink>
          </w:p>
        </w:tc>
      </w:tr>
      <w:tr w:rsidR="00B25088" w:rsidRPr="00B25088" w14:paraId="363174EE" w14:textId="77777777" w:rsidTr="00B25088">
        <w:tc>
          <w:tcPr>
            <w:tcW w:w="2252" w:type="dxa"/>
            <w:hideMark/>
          </w:tcPr>
          <w:p w14:paraId="54801A6F" w14:textId="7A37964B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Incertitude globale (</w:t>
            </w:r>
            <w:r w:rsidR="00194BAE"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Bootstrap</w:t>
            </w:r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) &amp; incertitude individuelle (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conformal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)</w:t>
            </w:r>
          </w:p>
        </w:tc>
        <w:tc>
          <w:tcPr>
            <w:tcW w:w="2710" w:type="dxa"/>
            <w:hideMark/>
          </w:tcPr>
          <w:p w14:paraId="518306BD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Smith et al. (2014, </w:t>
            </w:r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 xml:space="preserve">Am J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Epidemiol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) ; Shafer &amp; Vovk (2007/2008,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conformal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) ;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Papangelou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et al. (2025, </w:t>
            </w:r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 xml:space="preserve">Front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Bioinforma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)</w:t>
            </w:r>
          </w:p>
        </w:tc>
        <w:tc>
          <w:tcPr>
            <w:tcW w:w="3828" w:type="dxa"/>
            <w:hideMark/>
          </w:tcPr>
          <w:p w14:paraId="2AA66883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IC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bootstrap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des métriques ; cadre théorique de la prédiction conforme ; justification d’un usage santé (couverture + ensembles prédictifs)</w:t>
            </w:r>
          </w:p>
        </w:tc>
        <w:tc>
          <w:tcPr>
            <w:tcW w:w="5368" w:type="dxa"/>
            <w:hideMark/>
          </w:tcPr>
          <w:p w14:paraId="4D0439FD" w14:textId="77777777" w:rsidR="00B25088" w:rsidRPr="00B25088" w:rsidRDefault="00B25088" w:rsidP="00B2508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Smith 2014 (AJE): </w:t>
            </w:r>
            <w:hyperlink r:id="rId23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BE"/>
                  <w14:ligatures w14:val="none"/>
                </w:rPr>
                <w:t>https://academic.oup.com/aje/article/180/3/318/2739260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•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Conformal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tutorial (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arXiv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): </w:t>
            </w:r>
            <w:hyperlink r:id="rId24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BE"/>
                  <w14:ligatures w14:val="none"/>
                </w:rPr>
                <w:t>https://arxiv.org/abs/0706.3188</w:t>
              </w:r>
            </w:hyperlink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• 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Papangelou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2025 (</w:t>
            </w:r>
            <w:proofErr w:type="spellStart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Frontiers</w:t>
            </w:r>
            <w:proofErr w:type="spellEnd"/>
            <w:r w:rsidRPr="00B2508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): </w:t>
            </w:r>
            <w:hyperlink r:id="rId25" w:history="1">
              <w:r w:rsidRPr="00B2508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BE"/>
                  <w14:ligatures w14:val="none"/>
                </w:rPr>
                <w:t>https://www.frontiersin.org/journals/bioinformatics/articles/10.3389/fbinf.2025.1507448/full</w:t>
              </w:r>
            </w:hyperlink>
          </w:p>
        </w:tc>
      </w:tr>
    </w:tbl>
    <w:p w14:paraId="2BE7DC1F" w14:textId="77777777" w:rsidR="00B25088" w:rsidRPr="00B25088" w:rsidRDefault="00B25088">
      <w:pPr>
        <w:rPr>
          <w:rFonts w:ascii="Times New Roman" w:hAnsi="Times New Roman" w:cs="Times New Roman"/>
          <w:b/>
          <w:bCs/>
        </w:rPr>
      </w:pPr>
    </w:p>
    <w:sectPr w:rsidR="00B25088" w:rsidRPr="00B25088" w:rsidSect="00B2508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8"/>
    <w:rsid w:val="00194BAE"/>
    <w:rsid w:val="00330E6B"/>
    <w:rsid w:val="00B2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A8F99"/>
  <w15:chartTrackingRefBased/>
  <w15:docId w15:val="{74E8446E-5C72-4C96-8638-2909D234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50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50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50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50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50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50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50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50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50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50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508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25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B25088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B25088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B250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mj.com/content/385/bmj-2023-078378" TargetMode="External"/><Relationship Id="rId13" Type="http://schemas.openxmlformats.org/officeDocument/2006/relationships/hyperlink" Target="https://dl.acm.org/doi/10.1109/TKDE.2008.239" TargetMode="External"/><Relationship Id="rId18" Type="http://schemas.openxmlformats.org/officeDocument/2006/relationships/hyperlink" Target="https://doi.org/10.1007/978-3-030-16399-0_4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journals.ametsoc.org/view/journals/mwre/78/1/1520-0493_1950_078_0001_vofeit_2_0_co_2.xml" TargetMode="External"/><Relationship Id="rId7" Type="http://schemas.openxmlformats.org/officeDocument/2006/relationships/hyperlink" Target="https://www.bmj.com/content/350/bmj.g7594" TargetMode="External"/><Relationship Id="rId12" Type="http://schemas.openxmlformats.org/officeDocument/2006/relationships/hyperlink" Target="https://www.wiley.com/en-us/Statistical+Analysis+with+Missing+Data%2C+3rd+Edition-p-9781119482260" TargetMode="External"/><Relationship Id="rId17" Type="http://schemas.openxmlformats.org/officeDocument/2006/relationships/hyperlink" Target="https://dl.acm.org/doi/10.1145/2939672.2939785" TargetMode="External"/><Relationship Id="rId25" Type="http://schemas.openxmlformats.org/officeDocument/2006/relationships/hyperlink" Target="https://www.frontiersin.org/journals/bioinformatics/articles/10.3389/fbinf.2025.1507448/ful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ink.springer.com/article/10.1023/A:1010933404324" TargetMode="External"/><Relationship Id="rId20" Type="http://schemas.openxmlformats.org/officeDocument/2006/relationships/hyperlink" Target="https://journals.plos.org/plosone/article?id=10.1371/journal.pone.0118432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jstatsoft.org/v45/i03/" TargetMode="External"/><Relationship Id="rId24" Type="http://schemas.openxmlformats.org/officeDocument/2006/relationships/hyperlink" Target="https://arxiv.org/abs/0706.3188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academic.oup.com/jamia/article/29/9/1525/6605096" TargetMode="External"/><Relationship Id="rId23" Type="http://schemas.openxmlformats.org/officeDocument/2006/relationships/hyperlink" Target="https://academic.oup.com/aje/article/180/3/318/2739260" TargetMode="External"/><Relationship Id="rId10" Type="http://schemas.openxmlformats.org/officeDocument/2006/relationships/hyperlink" Target="https://onlinelibrary.wiley.com/doi/10.1002/sim.4067" TargetMode="External"/><Relationship Id="rId19" Type="http://schemas.openxmlformats.org/officeDocument/2006/relationships/hyperlink" Target="https://doi.org/10.1007/978-3-030-16399-0_17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bmj.com/content/386/bmj-2023-078276" TargetMode="External"/><Relationship Id="rId14" Type="http://schemas.openxmlformats.org/officeDocument/2006/relationships/hyperlink" Target="https://www.jair.org/index.php/jair/article/view/10302" TargetMode="External"/><Relationship Id="rId22" Type="http://schemas.openxmlformats.org/officeDocument/2006/relationships/hyperlink" Target="https://link.springer.com/article/10.1186/s41512-017-0020-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2C46D925E49F44A3A7D1873A97B5D4" ma:contentTypeVersion="13" ma:contentTypeDescription="Crée un document." ma:contentTypeScope="" ma:versionID="b5f4d6609694842276bdb3237e24c658">
  <xsd:schema xmlns:xsd="http://www.w3.org/2001/XMLSchema" xmlns:xs="http://www.w3.org/2001/XMLSchema" xmlns:p="http://schemas.microsoft.com/office/2006/metadata/properties" xmlns:ns3="0a2ce581-c5dd-45df-8b73-807903296d66" xmlns:ns4="798d76dd-9c18-4727-ae09-19b623de6e33" targetNamespace="http://schemas.microsoft.com/office/2006/metadata/properties" ma:root="true" ma:fieldsID="dc811d6f9a4753379fef68b7e5935dbe" ns3:_="" ns4:_="">
    <xsd:import namespace="0a2ce581-c5dd-45df-8b73-807903296d66"/>
    <xsd:import namespace="798d76dd-9c18-4727-ae09-19b623de6e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ce581-c5dd-45df-8b73-807903296d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d76dd-9c18-4727-ae09-19b623de6e3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2ce581-c5dd-45df-8b73-807903296d66" xsi:nil="true"/>
  </documentManagement>
</p:properties>
</file>

<file path=customXml/itemProps1.xml><?xml version="1.0" encoding="utf-8"?>
<ds:datastoreItem xmlns:ds="http://schemas.openxmlformats.org/officeDocument/2006/customXml" ds:itemID="{A2E63B6D-9026-4212-8243-07286F7A3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ce581-c5dd-45df-8b73-807903296d66"/>
    <ds:schemaRef ds:uri="798d76dd-9c18-4727-ae09-19b623de6e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6508E3-1716-48BB-A68B-3F9C2887E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E95299-7354-414C-B79D-1F168547676D}">
  <ds:schemaRefs>
    <ds:schemaRef ds:uri="http://schemas.microsoft.com/office/2006/metadata/properties"/>
    <ds:schemaRef ds:uri="http://schemas.microsoft.com/office/infopath/2007/PartnerControls"/>
    <ds:schemaRef ds:uri="0a2ce581-c5dd-45df-8b73-807903296d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742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MELATAGUIA MEKONTCHOU Lea</dc:creator>
  <cp:keywords/>
  <dc:description/>
  <cp:lastModifiedBy>MELATAGUIA MEKONTCHOU Lea</cp:lastModifiedBy>
  <cp:revision>3</cp:revision>
  <dcterms:created xsi:type="dcterms:W3CDTF">2026-02-25T22:21:00Z</dcterms:created>
  <dcterms:modified xsi:type="dcterms:W3CDTF">2026-02-25T22:26:00Z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0x0101001A2C46D925E49F44A3A7D1873A97B5D4</vt:lpwstr>
  </property>
</Properties>
</file>