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D7AAA" w14:textId="6955D7F2" w:rsidR="005D7115" w:rsidRPr="005D7115" w:rsidRDefault="005D7115" w:rsidP="00F441AE">
      <w:pPr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</w:pPr>
      <w:r w:rsidRPr="005D7115"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  <w:t>SPI PROTOCOL</w:t>
      </w:r>
    </w:p>
    <w:p w14:paraId="0340FB8F" w14:textId="71A64EE4" w:rsidR="00F441AE" w:rsidRPr="005D7115" w:rsidRDefault="00F441AE" w:rsidP="00F441AE">
      <w:pPr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6EFF5D16" w14:textId="32C51503" w:rsidR="00F441AE" w:rsidRPr="005D7115" w:rsidRDefault="00F441AE" w:rsidP="00F441AE">
      <w:pPr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 xml:space="preserve">How to use this driver </w:t>
      </w:r>
    </w:p>
    <w:p w14:paraId="55A3016A" w14:textId="7B0BE082" w:rsidR="00F441AE" w:rsidRPr="005D7115" w:rsidRDefault="00F441AE" w:rsidP="00F441AE">
      <w:pPr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12DFFC7C" w14:textId="6F2A050A" w:rsidR="00F441AE" w:rsidRPr="005D7115" w:rsidRDefault="00F441AE" w:rsidP="00F441AE">
      <w:pPr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  <w:t>The SPI HAL driver can be used as follows:</w:t>
      </w:r>
    </w:p>
    <w:p w14:paraId="4C509346" w14:textId="293BACD6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Declare a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SPI_HandleTypeDef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handle structure, for example: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SPI_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HandleTypeDef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hspi</w:t>
      </w:r>
      <w:proofErr w:type="spellEnd"/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>;</w:t>
      </w:r>
    </w:p>
    <w:p w14:paraId="0093743B" w14:textId="71624BB5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Initialize the SPI low level resources by implementing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API:</w:t>
      </w:r>
    </w:p>
    <w:p w14:paraId="33DEADA3" w14:textId="078C2B7F" w:rsidR="00F441AE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Enable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SPIx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interface clock</w:t>
      </w:r>
    </w:p>
    <w:p w14:paraId="31DF96DB" w14:textId="1128C1C9" w:rsidR="00F441AE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SPI pins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configuration: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Enable the clock for the SPI GPIOs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. </w:t>
      </w: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Configure these SPI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pins as alternate function push-pull</w:t>
      </w:r>
    </w:p>
    <w:p w14:paraId="22054BBC" w14:textId="1F60F6D0" w:rsidR="00F441AE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NVIC configuration if you need to use interrupt process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Configure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SPIx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 interrupt priority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. 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Enable the </w:t>
      </w: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NVIC SPI IRQ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handle</w:t>
      </w:r>
    </w:p>
    <w:p w14:paraId="40372717" w14:textId="6AB3F236" w:rsidR="00F441AE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DMA Configuration if you need to use DMA process</w:t>
      </w:r>
    </w:p>
    <w:p w14:paraId="1CECC9AD" w14:textId="77777777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Declare a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DMA_HandleTypeDef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handle structure for the transmit or receive Stream/Channel</w:t>
      </w:r>
    </w:p>
    <w:p w14:paraId="1715CE34" w14:textId="23660C26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Enable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DMAx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 clock</w:t>
      </w:r>
    </w:p>
    <w:p w14:paraId="3A944BFA" w14:textId="4301AA58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Configure the </w:t>
      </w: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DMA handle parameters</w:t>
      </w:r>
    </w:p>
    <w:p w14:paraId="66337A4E" w14:textId="31F0CA29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Configure the </w:t>
      </w: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DMA Tx or Rx Stream/Channel</w:t>
      </w:r>
    </w:p>
    <w:p w14:paraId="5FE7DCEC" w14:textId="7D8858B6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Associate the initialized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hdma_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>or _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)  handle to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hspi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DMA Tx or Rx handle</w:t>
      </w:r>
    </w:p>
    <w:p w14:paraId="5D133ABA" w14:textId="6644564E" w:rsidR="00F441AE" w:rsidRPr="005D7115" w:rsidRDefault="00F441AE" w:rsidP="00F441AE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Configure the priority and enable the NVIC for the transfer complete interrupt on </w:t>
      </w: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the DMA Tx or Rx Stream/Channel</w:t>
      </w:r>
    </w:p>
    <w:p w14:paraId="544873BA" w14:textId="69D775CE" w:rsidR="00F441AE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Program the Mode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proofErr w:type="spellStart"/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BidirectionalMode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,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Data size,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Baudrate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Prescaler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, NSS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management, Clock polarity and phase,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FirstBit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and CRC configuration in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hspi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Init structure.</w:t>
      </w:r>
    </w:p>
    <w:p w14:paraId="55D1DFF7" w14:textId="70D04620" w:rsidR="00356D00" w:rsidRPr="005D7115" w:rsidRDefault="00F441AE" w:rsidP="00F441A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Initialize the SPI registers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by calling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API: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This API configures also the low level Hardware GPIO, CLOCK, CORTEX...etc)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by calling the customized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HAL_SPI_MspInit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API.</w:t>
      </w:r>
    </w:p>
    <w:p w14:paraId="13047E03" w14:textId="632D242E" w:rsidR="00F441AE" w:rsidRPr="005D7115" w:rsidRDefault="00F441AE" w:rsidP="00F441AE">
      <w:pPr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  <w:t>Circular mode restriction:</w:t>
      </w:r>
    </w:p>
    <w:p w14:paraId="2E62E453" w14:textId="6F89DCBF" w:rsidR="00F441AE" w:rsidRPr="005D7115" w:rsidRDefault="00F441AE" w:rsidP="00356D0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The DMA circular mode cannot be used when the SPI is configured in these modes:</w:t>
      </w:r>
    </w:p>
    <w:p w14:paraId="22DE1693" w14:textId="0BD37737" w:rsidR="00F441AE" w:rsidRPr="005D7115" w:rsidRDefault="00F441AE" w:rsidP="00356D0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Master 2Lines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RxOnly</w:t>
      </w:r>
      <w:proofErr w:type="spellEnd"/>
    </w:p>
    <w:p w14:paraId="3D14D7C0" w14:textId="4AFAB7BD" w:rsidR="00F441AE" w:rsidRPr="005D7115" w:rsidRDefault="00F441AE" w:rsidP="00356D0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Master 1Line Rx</w:t>
      </w:r>
    </w:p>
    <w:p w14:paraId="63A5AC20" w14:textId="742E973E" w:rsidR="00F441AE" w:rsidRPr="005D7115" w:rsidRDefault="00F441AE" w:rsidP="00356D0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The CRC feature is not managed when the DMA circular mode is enabled</w:t>
      </w:r>
    </w:p>
    <w:p w14:paraId="7448B388" w14:textId="649FB47C" w:rsidR="00F441AE" w:rsidRPr="005D7115" w:rsidRDefault="00F441AE" w:rsidP="00356D0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When the SPI DMA Pause/Stop features are used, we must use the following APIs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the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DMAPause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)/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HAL_SPI_DMAStop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only under the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</w:p>
    <w:p w14:paraId="6FD206D5" w14:textId="5DDBDA01" w:rsidR="00F441AE" w:rsidRPr="005D7115" w:rsidRDefault="00F441AE" w:rsidP="00F441AE">
      <w:pPr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</w:pPr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u w:val="single"/>
          <w:lang w:val="en-GB"/>
        </w:rPr>
        <w:t>Master Receive mode restriction:</w:t>
      </w:r>
    </w:p>
    <w:p w14:paraId="121DC695" w14:textId="3C57A704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In Master unidirectional receive-only mode (MSTR =1, BIDIMODE=0, RXONLY=1) or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bidirectional receive mode (MSTR=1, BIDIMODE=1, BIDIOE=0), to ensure that the SPI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does not initiate a new transfer the following procedure has to be respected:</w:t>
      </w:r>
    </w:p>
    <w:p w14:paraId="1B57F1B6" w14:textId="09AF1AB3" w:rsidR="00F441AE" w:rsidRPr="005D7115" w:rsidRDefault="00F441AE" w:rsidP="00356D0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DeInit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1E5DD094" w14:textId="20CE07B1" w:rsidR="00356D00" w:rsidRPr="005D7115" w:rsidRDefault="00F441AE" w:rsidP="00F441AE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</w:p>
    <w:p w14:paraId="1B09C7DA" w14:textId="77777777" w:rsidR="00356D00" w:rsidRPr="005D7115" w:rsidRDefault="00356D00" w:rsidP="00356D00">
      <w:pPr>
        <w:pStyle w:val="Paragraphedeliste"/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</w:p>
    <w:p w14:paraId="0729700F" w14:textId="6144B2A9" w:rsidR="00F441AE" w:rsidRPr="005D7115" w:rsidRDefault="00F441AE" w:rsidP="00F441AE">
      <w:pPr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 xml:space="preserve"> registration:</w:t>
      </w:r>
    </w:p>
    <w:p w14:paraId="0C9B556C" w14:textId="2247251E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The compilation flag USE_HAL_SPI_REGISTER_CALLBACKS when set to 1U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allows the user to configure dynamically the driver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.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Use Functions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RegisterCallback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 xml:space="preserve">)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to register an interrupt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3E28C0A3" w14:textId="2229AD16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Function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RegisterCallback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allows to register following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:</w:t>
      </w:r>
    </w:p>
    <w:p w14:paraId="3C731418" w14:textId="483EE38F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lastRenderedPageBreak/>
        <w:t>TxCpltCallback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Tx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25D69F42" w14:textId="25448527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SPI Rx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35A865D8" w14:textId="7C4EFC9E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1857D228" w14:textId="2FEA293E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TxHalfCpltCallback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Tx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7C261554" w14:textId="5D2EC4EC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RxHalfCpltCallback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Rx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5C0D3EAF" w14:textId="12E039B0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TxRxHalfCpltCallback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032AB37E" w14:textId="253595F2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ErrorCallback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Error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18349C2D" w14:textId="61AF82B0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AbortCpltCallback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Abort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3558350E" w14:textId="4ABF848E" w:rsidR="00F441AE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Init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30BB7E8D" w14:textId="77777777" w:rsidR="00356D00" w:rsidRPr="005D7115" w:rsidRDefault="00F441AE" w:rsidP="00F441A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0E4E8DDD" w14:textId="45DFE5B3" w:rsidR="00356D00" w:rsidRPr="005D7115" w:rsidRDefault="00F441AE" w:rsidP="005D7115">
      <w:pPr>
        <w:ind w:left="360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This function takes as parameters the HAL peripheral handle,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ID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and a pointer to the user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function</w:t>
      </w:r>
    </w:p>
    <w:p w14:paraId="1EBC9272" w14:textId="400C7F22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Use function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HAL_SPI_UnRegisterCallback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to reset a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to the default</w:t>
      </w:r>
      <w:r w:rsidR="00356D00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weak function.</w:t>
      </w:r>
    </w:p>
    <w:p w14:paraId="0C37F353" w14:textId="77777777" w:rsidR="005D7115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HAL_SPI_UnRegisterCallback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takes as parameters the HAL peripheral handle,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and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ID.</w:t>
      </w:r>
    </w:p>
    <w:p w14:paraId="5A01D788" w14:textId="20665DF7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This function allows to reset following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:</w:t>
      </w:r>
    </w:p>
    <w:p w14:paraId="122F9125" w14:textId="77777777" w:rsidR="005D7115" w:rsidRPr="005D7115" w:rsidRDefault="005D7115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13B65007" w14:textId="4EA5889C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Tx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5428EB4B" w14:textId="3F769732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Rx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40D7726A" w14:textId="56AF07EA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244D2201" w14:textId="1D1BE723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TxHalfCpltCallback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Tx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3E1E3D81" w14:textId="06DB29FD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RxHalfCpltCallback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Rx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292A6019" w14:textId="39809902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TxRxHalfCpltCallbac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>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TxRx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Half Completed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59B55794" w14:textId="6DF4BD8A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ErrorCallback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Error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1CEDA0F5" w14:textId="046CC33F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AbortCpltCallback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Abort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6344A8D3" w14:textId="79F2E6A0" w:rsidR="00F441AE" w:rsidRPr="005D7115" w:rsidRDefault="00F441AE" w:rsidP="005D711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Init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0F0C9C2C" w14:textId="5BBCB560" w:rsidR="00F441AE" w:rsidRPr="005D7115" w:rsidRDefault="00F441AE" w:rsidP="00F441AE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: SPI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</w:p>
    <w:p w14:paraId="76F40AA3" w14:textId="77777777" w:rsidR="005D7115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      [..]</w:t>
      </w:r>
    </w:p>
    <w:p w14:paraId="3BC37CD0" w14:textId="7B77F4E7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By default, after the </w:t>
      </w:r>
      <w:proofErr w:type="spell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b/>
          <w:bCs/>
          <w:sz w:val="20"/>
          <w:szCs w:val="20"/>
          <w:lang w:val="en-GB"/>
        </w:rPr>
        <w:t>)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and when the state is HAL_SPI_STATE_RESET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all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are set to the corresponding weak functions: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examples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HAL_SPI_MasterTxCpltCallback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HAL_SPI_MasterRxCpltCallback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().</w:t>
      </w:r>
    </w:p>
    <w:p w14:paraId="229F4B0F" w14:textId="40B081D6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Exception done for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and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functions that are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reset to the legacy weak functions in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)/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() only when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these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are null (not registered beforehand).</w:t>
      </w:r>
    </w:p>
    <w:p w14:paraId="5E22927B" w14:textId="39A83F02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If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or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are not null,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)/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()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keep and use the user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/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(registered beforehand) whatever the state.</w:t>
      </w:r>
    </w:p>
    <w:p w14:paraId="0685F5F0" w14:textId="77777777" w:rsidR="005D7115" w:rsidRPr="005D7115" w:rsidRDefault="005D7115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7DA3E40B" w14:textId="77777777" w:rsidR="005D7115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      [..]</w:t>
      </w:r>
    </w:p>
    <w:p w14:paraId="2B566BBB" w14:textId="77777777" w:rsidR="005D7115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can be registered/unregistered in HAL_SPI_STATE_READY state only.</w:t>
      </w:r>
    </w:p>
    <w:p w14:paraId="7049E6F4" w14:textId="2F07498B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Exception done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/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functions that can be registered/unregistered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>in HAL_SPI_STATE_READY or HAL_SPI_STATE_RESET state,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thus registered (user)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/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can be used during the Init/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.</w:t>
      </w:r>
    </w:p>
    <w:p w14:paraId="60AE56E3" w14:textId="2B1E69A7" w:rsidR="00F441AE" w:rsidRPr="005D7115" w:rsidRDefault="00F441AE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Then, the user first registers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/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MspDeInit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user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using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RegisterCallback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) before calling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HAL_SPI_DeInit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()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or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HAL_SPI_Init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() function.</w:t>
      </w:r>
    </w:p>
    <w:p w14:paraId="48C7F253" w14:textId="77777777" w:rsidR="005D7115" w:rsidRPr="005D7115" w:rsidRDefault="005D7115" w:rsidP="005D7115">
      <w:pPr>
        <w:pStyle w:val="Sansinterligne"/>
        <w:rPr>
          <w:rFonts w:asciiTheme="majorHAnsi" w:hAnsiTheme="majorHAnsi" w:cstheme="majorHAnsi"/>
          <w:sz w:val="20"/>
          <w:szCs w:val="20"/>
          <w:lang w:val="en-GB"/>
        </w:rPr>
      </w:pPr>
    </w:p>
    <w:p w14:paraId="1B483D0D" w14:textId="77777777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      [..]</w:t>
      </w:r>
    </w:p>
    <w:p w14:paraId="3AE670A1" w14:textId="170B41CA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>When the compilation define USE_HAL_PPP_REGISTER_CALLBACKS is set to 0 or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not defined,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registering feature is not available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and weak (surcharged)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callbacks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are used.</w:t>
      </w:r>
    </w:p>
    <w:p w14:paraId="357BA755" w14:textId="77777777" w:rsidR="00F441AE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    [..]</w:t>
      </w:r>
    </w:p>
    <w:p w14:paraId="4C2EBCC6" w14:textId="209600EC" w:rsidR="00B54A8D" w:rsidRPr="005D7115" w:rsidRDefault="00F441AE" w:rsidP="00F441A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Using the HAL it is not possible to reach all supported SPI frequency with the different SPI </w:t>
      </w:r>
      <w:proofErr w:type="gramStart"/>
      <w:r w:rsidRPr="005D7115">
        <w:rPr>
          <w:rFonts w:asciiTheme="majorHAnsi" w:hAnsiTheme="majorHAnsi" w:cstheme="majorHAnsi"/>
          <w:sz w:val="20"/>
          <w:szCs w:val="20"/>
          <w:lang w:val="en-GB"/>
        </w:rPr>
        <w:t>Modes,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the</w:t>
      </w:r>
      <w:proofErr w:type="gram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following table resume the max SPI frequency reached with data size 8bits/16bits,</w:t>
      </w:r>
      <w:r w:rsidR="005D7115"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according to frequency of the 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APBx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 xml:space="preserve"> Peripheral Clock (</w:t>
      </w:r>
      <w:proofErr w:type="spellStart"/>
      <w:r w:rsidRPr="005D7115">
        <w:rPr>
          <w:rFonts w:asciiTheme="majorHAnsi" w:hAnsiTheme="majorHAnsi" w:cstheme="majorHAnsi"/>
          <w:sz w:val="20"/>
          <w:szCs w:val="20"/>
          <w:lang w:val="en-GB"/>
        </w:rPr>
        <w:t>fPCLK</w:t>
      </w:r>
      <w:proofErr w:type="spellEnd"/>
      <w:r w:rsidRPr="005D7115">
        <w:rPr>
          <w:rFonts w:asciiTheme="majorHAnsi" w:hAnsiTheme="majorHAnsi" w:cstheme="majorHAnsi"/>
          <w:sz w:val="20"/>
          <w:szCs w:val="20"/>
          <w:lang w:val="en-GB"/>
        </w:rPr>
        <w:t>) used by the SPI instance.</w:t>
      </w:r>
    </w:p>
    <w:sectPr w:rsidR="00B54A8D" w:rsidRPr="005D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F24E6"/>
    <w:multiLevelType w:val="hybridMultilevel"/>
    <w:tmpl w:val="4AD06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50BA"/>
    <w:multiLevelType w:val="hybridMultilevel"/>
    <w:tmpl w:val="5A283830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13BD"/>
    <w:multiLevelType w:val="hybridMultilevel"/>
    <w:tmpl w:val="F1946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33C4"/>
    <w:multiLevelType w:val="hybridMultilevel"/>
    <w:tmpl w:val="6C66F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866F6"/>
    <w:multiLevelType w:val="hybridMultilevel"/>
    <w:tmpl w:val="9266E18A"/>
    <w:lvl w:ilvl="0" w:tplc="04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3603626B"/>
    <w:multiLevelType w:val="hybridMultilevel"/>
    <w:tmpl w:val="F0ACA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55BA3"/>
    <w:multiLevelType w:val="hybridMultilevel"/>
    <w:tmpl w:val="69648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50197"/>
    <w:multiLevelType w:val="hybridMultilevel"/>
    <w:tmpl w:val="70A4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F0200"/>
    <w:multiLevelType w:val="hybridMultilevel"/>
    <w:tmpl w:val="01569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D"/>
    <w:rsid w:val="000C612D"/>
    <w:rsid w:val="00356D00"/>
    <w:rsid w:val="005D7115"/>
    <w:rsid w:val="00B54A8D"/>
    <w:rsid w:val="00F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E446"/>
  <w15:chartTrackingRefBased/>
  <w15:docId w15:val="{6DE3E2DD-158A-4CE6-A7BA-36D1D965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41AE"/>
    <w:pPr>
      <w:ind w:left="720"/>
      <w:contextualSpacing/>
    </w:pPr>
  </w:style>
  <w:style w:type="paragraph" w:styleId="Sansinterligne">
    <w:name w:val="No Spacing"/>
    <w:uiPriority w:val="1"/>
    <w:qFormat/>
    <w:rsid w:val="005D7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3</cp:revision>
  <cp:lastPrinted>2020-11-23T17:38:00Z</cp:lastPrinted>
  <dcterms:created xsi:type="dcterms:W3CDTF">2020-11-23T17:10:00Z</dcterms:created>
  <dcterms:modified xsi:type="dcterms:W3CDTF">2020-11-23T17:40:00Z</dcterms:modified>
</cp:coreProperties>
</file>