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keepNext w:val="0"/>
        <w:keepLines w:val="0"/>
        <w:pageBreakBefore w:val="0"/>
        <w:widowControl w:val="0"/>
        <w:spacing w:before="0" w:after="0" w:line="32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2533 Plain | red parent 180 pt wide | saved height 80 pt</w:t>
      </w:r>
      <w:r>
        <w:rPr>
          <w:rFonts w:ascii="Arial" w:hAnsi="Arial"/>
          <w:sz w:val="20"/>
        </w:rPr>
        <w:drawing>
          <wp:anchor distT="0" distB="0" distL="0" distR="0" simplePos="0" relativeHeight="25165824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2286000" cy="1016000"/>
            <wp:effectExtent l="0" t="0" r="0" b="0"/>
            <wp:wrapNone/>
            <wp:docPr id="1" name="Shape 1" descr="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86000" cy="1016000"/>
                    </a:xfrm>
                    <a:prstGeom prst="rect">
                      <a:avLst/>
                    </a:prstGeom>
                    <a:solidFill>
                      <a:srgbClr val="F0F8F0"/>
                    </a:solidFill>
                    <a:ln w="12700">
                      <a:solidFill>
                        <a:srgbClr val="C00000"/>
                      </a:solidFill>
                    </a:ln>
                  </wps:spPr>
                  <wps:txbx>
                    <w:txbxContent>
                      <w:p>
                        <w:pPr>
                          <w:keepNext w:val="0"/>
                          <w:keepLines w:val="0"/>
                          <w:widowControl w:val="0"/>
                          <w:spacing w:before="0" w:after="0" w:line="320" w:lineRule="exac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drawing>
                            <wp:inline distT="0" distB="0" distL="0" distR="0">
                              <wp:extent cx="508000" cy="127000"/>
                              <wp:effectExtent l="0" t="0" r="0" b="0"/>
                              <wp:docPr id="2" name="Original blue rectangle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original-blue.png"/>
                                      <pic:cNvPicPr/>
                                    </pic:nvPicPr>
                                    <pic:blipFill>
                                      <a:blip r:embed="rIdIsolationRec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08000" cy="127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 xml:space="preserve">Parent</w:t>
                        </w:r>
                      </w:p>
                    </w:txbxContent>
                  </wps:txbx>
                  <wps:bodyPr lIns="0" tIns="0" rIns="0" bIns="0">
                    <a:spAutoFit/>
                  </wps:bodyPr>
                </wps:wsp>
              </a:graphicData>
            </a:graphic>
          </wp:anchor>
        </w:drawing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_rels/document.xml.rels><Relationships xmlns="http://schemas.openxmlformats.org/package/2006/relationships"><Relationship Id="rIdIsolationRect" Type="http://schemas.openxmlformats.org/officeDocument/2006/relationships/image" Target="media/isolation-blue.png"/></Relationships>
</file>