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Title"/>
      </w:pPr>
      <w:r>
        <w:t xml:space="preserve">The Open Studio Handbook</w:t>
      </w:r>
    </w:p>
    <w:p>
      <w:pPr>
        <w:pStyle w:val="Subtitle"/>
      </w:pPr>
      <w:r>
        <w:t xml:space="preserve">How a small community of makers shares space, tools and time</w:t>
      </w:r>
    </w:p>
    <w:p>
      <w:r>
        <w:t xml:space="preserve">Every Thursday evening the old print shop on Alder Street fills with people who make things. </w:t>
      </w:r>
      <w:r>
        <w:rPr>
          <w:b/>
        </w:rPr>
        <w:t xml:space="preserve">Painters</w:t>
      </w:r>
      <w:r>
        <w:t xml:space="preserve"> set up by the north windows, </w:t>
      </w:r>
      <w:r>
        <w:rPr>
          <w:i/>
        </w:rPr>
        <w:t xml:space="preserve">letterpress</w:t>
      </w:r>
      <w:r>
        <w:t xml:space="preserve"> regulars claim the back room, and somebody always brings bread. This handbook collects what we have learned about running a shared studio: the routines that keep it pleasant, the tools we pool, and the small agreements that let thirty strangers become a crew.</w:t>
      </w:r>
    </w:p>
    <w:p>
      <w:pPr>
        <w:pStyle w:val="Heading1"/>
      </w:pPr>
      <w:r>
        <w:t xml:space="preserve">Why share a studio?</w:t>
      </w:r>
    </w:p>
    <w:p>
      <w:r>
        <w:t xml:space="preserve">Rent is the obvious reason, but it is not the best one. A shared room puts your work next to work you would never have seen otherwise. A ceramicist explains glaze chemistry to a comic artist; a photographer borrows a weaver's loom for a still life. The cross-talk is the point.</w:t>
      </w:r>
    </w:p>
    <w:p>
      <w:pPr>
        <w:pStyle w:val="Quote"/>
        <w:spacing w:before="240"/>
      </w:pPr>
      <w:r>
        <w:t xml:space="preserve">A studio is a place where unfinished things are welcome.</w:t>
      </w:r>
    </w:p>
    <w:p>
      <w:pPr>
        <w:pStyle w:val="Heading2"/>
      </w:pPr>
      <w:r>
        <w:t xml:space="preserve">What we agree on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Clean as you go. </w:t>
      </w:r>
      <w:r>
        <w:t xml:space="preserve">Leave a table the way you would like to find it.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Label what is yours. </w:t>
      </w:r>
      <w:r>
        <w:t xml:space="preserve">Unlabelled supplies on the commons shelf are fair game.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Ask before you borrow. </w:t>
      </w:r>
      <w:r>
        <w:t xml:space="preserve">Even from the shelf, a quick note helps everyone keep track.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Quiet hours </w:t>
      </w:r>
      <w:r>
        <w:t xml:space="preserve">run from 9 to 11 on weekday mornings.</w:t>
      </w:r>
    </w:p>
    <w:p>
      <w:pPr>
        <w:pStyle w:val="Heading2"/>
      </w:pPr>
      <w:r>
        <w:t xml:space="preserve">Shared equipment</w:t>
      </w:r>
    </w:p>
    <w:p>
      <w:r>
        <w:t xml:space="preserve">The table below lists what the membership owns together and who keeps each item in working order.</w:t>
      </w:r>
    </w:p>
    <w:tbl>
      <w:tblPr>
        <w:tblStyle w:val="GridTable4AccentBlue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</w:tcPr>
          <w:p>
            <w:r>
              <w:t xml:space="preserve">Equipment</w:t>
            </w:r>
          </w:p>
        </w:tc>
        <w:tc>
          <w:tcPr>
            <w:tcW w:w="2340" w:type="dxa"/>
          </w:tcPr>
          <w:p>
            <w:r>
              <w:t xml:space="preserve">Location</w:t>
            </w:r>
          </w:p>
        </w:tc>
        <w:tc>
          <w:tcPr>
            <w:tcW w:w="2340" w:type="dxa"/>
          </w:tcPr>
          <w:p>
            <w:r>
              <w:t xml:space="preserve">Steward</w:t>
            </w:r>
          </w:p>
        </w:tc>
        <w:tc>
          <w:tcPr>
            <w:tcW w:w="2340" w:type="dxa"/>
          </w:tcPr>
          <w:p>
            <w:r>
              <w:t xml:space="preserve">Booking</w:t>
            </w:r>
          </w:p>
        </w:tc>
      </w:tr>
      <w:tr>
        <w:tc>
          <w:tcPr>
            <w:tcW w:w="2340" w:type="dxa"/>
          </w:tcPr>
          <w:p>
            <w:r>
              <w:t xml:space="preserve">Etching press</w:t>
            </w:r>
          </w:p>
        </w:tc>
        <w:tc>
          <w:tcPr>
            <w:tcW w:w="2340" w:type="dxa"/>
          </w:tcPr>
          <w:p>
            <w:r>
              <w:t xml:space="preserve">Back room</w:t>
            </w:r>
          </w:p>
        </w:tc>
        <w:tc>
          <w:tcPr>
            <w:tcW w:w="2340" w:type="dxa"/>
          </w:tcPr>
          <w:p>
            <w:r>
              <w:t xml:space="preserve">Mara O.</w:t>
            </w:r>
          </w:p>
        </w:tc>
        <w:tc>
          <w:tcPr>
            <w:tcW w:w="2340" w:type="dxa"/>
          </w:tcPr>
          <w:p>
            <w:r>
              <w:t xml:space="preserve">Sign-up sheet</w:t>
            </w:r>
          </w:p>
        </w:tc>
      </w:tr>
      <w:tr>
        <w:tc>
          <w:tcPr>
            <w:tcW w:w="2340" w:type="dxa"/>
          </w:tcPr>
          <w:p>
            <w:r>
              <w:t xml:space="preserve">Kiln (cone 10)</w:t>
            </w:r>
          </w:p>
        </w:tc>
        <w:tc>
          <w:tcPr>
            <w:tcW w:w="2340" w:type="dxa"/>
          </w:tcPr>
          <w:p>
            <w:r>
              <w:t xml:space="preserve">Yard shed</w:t>
            </w:r>
          </w:p>
        </w:tc>
        <w:tc>
          <w:tcPr>
            <w:tcW w:w="2340" w:type="dxa"/>
          </w:tcPr>
          <w:p>
            <w:r>
              <w:t xml:space="preserve">Theo P.</w:t>
            </w:r>
          </w:p>
        </w:tc>
        <w:tc>
          <w:tcPr>
            <w:tcW w:w="2340" w:type="dxa"/>
          </w:tcPr>
          <w:p>
            <w:r>
              <w:t xml:space="preserve">48 h notice</w:t>
            </w:r>
          </w:p>
        </w:tc>
      </w:tr>
      <w:tr>
        <w:tc>
          <w:tcPr>
            <w:tcW w:w="2340" w:type="dxa"/>
          </w:tcPr>
          <w:p>
            <w:r>
              <w:t xml:space="preserve">Large-format printer</w:t>
            </w:r>
          </w:p>
        </w:tc>
        <w:tc>
          <w:tcPr>
            <w:tcW w:w="2340" w:type="dxa"/>
          </w:tcPr>
          <w:p>
            <w:r>
              <w:t xml:space="preserve">Office</w:t>
            </w:r>
          </w:p>
        </w:tc>
        <w:tc>
          <w:tcPr>
            <w:tcW w:w="2340" w:type="dxa"/>
          </w:tcPr>
          <w:p>
            <w:r>
              <w:t xml:space="preserve">Ines R.</w:t>
            </w:r>
          </w:p>
        </w:tc>
        <w:tc>
          <w:tcPr>
            <w:tcW w:w="2340" w:type="dxa"/>
          </w:tcPr>
          <w:p>
            <w:r>
              <w:t xml:space="preserve">Calendar</w:t>
            </w:r>
          </w:p>
        </w:tc>
      </w:tr>
      <w:tr>
        <w:tc>
          <w:tcPr>
            <w:tcW w:w="2340" w:type="dxa"/>
          </w:tcPr>
          <w:p>
            <w:r>
              <w:t xml:space="preserve">Light table</w:t>
            </w:r>
          </w:p>
        </w:tc>
        <w:tc>
          <w:tcPr>
            <w:tcW w:w="2340" w:type="dxa"/>
          </w:tcPr>
          <w:p>
            <w:r>
              <w:t xml:space="preserve">North windows</w:t>
            </w:r>
          </w:p>
        </w:tc>
        <w:tc>
          <w:tcPr>
            <w:tcW w:w="2340" w:type="dxa"/>
          </w:tcPr>
          <w:p>
            <w:r>
              <w:t xml:space="preserve">Anyone</w:t>
            </w:r>
          </w:p>
        </w:tc>
        <w:tc>
          <w:tcPr>
            <w:tcW w:w="2340" w:type="dxa"/>
          </w:tcPr>
          <w:p>
            <w:r>
              <w:t xml:space="preserve">First come</w:t>
            </w:r>
          </w:p>
        </w:tc>
      </w:tr>
    </w:tbl>
    <w:p>
      <w:pPr>
        <w:pStyle w:val="Heading2"/>
      </w:pPr>
      <w:r>
        <w:t xml:space="preserve">Opening the studio</w:t>
      </w:r>
    </w:p>
    <w:p>
      <w:pPr>
        <w:pStyle w:val="ListParagraph"/>
        <w:numPr>
          <w:ilvl w:val="0"/>
          <w:numId w:val="2"/>
        </w:numPr>
      </w:pPr>
      <w:r>
        <w:t xml:space="preserve">Switch on the main breaker by the door.</w:t>
      </w:r>
    </w:p>
    <w:p>
      <w:pPr>
        <w:pStyle w:val="ListParagraph"/>
        <w:numPr>
          <w:ilvl w:val="0"/>
          <w:numId w:val="2"/>
        </w:numPr>
      </w:pPr>
      <w:r>
        <w:t xml:space="preserve">Open both skylights unless it is raining.</w:t>
      </w:r>
    </w:p>
    <w:p>
      <w:pPr>
        <w:pStyle w:val="ListParagraph"/>
        <w:numPr>
          <w:ilvl w:val="0"/>
          <w:numId w:val="2"/>
        </w:numPr>
      </w:pPr>
      <w:r>
        <w:t xml:space="preserve">Start the kettle. This step is not optional.</w:t>
      </w:r>
    </w:p>
    <w:p>
      <w:pPr>
        <w:pStyle w:val="ListParagraph"/>
        <w:numPr>
          <w:ilvl w:val="0"/>
          <w:numId w:val="2"/>
        </w:numPr>
      </w:pPr>
      <w:r>
        <w:t xml:space="preserve">Check the booking sheet for the kiln and press.</w:t>
      </w:r>
    </w:p>
    <w:p>
      <w:pPr>
        <w:pStyle w:val="Heading1"/>
      </w:pPr>
      <w:r>
        <w:t xml:space="preserve">Membership</w:t>
      </w:r>
    </w:p>
    <w:p>
      <w:r>
        <w:t xml:space="preserve">Membership is </w:t>
      </w:r>
      <w:r>
        <w:rPr>
          <w:b/>
          <w:color w:val="156082"/>
        </w:rPr>
        <w:t xml:space="preserve">pay what you can</w:t>
      </w:r>
      <w:r>
        <w:t xml:space="preserve">, reviewed every season. New members shadow a regular for their first two visits, and everyone takes one cleaning shift a month. If you have never made anything before, you are exactly who we hoped would show up.</w:t>
      </w:r>
    </w:p>
    <w:p>
      <w:r>
        <w:t xml:space="preserve">Questions go to the front desk, or to the notice board by the sink. </w:t>
      </w:r>
      <w:hyperlink r:id="rId1" w:history="1">
        <w:r>
          <w:rPr>
            <w:rStyle w:val="Hyperlink"/>
          </w:rPr>
          <w:t xml:space="preserve">Visit the community board</w:t>
        </w:r>
      </w:hyperlink>
      <w:r>
        <w:t xml:space="preserve"> for events.</w:t>
      </w:r>
    </w:p>
    <w:sectPr>
      <w:headerReference w:type="default" r:id="rId2"/>
      <w:footerReference w:type="default" r:id="rId3"/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  <w:pBdr>
        <w:bottom w:val="single" w:sz="4" w:space="4" w:color="BFBFBF"/>
      </w:pBdr>
    </w:pPr>
    <w:r>
      <w:rPr>
        <w:noProof/>
      </w:rPr>
      <w:pict>
        <v:shapetype id="_x0000_t136" coordsize="21600,21600" o:spt="136" path="m0,0l21600,0m0,21600l21600,21600e">
          <v:path textpathok="t"/>
          <v:textpath on="t" fitshape="t"/>
        </v:shapetype>
        <v:shape id="PowerPlusWaterMarkObject1" type="#_x0000_t136" style="position:absolute;margin-left:0;margin-top:0;width:500.5pt;height:182.0pt;rotation:315;z-index:-251654144;mso-position-horizontal:center;mso-position-horizontal-relative:margin;mso-position-vertical:center;mso-position-vertical-relative:margin" o:allowincell="f" fillcolor="#C0C0C0" stroked="f">
          <v:fill opacity=".5"/>
          <v:textpath style="font-family:&quot;Aptos&quot;;font-size:1pt" string="DRAFT"/>
        </v:shape>
      </w:pict>
    </w:r>
    <w:r>
      <w:t xml:space="preserve">The Open Studio Handbook</w:t>
      <w:tab/>
      <w:tab/>
      <w:t xml:space="preserve">Spring edition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Georgia" w:hAnsi="Georgia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pBdr>
        <w:bottom w:val="single" w:sz="6" w:space="1" w:color="8C2F39"/>
      </w:pBdr>
      <w:spacing w:before="360" w:after="80"/>
      <w:outlineLvl w:val="0"/>
    </w:pPr>
    <w:rPr>
      <w:rFonts w:ascii="Georgia" w:hAnsi="Georgia"/>
      <w:color w:val="8C2F39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Georgia" w:hAnsi="Georgia"/>
      <w:color w:val="8C2F39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Georgia" w:hAnsi="Georgia"/>
      <w:color w:val="8C2F39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Georgia" w:hAnsi="Georgia"/>
      <w:i/>
      <w:color w:val="8C2F39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Georgia" w:hAnsi="Georgia"/>
      <w:color w:val="8C2F39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Georgia" w:hAnsi="Georgia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Georgia" w:hAnsi="Georgia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Georgia" w:hAnsi="Georgia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Georgia" w:hAnsi="Georgia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6" w:space="1" w:color="156082"/>
      </w:pBdr>
      <w:spacing w:after="80" w:line="240" w:lineRule="auto"/>
      <w:contextualSpacing/>
    </w:pPr>
    <w:rPr>
      <w:rFonts w:ascii="Georgia" w:hAnsi="Georgia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8C2F39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8C2F39"/>
        <w:bottom w:val="single" w:sz="4" w:space="10" w:color="8C2F39"/>
      </w:pBdr>
      <w:spacing w:before="360" w:after="360"/>
      <w:ind w:left="864" w:right="864"/>
      <w:jc w:val="center"/>
    </w:pPr>
    <w:rPr>
      <w:i/>
      <w:color w:val="8C2F39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8C2F39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getartcraft.com/" TargetMode="Externa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8C2F39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361</Words>
  <Paragraphs>41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Open Studio Handbook</dc:title>
  <dc:creator>WordCraft</dc:creator>
  <cp:lastModifiedBy>WordCraft User</cp:lastModifiedBy>
  <cp:revision>2</cp:revision>
  <dcterms:created xsi:type="dcterms:W3CDTF">2026-10-30T16:25:22Z</dcterms:created>
  <dcterms:modified xsi:type="dcterms:W3CDTF">2026-10-30T16:30:13Z</dcterms:modified>
</cp:coreProperties>
</file>