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Bachelorarbeit – Exposé</w:t>
      </w:r>
    </w:p>
    <w:p>
      <w:pPr>
        <w:jc w:val="center"/>
      </w:pPr>
      <w:r>
        <w:rPr>
          <w:sz w:val="28"/>
        </w:rPr>
        <w:br/>
        <w:t>Vom Zählen zum Einfluss:</w:t>
        <w:br/>
        <w:t>Pfadgewichtete Netzwerkanalyse der Chroniken‑Rezeption</w:t>
        <w:br/>
        <w:t>zum Alten Zürichkrieg (AZK) 1990–2024</w:t>
        <w:br/>
        <w:t>im Vergleich zur konventionellen Forschung</w:t>
      </w:r>
    </w:p>
    <w:p>
      <w:r>
        <w:br/>
      </w:r>
    </w:p>
    <w:p>
      <w:pPr>
        <w:jc w:val="center"/>
      </w:pPr>
      <w:r>
        <w:rPr>
          <w:i/>
        </w:rPr>
        <w:t>Historisches Seminar, Universität Zürich</w:t>
        <w:br/>
      </w:r>
      <w:r>
        <w:t>Studiengang: Geschichte (BA) – Vertiefung Mittelalter/Schweiz</w:t>
        <w:br/>
      </w:r>
      <w:r>
        <w:t>Betreuung: [Name Dozierende:r]</w:t>
        <w:br/>
      </w:r>
      <w:r>
        <w:t>Autor: [Vorname Nachname] – Matrikel-Nr.: [xxxxxx]</w:t>
        <w:br/>
      </w:r>
      <w:r>
        <w:t>Abgabe: [Datum]</w:t>
        <w:br/>
      </w:r>
    </w:p>
    <w:p>
      <w:r>
        <w:br w:type="page"/>
      </w:r>
    </w:p>
    <w:p>
      <w:pPr>
        <w:pStyle w:val="Heading1"/>
      </w:pPr>
      <w:r>
        <w:t>Abstract (max. 1’000 Zeichen)</w:t>
      </w:r>
    </w:p>
    <w:p>
      <w:r>
        <w:t>Die Forschung zum Alten Zürichkrieg (1436–1450) beruht stark auf spätmittelalterlichen Chroniken und deren Editionen. Das Exposé schlägt vor, Einfluss nicht als blosse Nennung zu zählen, sondern pfadgewichtet und transitiv über Quellen‑, Editions‑ und Zitationsketten zu modellieren. Dazu werden Bibliographien neuzeitlicher Studien (1990–2024) mit Primär‑/Editionsbeziehungen zu einem gerichteten, mehrschichtigen Netz verknüpft. Zentralitäten (Katz/PageRank), Betweenness und Cluster aus Kontextfenstern werden mit einer Baseline aus Ko‑Mentions verglichen. Ziel ist zu prüfen, ob das pfadbasierte Modell die in der Sekundärliteratur etablierten Rangordnungen, Vermittlerrollen und Deutungsfelder reproduziert oder verschiebt. Ergebnisformate: Rangvergleich, Community‑Karte, Zeittrends, Replikationspaket (CSV/GEXF).</w:t>
      </w:r>
    </w:p>
    <w:p>
      <w:pPr>
        <w:pStyle w:val="Heading1"/>
      </w:pPr>
      <w:r>
        <w:t>1. Problemstellung und Zielsetzung</w:t>
      </w:r>
    </w:p>
    <w:p>
      <w:r>
        <w:t>Die AZK‑Historiographie arbeitet mit kanonischen Chroniken (Fründ, Tschachtlan, Schilling d. Ä./d. J., Justinger, Edlibach, Schodoler, Stumpf, Tschudi u. a.). Konventionelle Übersichten gewichten Bedeutung über Nennungs‑/Zitatsummen. Solche Maße unterschätzen vermittelten Einfluss, etwa wenn spätere Werke ältere Chroniken nur indirekt über Editionen und Kompilationen rezipieren. Ziel ist ein systematischer Vergleich zwischen (M0) einfacher Ko‑Mention und (M1) pfadgewichteter, transitiver Einflussmessung.</w:t>
      </w:r>
    </w:p>
    <w:p>
      <w:pPr>
        <w:pStyle w:val="Heading1"/>
      </w:pPr>
      <w:r>
        <w:t>2. Forschungsfrage und Unterfragen</w:t>
      </w:r>
    </w:p>
    <w:p>
      <w:r>
        <w:t>Hauptfrage: Wie verschieben sich Autorität, Zentralität und Deutungscluster der AZK‑Chroniken, wenn Einfluss als pfadgewichtete, transitive Bezugnahme entlang Quellen‑, Editions‑ und Zitationsketten modelliert wird, und in welchem Maß reproduziert dieses Modell die in der Sekundärliteratur etablierten Rangordnungen und Lesarten?</w:t>
      </w:r>
    </w:p>
    <w:p>
      <w:r>
        <w:t>Unterfragen:</w:t>
      </w:r>
    </w:p>
    <w:p>
      <w:pPr>
        <w:pStyle w:val="ListBullet"/>
      </w:pPr>
      <w:r>
        <w:t>Replikation: Korrespondenz pfadgewichteter Einflussränge mit Baseline‑Rängen?</w:t>
      </w:r>
    </w:p>
    <w:p>
      <w:pPr>
        <w:pStyle w:val="ListBullet"/>
      </w:pPr>
      <w:r>
        <w:t>Divergenzen: Systematische Auf‑/Abwertungen nach Epoche, Konfession, Gattung?</w:t>
      </w:r>
    </w:p>
    <w:p>
      <w:pPr>
        <w:pStyle w:val="ListBullet"/>
      </w:pPr>
      <w:r>
        <w:t>Vermittler: Decken Betweenness/Hubs‑Rollen den historiografischen Status?</w:t>
      </w:r>
    </w:p>
    <w:p>
      <w:pPr>
        <w:pStyle w:val="ListBullet"/>
      </w:pPr>
      <w:r>
        <w:t>Cluster: Decken sich inhaltliche Deutungscluster mit beschriebenen Deutungsfeldern; Stabilität in Zeitfenstern?</w:t>
      </w:r>
    </w:p>
    <w:p>
      <w:pPr>
        <w:pStyle w:val="ListBullet"/>
      </w:pPr>
      <w:r>
        <w:t>Editionseffekte: In welchem Maß vermitteln Drucke/Editionen den Einfluss älterer Chroniken?</w:t>
      </w:r>
    </w:p>
    <w:p>
      <w:pPr>
        <w:pStyle w:val="Heading1"/>
      </w:pPr>
      <w:r>
        <w:t>3. Abgrenzung und Korpus (1990–2024)</w:t>
      </w:r>
    </w:p>
    <w:p>
      <w:r>
        <w:t>Sprachraum: D‑A‑CH. Gattungen: Fachzeitschriftenaufsätze und Sammelband‑Beiträge; keine Monografien. Primär: kanonische AZK‑Chroniken/Editionen gemäß Alias‑Liste. Auswahlkriterium: expliziter AZK‑Bezug in Titel/Abstract. Baseline‑Quelle sind ausschließlich die Bibliographien der Beiträge.</w:t>
      </w:r>
    </w:p>
    <w:p>
      <w:pPr>
        <w:pStyle w:val="Heading1"/>
      </w:pPr>
      <w:r>
        <w:t>4. Theoretisch‑methodischer Rahmen</w:t>
      </w:r>
    </w:p>
    <w:p>
      <w:r>
        <w:t>Zwei Modelle:</w:t>
      </w:r>
    </w:p>
    <w:p>
      <w:pPr>
        <w:pStyle w:val="ListNumber"/>
      </w:pPr>
      <w:r>
        <w:t>M0 Baseline (konventionell): ungerichtetes, gewichtetes Ko‑Mentionsnetz (Kante = gemeinsame Nennung in Bibliographie). Community‑Detection: Leiden/Modularity.</w:t>
      </w:r>
    </w:p>
    <w:p>
      <w:pPr>
        <w:pStyle w:val="ListNumber"/>
      </w:pPr>
      <w:r>
        <w:t>M1 Pfadmodell (neu): mehrschichtiges, gerichtetes Einflussnetz: Layer P (Primär/Chroniken), E (Editionen), S (Sekundär). Kanten: S→P (zitiert/führt an), P→P (nutzt/kompiliert), P↔E (Edition). Einflussmaße: Katz/PageRank (α&lt;1/λmax), Betweenness, Hubs/Authorities.</w:t>
      </w:r>
    </w:p>
    <w:p>
      <w:pPr>
        <w:pStyle w:val="Heading1"/>
      </w:pPr>
      <w:r>
        <w:t>5. Operationalisierung</w:t>
      </w:r>
    </w:p>
    <w:p>
      <w:r>
        <w:t>Entitäten und Regeln:</w:t>
      </w:r>
    </w:p>
    <w:p>
      <w:pPr>
        <w:pStyle w:val="ListBullet"/>
      </w:pPr>
      <w:r>
        <w:t>Knoten: Chronik, Edition, Sekundärwerk; optionale Reihen als Knoten (QSG, Basler Chroniken, CDS, MGH SS).</w:t>
      </w:r>
    </w:p>
    <w:p>
      <w:pPr>
        <w:pStyle w:val="ListBullet"/>
      </w:pPr>
      <w:r>
        <w:t>Alias‑Merge: strenge Normalisierung (Autor+Jahr, Titel‑Ähnlichkeit ≥88 %); Schilling d. Ä./d. J. disambiguiert.</w:t>
      </w:r>
    </w:p>
    <w:p>
      <w:pPr>
        <w:pStyle w:val="ListBullet"/>
      </w:pPr>
      <w:r>
        <w:t>Kantengewichte (Startwerte): S→P 1.0; P→P stark 1.0 / kompiliert 0.6; P↔E 0.8.</w:t>
      </w:r>
    </w:p>
    <w:p>
      <w:pPr>
        <w:pStyle w:val="ListBullet"/>
      </w:pPr>
      <w:r>
        <w:t>Kontext‑Boost: Titelmatch +0.5; Autor +0.3; Proxy („Berner/Luzerner …“) +0.1; Negationskontext −0.5.</w:t>
      </w:r>
    </w:p>
    <w:p>
      <w:pPr>
        <w:pStyle w:val="ListBullet"/>
      </w:pPr>
      <w:r>
        <w:t>Zeit‑Slicing: 1990–2004 / 2005–2014 / 2015–2024.</w:t>
      </w:r>
    </w:p>
    <w:p>
      <w:pPr>
        <w:pStyle w:val="Heading1"/>
      </w:pPr>
      <w:r>
        <w:t>6. Vergleich zur konventionellen Forschung</w:t>
      </w:r>
    </w:p>
    <w:p>
      <w:r>
        <w:t>Rangvergleich: Spearman ρ / Kendall τ (M1 vs. M0; M1 vs. Sekundärrangbilder). Cluster‑Kongruenz: ARI/NMI zwischen M0‑ und M1‑Communities. Abweichungsanalyse: größte Auf‑/Abstiege nach Konfession, Gattung, Zeitschrift. Robustheit: Sensitivität (α, Pfadtiefe L, Kantengewichte), Alias‑Strenge ±.</w:t>
      </w:r>
    </w:p>
    <w:p>
      <w:pPr>
        <w:pStyle w:val="Heading1"/>
      </w:pPr>
      <w:r>
        <w:t>7. Risiken, Limitationen, Umgang</w:t>
      </w:r>
    </w:p>
    <w:p>
      <w:r>
        <w:t>Bibliographie≠Fußnotenrealität; OCR‑Fehler; Alias‑Verwechslungen; Neuauflagen; Homonyme („Schilling“). Gegenmaßnahmen: QS‑Audit (10 % Kontexte), Negativlisten, Heuristiken, Sensitivitätsanalysen, Transparenz in Anhang (Mapping, Parameter).</w:t>
      </w:r>
    </w:p>
    <w:p>
      <w:pPr>
        <w:pStyle w:val="Heading1"/>
      </w:pPr>
      <w:r>
        <w:t>8. Arbeits‑ und Zeitplan (3 Wochen)</w:t>
      </w:r>
    </w:p>
    <w:p>
      <w:pPr>
        <w:pStyle w:val="ListNumber"/>
      </w:pPr>
      <w:r>
        <w:t>W1: Korpus/OCR, Normalisierung, Alias‑Liste, Audit.</w:t>
      </w:r>
    </w:p>
    <w:p>
      <w:pPr>
        <w:pStyle w:val="ListNumber"/>
      </w:pPr>
      <w:r>
        <w:t>W2: M0/M1‑Netze, Metriken, Communities, Zeit‑Slicing, Visualisierungen.</w:t>
      </w:r>
    </w:p>
    <w:p>
      <w:pPr>
        <w:pStyle w:val="ListNumber"/>
      </w:pPr>
      <w:r>
        <w:t>W3: Schreiben, Vergleich, Diskussion, Datenpaket (CSV/GEXF), Abgabe‑PDF.</w:t>
      </w:r>
    </w:p>
    <w:p>
      <w:pPr>
        <w:pStyle w:val="Heading1"/>
      </w:pPr>
      <w:r>
        <w:t>9. Vorläufige Gliederung (30–40 Seiten)</w:t>
      </w:r>
    </w:p>
    <w:p>
      <w:pPr>
        <w:pStyle w:val="ListBullet"/>
      </w:pPr>
      <w:r>
        <w:t>1 Einleitung &amp; Forschungsfrage</w:t>
      </w:r>
    </w:p>
    <w:p>
      <w:pPr>
        <w:pStyle w:val="ListBullet"/>
      </w:pPr>
      <w:r>
        <w:t>2 Forschungsstand (AZK‑Chroniken; Rezeption)</w:t>
      </w:r>
    </w:p>
    <w:p>
      <w:pPr>
        <w:pStyle w:val="ListBullet"/>
      </w:pPr>
      <w:r>
        <w:t>3 Korpus &amp; Begriffe; Datenaufbereitung</w:t>
      </w:r>
    </w:p>
    <w:p>
      <w:pPr>
        <w:pStyle w:val="ListBullet"/>
      </w:pPr>
      <w:r>
        <w:t>4 Methode: M0 vs. M1; Metriken; Parameter</w:t>
      </w:r>
    </w:p>
    <w:p>
      <w:pPr>
        <w:pStyle w:val="ListBullet"/>
      </w:pPr>
      <w:r>
        <w:t>5 Ergebnisse I: Kanon &amp; Ränge (M0/M1)</w:t>
      </w:r>
    </w:p>
    <w:p>
      <w:pPr>
        <w:pStyle w:val="ListBullet"/>
      </w:pPr>
      <w:r>
        <w:t>6 Ergebnisse II: Communities, Pfade, Zeittrends</w:t>
      </w:r>
    </w:p>
    <w:p>
      <w:pPr>
        <w:pStyle w:val="ListBullet"/>
      </w:pPr>
      <w:r>
        <w:t>7 Fallstudien zu Vermittlern (Editionen, Drucke)</w:t>
      </w:r>
    </w:p>
    <w:p>
      <w:pPr>
        <w:pStyle w:val="ListBullet"/>
      </w:pPr>
      <w:r>
        <w:t>8 Vergleich mit Sekundärbildern; Limitationen</w:t>
      </w:r>
    </w:p>
    <w:p>
      <w:pPr>
        <w:pStyle w:val="ListBullet"/>
      </w:pPr>
      <w:r>
        <w:t>9 Fazit</w:t>
      </w:r>
    </w:p>
    <w:p>
      <w:pPr>
        <w:pStyle w:val="ListBullet"/>
      </w:pPr>
      <w:r>
        <w:t>Anhang: Alias‑Liste; Parameter; QS‑Protokoll; CSV/GEXF</w:t>
      </w:r>
    </w:p>
    <w:p>
      <w:pPr>
        <w:pStyle w:val="Heading1"/>
      </w:pPr>
      <w:r>
        <w:t>10. Formalia (gemäß Kompass Geschichtsstudium HS 2025)</w:t>
      </w:r>
    </w:p>
    <w:p>
      <w:r>
        <w:t>Zitierrichtlinien: Kurzbeleg im Fußnotenapparat (Name, Kurztitel, S.), vollständige Bibliographie am Schluss (Trennung Quellen/Literatur). Layout‑Empfehlungen: Ränder links/oben ≥3 cm; rechts/unten ≥2.5 cm; Zeilenabstand 1.5 (Fließtext), 1.0 (Fußnoten); Times New Roman 12 pt (Fließtext), 10 pt (Fußnoten). Transparenz zu KI‑Tools siehe Abschnitt 12.</w:t>
      </w:r>
    </w:p>
    <w:p>
      <w:pPr>
        <w:pStyle w:val="Heading1"/>
      </w:pPr>
      <w:r>
        <w:t>11. Forschungsdaten‑ und Qualitätsmanagement</w:t>
      </w:r>
    </w:p>
    <w:p>
      <w:r>
        <w:t>Replikationspaket (Code/CSV/GEXF) mit README; Versionierung (Git). Alle Entscheidungen (Alias‑Merge, Kantengewichte, Ausschlüsse) werden protokolliert. Quellen‑ und Forschungsliteratur werden gemäß Zitierregeln dokumentiert.</w:t>
      </w:r>
    </w:p>
    <w:p>
      <w:pPr>
        <w:pStyle w:val="Heading1"/>
      </w:pPr>
      <w:r>
        <w:t>12. Nutzung digitaler Werkzeuge / KI‑Transparenz</w:t>
      </w:r>
    </w:p>
    <w:p>
      <w:r>
        <w:t>Einsatz externer Tools (OCR, Referenzmanager, Programmbibliotheken, KI‑Assistenz) wird im Methodenkapitel transparent gemacht (Tool, Version, Zweck, Datum). Sofern KI‑generierte Inhalte in den Text übernommen werden, erfolgt explizite Ausweisung im Sinne der Vorgaben (Prompt, Tool, Datum).</w:t>
      </w:r>
    </w:p>
    <w:p>
      <w:pPr>
        <w:pStyle w:val="Heading1"/>
      </w:pPr>
      <w:r>
        <w:t>Bibliographie</w:t>
      </w:r>
    </w:p>
    <w:p>
      <w:pPr>
        <w:pStyle w:val="Heading2"/>
      </w:pPr>
      <w:r>
        <w:t>A. Quellenverzeichnis (Auswahl; kanonische AZK‑Chroniken/Editionen)</w:t>
      </w:r>
    </w:p>
    <w:p>
      <w:pPr>
        <w:pStyle w:val="ListBullet"/>
      </w:pPr>
      <w:r>
        <w:t>Fründ, Hans: Chronik [Ms.; e-manuscripta/e-rara, ZB Zürich].</w:t>
      </w:r>
    </w:p>
    <w:p>
      <w:pPr>
        <w:pStyle w:val="ListBullet"/>
      </w:pPr>
      <w:r>
        <w:t>Tschachtlan, Benedikt; Dittlinger, Heinrich: Berner Bilderchronik (1470/71), ZB Zürich Ms A 120.</w:t>
      </w:r>
    </w:p>
    <w:p>
      <w:pPr>
        <w:pStyle w:val="ListBullet"/>
      </w:pPr>
      <w:r>
        <w:t>Schilling, Diebold d. Ä.: Amtliche Berner Chronik (1483).</w:t>
      </w:r>
    </w:p>
    <w:p>
      <w:pPr>
        <w:pStyle w:val="ListBullet"/>
      </w:pPr>
      <w:r>
        <w:t>Schilling, Diebold d. J.: Luzerner Chronik (1511–1513).</w:t>
      </w:r>
    </w:p>
    <w:p>
      <w:pPr>
        <w:pStyle w:val="ListBullet"/>
      </w:pPr>
      <w:r>
        <w:t>Justinger, Konrad: Berner Chronik (bis 1421).</w:t>
      </w:r>
    </w:p>
    <w:p>
      <w:pPr>
        <w:pStyle w:val="ListBullet"/>
      </w:pPr>
      <w:r>
        <w:t>Edlibach, Gerold: Zürcher- und Schweizerchronik (Ms A 75).</w:t>
      </w:r>
    </w:p>
    <w:p>
      <w:pPr>
        <w:pStyle w:val="ListBullet"/>
      </w:pPr>
      <w:r>
        <w:t>Schodoler, Werner: Eidgenössische Chronik (1510–1535).</w:t>
      </w:r>
    </w:p>
    <w:p>
      <w:pPr>
        <w:pStyle w:val="ListBullet"/>
      </w:pPr>
      <w:r>
        <w:t>Stumpf, Johannes: Schweizer Chronik (Druck 1548).</w:t>
      </w:r>
    </w:p>
    <w:p>
      <w:pPr>
        <w:pStyle w:val="ListBullet"/>
      </w:pPr>
      <w:r>
        <w:t>Tschudi, Aegidius: Chronicon Helveticum (Basel 1734–36).</w:t>
      </w:r>
    </w:p>
    <w:p>
      <w:pPr>
        <w:pStyle w:val="Heading2"/>
      </w:pPr>
      <w:r>
        <w:t>B. Literaturverzeichnis (Auswahl)</w:t>
      </w:r>
    </w:p>
    <w:p>
      <w:pPr>
        <w:pStyle w:val="ListBullet"/>
      </w:pPr>
      <w:r>
        <w:t>Stettler, Bernhard: Die Historiographie des Alten Zürichkriegs (15.–19. Jahrhundert), in: ... [Aufsatz‑PDF im Korpus].</w:t>
      </w:r>
    </w:p>
    <w:p>
      <w:pPr>
        <w:pStyle w:val="ListBullet"/>
      </w:pPr>
      <w:r>
        <w:t>Kompass Geschichtsstudium, Version HS 2025. Historisches Seminar, Universität Zürich (Leitfaden).</w:t>
      </w:r>
    </w:p>
    <w:p>
      <w:pPr>
        <w:pStyle w:val="ListBullet"/>
      </w:pPr>
      <w:r>
        <w:t>Infoclio.ch: Zitierstil und Richtlinien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