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46FC5" w14:textId="77777777" w:rsidR="006C5C52" w:rsidRDefault="00000000">
      <w:pPr>
        <w:jc w:val="center"/>
      </w:pPr>
      <w:r>
        <w:rPr>
          <w:b/>
          <w:sz w:val="32"/>
        </w:rPr>
        <w:t>Exposé (BA Geschichte)</w:t>
      </w:r>
    </w:p>
    <w:p w14:paraId="17308A52" w14:textId="77777777" w:rsidR="006C5C52" w:rsidRDefault="00000000">
      <w:pPr>
        <w:jc w:val="center"/>
      </w:pPr>
      <w:r>
        <w:rPr>
          <w:sz w:val="28"/>
        </w:rPr>
        <w:br/>
        <w:t>»Chroniken, Kanzleien und Krieg«</w:t>
      </w:r>
      <w:r>
        <w:rPr>
          <w:sz w:val="28"/>
        </w:rPr>
        <w:br/>
        <w:t>Der Alte Zürichkrieg (1436–1450) in Quellen, Chronistik und Rezeption:</w:t>
      </w:r>
      <w:r>
        <w:rPr>
          <w:sz w:val="28"/>
        </w:rPr>
        <w:br/>
        <w:t>pfadgewichtete Einflussanalyse im Vergleich zur konventionellen Forschung</w:t>
      </w:r>
    </w:p>
    <w:p w14:paraId="3C3736A5" w14:textId="77777777" w:rsidR="006C5C52" w:rsidRDefault="00000000">
      <w:r>
        <w:br/>
      </w:r>
    </w:p>
    <w:p w14:paraId="64FC51FD" w14:textId="77777777" w:rsidR="00625C93" w:rsidRDefault="00000000">
      <w:pPr>
        <w:jc w:val="center"/>
        <w:rPr>
          <w:i/>
        </w:rPr>
      </w:pPr>
      <w:proofErr w:type="spellStart"/>
      <w:r>
        <w:rPr>
          <w:i/>
        </w:rPr>
        <w:t>Historisches</w:t>
      </w:r>
      <w:proofErr w:type="spellEnd"/>
      <w:r>
        <w:rPr>
          <w:i/>
        </w:rPr>
        <w:t xml:space="preserve"> Seminar, Universität Zürich</w:t>
      </w:r>
    </w:p>
    <w:p w14:paraId="3C3AB927" w14:textId="33DDF492" w:rsidR="00625C93" w:rsidRDefault="00000000">
      <w:pPr>
        <w:jc w:val="center"/>
      </w:pPr>
      <w:r>
        <w:rPr>
          <w:i/>
        </w:rPr>
        <w:br/>
      </w:r>
      <w:r>
        <w:t xml:space="preserve">Studiengang: BA </w:t>
      </w:r>
      <w:proofErr w:type="spellStart"/>
      <w:r>
        <w:t>Geschichte</w:t>
      </w:r>
      <w:proofErr w:type="spellEnd"/>
      <w:r>
        <w:t xml:space="preserve"> – </w:t>
      </w:r>
      <w:proofErr w:type="spellStart"/>
      <w:r>
        <w:t>Mediävistik</w:t>
      </w:r>
      <w:proofErr w:type="spellEnd"/>
      <w:r>
        <w:t xml:space="preserve">/Schweizer </w:t>
      </w:r>
      <w:proofErr w:type="spellStart"/>
      <w:r>
        <w:t>Geschichte</w:t>
      </w:r>
      <w:proofErr w:type="spellEnd"/>
    </w:p>
    <w:p w14:paraId="2D381D07" w14:textId="2EA40191" w:rsidR="006C5C52" w:rsidRDefault="00000000" w:rsidP="00625C93">
      <w:pPr>
        <w:jc w:val="center"/>
      </w:pPr>
      <w:proofErr w:type="spellStart"/>
      <w:r>
        <w:t>Betreuung</w:t>
      </w:r>
      <w:proofErr w:type="spellEnd"/>
      <w:r>
        <w:t xml:space="preserve">: </w:t>
      </w:r>
      <w:r w:rsidR="00625C93">
        <w:t>Prof. Simon Teuscher</w:t>
      </w:r>
      <w:r w:rsidR="00625C93">
        <w:br/>
      </w:r>
      <w:r>
        <w:br/>
        <w:t xml:space="preserve">Autor: </w:t>
      </w:r>
      <w:r w:rsidR="00625C93">
        <w:t>Leandro Habegger</w:t>
      </w:r>
      <w:r>
        <w:t xml:space="preserve">, </w:t>
      </w:r>
      <w:proofErr w:type="gramStart"/>
      <w:r>
        <w:t>Matr.-</w:t>
      </w:r>
      <w:proofErr w:type="gramEnd"/>
      <w:r>
        <w:t xml:space="preserve">Nr.: </w:t>
      </w:r>
      <w:bdo w:val="ltr">
        <w:r w:rsidR="00625C93" w:rsidRPr="00625C93">
          <w:t>21 708 44 1</w:t>
        </w:r>
        <w:r w:rsidR="00625C93" w:rsidRPr="00625C93">
          <w:t>‬</w:t>
        </w:r>
        <w:r>
          <w:br/>
        </w:r>
        <w:r w:rsidR="00625C93">
          <w:br/>
        </w:r>
        <w:proofErr w:type="spellStart"/>
        <w:r>
          <w:t>Abgabe</w:t>
        </w:r>
        <w:proofErr w:type="spellEnd"/>
        <w:r>
          <w:t xml:space="preserve">: </w:t>
        </w:r>
        <w:r w:rsidR="00625C93">
          <w:t>10.11.2025</w:t>
        </w:r>
        <w:r>
          <w:br/>
        </w:r>
      </w:bdo>
    </w:p>
    <w:p w14:paraId="5CBE5B26" w14:textId="77777777" w:rsidR="006C5C52" w:rsidRDefault="00000000">
      <w:r>
        <w:br w:type="page"/>
      </w:r>
    </w:p>
    <w:p w14:paraId="0DBBB732" w14:textId="77777777" w:rsidR="006C5C52" w:rsidRDefault="00000000">
      <w:pPr>
        <w:pStyle w:val="berschrift1"/>
      </w:pPr>
      <w:r>
        <w:lastRenderedPageBreak/>
        <w:t>Abstract (ca. 1’000 Zeichen)</w:t>
      </w:r>
    </w:p>
    <w:p w14:paraId="5019D7D5" w14:textId="77777777" w:rsidR="0092102E" w:rsidRDefault="00000000">
      <w:r>
        <w:t xml:space="preserve">Die Arbeit verankert die Untersuchung des Alten Zürichkriegs (AZK, 1436–1450) in seiner historischen Breite und in der Quellenkritik. Im Zentrum stehen die zeitgenössischen Überlieferungsstränge (eidgenössisch-schwyzerisch um Hans Fründ; zürcherisch-österreichisch um Klingenberger/Rapperswil und die Zürcher Stadtchronik) sowie deren Rezeption über Tschachtlan/Schilling/Anshelm bis zu Tschudi und Müller. </w:t>
      </w:r>
    </w:p>
    <w:p w14:paraId="042DACE5" w14:textId="77777777" w:rsidR="0092102E" w:rsidRDefault="00000000">
      <w:proofErr w:type="spellStart"/>
      <w:r>
        <w:t>Erklärt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die Dichte der Chronistik aus Kanzleigebrauchsschrift, städtischer Selbstrepräsentation, rechtlich-diplomatischen Innovationen und Memoria (Schlachtjahrzeiten). Methodisch werden ein Baseline-Ko-Mentions-Ranking und ein pfadgewichtetes Einflussmodell (Quellen–Edition–Zitation) verglichen. </w:t>
      </w:r>
    </w:p>
    <w:p w14:paraId="756FAC56" w14:textId="0A79F80C" w:rsidR="006C5C52" w:rsidRDefault="00000000">
      <w:r>
        <w:t>Fallstudien (</w:t>
      </w:r>
      <w:proofErr w:type="spellStart"/>
      <w:r>
        <w:t>Rapperswil</w:t>
      </w:r>
      <w:proofErr w:type="spellEnd"/>
      <w:r>
        <w:t xml:space="preserve">, Winterthur, </w:t>
      </w:r>
      <w:proofErr w:type="spellStart"/>
      <w:r>
        <w:t>Sarganserland</w:t>
      </w:r>
      <w:proofErr w:type="spellEnd"/>
      <w:r>
        <w:t xml:space="preserve">; </w:t>
      </w:r>
      <w:proofErr w:type="spellStart"/>
      <w:r>
        <w:t>Obmannsspruch</w:t>
      </w:r>
      <w:proofErr w:type="spellEnd"/>
      <w:r>
        <w:t xml:space="preserve"> 1450) erden die Analyse. Ziel ist, Kanon und Deutungscluster der Forschung zu replizieren oder begründet zu korrigieren und den AZK als Schreib‑, Rechts‑ und Erinnerungsgeschehen zu profilieren.</w:t>
      </w:r>
    </w:p>
    <w:p w14:paraId="583361C4" w14:textId="77777777" w:rsidR="006C5C52" w:rsidRDefault="00000000">
      <w:pPr>
        <w:pStyle w:val="berschrift1"/>
      </w:pPr>
      <w:r>
        <w:t>1. Problemstellung und historischer Kontext</w:t>
      </w:r>
    </w:p>
    <w:p w14:paraId="463A8614" w14:textId="77777777" w:rsidR="006C5C52" w:rsidRDefault="00000000">
      <w:r>
        <w:t>Der AZK entstand aus dem Toggenburger Erbfall (1436) und der Konkurrenz Zürich–Schwyz um Herrschaftsrechte (Einsiedeln, March) bei gleichzeitiger habsburgischer Restitutionspolitik. 1438/39 stützte Zürich seine Ostpolitik mit Kornsperren und Burgrechten; 1442 schloss es das Bündnis mit König Friedrich III. Es folgten Höhepunkte und Zäsuren: Kilchberger Friede (1440), Letzi/Hirzel und St. Jakob an der Sihl (1443), Belagerung Zürich/Greifensee und St. Jakob an der Birs (1444), zürcherische Niederlagen und regionale Feldzüge (u. a. Ragaz 1446), Waffenstillstand Konstanz (1446) und der Obmannsspruch von Heinrich von Bubenberg (Einsiedeln 1450). Ergebnis: Rückkehr Zürichs in den Bund, Festigung eidgenössischer Ordnung; die Erfahrung langdauernder Kriegführung förderte Schriftlichkeit, Diplomatie und Memorialpraxis.</w:t>
      </w:r>
    </w:p>
    <w:p w14:paraId="4E3679FE" w14:textId="77777777" w:rsidR="006C5C52" w:rsidRDefault="00000000">
      <w:pPr>
        <w:pStyle w:val="berschrift1"/>
      </w:pPr>
      <w:r>
        <w:t>2. Warum so viele Chroniken? Überlieferung, Kanzleien, Memoria</w:t>
      </w:r>
    </w:p>
    <w:p w14:paraId="1AF2DF1D" w14:textId="77777777" w:rsidR="006C5C52" w:rsidRDefault="00000000">
      <w:r>
        <w:t xml:space="preserve">a) Kanzleigebrauchsschrift im Krieg: Tagsatzungsprotokolle, Feldbriefe, Aufgebotsrödel, Soldquittungen – besonders dicht in den Jahren 1443–1446. Professionalisierung durch die Berufung Hans Fründs als Schwyzer Landschreiber (1437). b) Stadtkulturelle Chronistik: Zürcher Stadtchronik/Edlibach und Bilderchroniken (Tschachtlan/Schilling) als politische Kommunikation. c) Recht und Memoria: Jahrzeitbücher und Schlachtjahrzeiten (Fridolinstag 6. März) kanonisieren Gefallenennamen und Deutungen. d) Humanistische und konfessionelle Rahmung: Hemmerlin (Adel/Bauern), Piccolomini </w:t>
      </w:r>
      <w:r>
        <w:lastRenderedPageBreak/>
        <w:t>(Thermopylen-Topos), später Stumpf/Bullinger/Simler; Tschudi bündelt und prägt das 18./19. Jahrhundert.</w:t>
      </w:r>
    </w:p>
    <w:p w14:paraId="72662D34" w14:textId="77777777" w:rsidR="006C5C52" w:rsidRDefault="00000000">
      <w:pPr>
        <w:pStyle w:val="berschrift1"/>
      </w:pPr>
      <w:r>
        <w:t>3. Überlieferungsstränge (15. Jh.)</w:t>
      </w:r>
    </w:p>
    <w:p w14:paraId="54E123A4" w14:textId="77777777" w:rsidR="006C5C52" w:rsidRDefault="00000000">
      <w:r>
        <w:t>Eidgenössisch-schwyzerisch: Hans Fründ (Augenzeuge; Dokumenteneinschübe). Zürcherisch-österreichisch: Klingenberger/Rapperswiler Chronik (nüchtern, österreichnah), Zürcher Stadtchronik ab 1443 (Gegenbild). Ergänzend: Dacher (Konstanz), Appenwiler (Basel). Vermittlungs- und Konfliktfiguren: Heinrich von Hewen (Bischof von Konstanz), Anna von Hewen (Fraumünster) – Zürcher Innenpolitik und Schauprozesse. Rezeption/Tradierung: Tschachtlan/Schilling/Anshelm, danach Etterlin/Brennwald/Stumpf/Bullinger sowie Tschudi; 18./19. Jh.: Müller, nationale Lesarten.</w:t>
      </w:r>
    </w:p>
    <w:p w14:paraId="5C213F3D" w14:textId="77777777" w:rsidR="006C5C52" w:rsidRDefault="00000000">
      <w:pPr>
        <w:pStyle w:val="berschrift1"/>
      </w:pPr>
      <w:r>
        <w:t>4. Forschungsfrage</w:t>
      </w:r>
    </w:p>
    <w:p w14:paraId="02840040" w14:textId="77777777" w:rsidR="006C5C52" w:rsidRDefault="00000000">
      <w:r>
        <w:t>Wie verschieben sich Autorität, Zentralität und Deutungscluster der AZK‑Chroniken, wenn Einfluss als pfadgewichtete, transitive Bezugnahme über Quellen‑, Editions‑ und Zitationsketten modelliert wird; in welchem Maß reproduziert bzw. korrigiert dieses Modell die Rangordnungen und Lesarten der Forschung (15.–19. Jh.), und wie wirken lokale Konflikt‑/Rechtslagen (Rapperswil, Winterthur, Sarganserland; Einsiedeln 1450) auf diese Pfade?</w:t>
      </w:r>
    </w:p>
    <w:p w14:paraId="1D0A38BF" w14:textId="77777777" w:rsidR="006C5C52" w:rsidRDefault="00000000">
      <w:pPr>
        <w:pStyle w:val="berschrift1"/>
      </w:pPr>
      <w:r>
        <w:t>5. Forschungsstand (Kernlinien und Fallräume)</w:t>
      </w:r>
    </w:p>
    <w:p w14:paraId="2C2FB249" w14:textId="77777777" w:rsidR="006C5C52" w:rsidRDefault="00000000">
      <w:r>
        <w:t>Winterthur: Finanzen, Verwaltung, soziale Folgen und Erinnerungspraxis. Sarganserland/Ragaz 1446: Quellenfülle (Städtebriefe, Quittungen, Jahrzeit). Rapperswil: Belagerungen und Versorgung; Greifensee 1444: Kapitulation und Hinrichtungen. Zürcher Stadtgesellschaft: Testamente, Kriegsängste und religiöse Praxis. Fraumünster/Anna von Hewen: Zeugenprotokolle und städtische Schauprozesse. Diplomatiegeschichte: Tagsatzungsabkommen, «Abschiede», auswärtige Gesandte; Verschriftlichung und Verrechtlichung von Verfahren.</w:t>
      </w:r>
    </w:p>
    <w:p w14:paraId="3CD75C28" w14:textId="77777777" w:rsidR="006C5C52" w:rsidRDefault="00000000">
      <w:pPr>
        <w:pStyle w:val="berschrift1"/>
      </w:pPr>
      <w:r>
        <w:t>6. Korpus und Materialbasis</w:t>
      </w:r>
    </w:p>
    <w:p w14:paraId="2CF748DE" w14:textId="77777777" w:rsidR="006C5C52" w:rsidRDefault="00000000">
      <w:r>
        <w:t xml:space="preserve">Primär: Fründ; Klingenberger/Rapperswil; Zürcher Stadtchroniken/Edlibach; Dacher; Appenwiler; Hemmerlin; Piccolomini; Jahrzeitbücher/Wickiana. Sekundär (Schwerpunkt 1990–2024): Stettler (Historiographie AZK), Niederhäuser/Sieber (Sammelband), Sieber (Opferperspektive, Greifensee), Speich (Ragaz 1446), Landolt (Schwyz, Schlachtjahrzeiten), Rigendinger (Sarganserland), Sutter (Rapperswil), Bihrer (Heinrich </w:t>
      </w:r>
      <w:r>
        <w:lastRenderedPageBreak/>
        <w:t>von Hewen), Langmaier (Fraumünster), Bosshard (Testamente), Frey (Rudolf Stüssi), Illi (HLS-Überblick), Jucker (Diplomatie 1415–1460).</w:t>
      </w:r>
    </w:p>
    <w:p w14:paraId="25B33A6D" w14:textId="77777777" w:rsidR="006C5C52" w:rsidRDefault="00000000">
      <w:pPr>
        <w:pStyle w:val="berschrift1"/>
      </w:pPr>
      <w:r>
        <w:t>7. Methode und Operationalisierung</w:t>
      </w:r>
    </w:p>
    <w:p w14:paraId="67D52FE7" w14:textId="77777777" w:rsidR="006C5C52" w:rsidRDefault="00000000">
      <w:r>
        <w:t>M0 Baseline: Ko‑Mentionsnetz aus Bibliographien (Kante = gemeinsame Nennung). M1 Pfadmodell: gerichtetes, mehrschichtiges Netz (S→P; P↔E; P→P), gedämpfte Zentralität (Katz/PageRank), Betweenness. Kontexte ±100 Token für Deutungslabels; Disambiguation (Schilling d. Ä./d. J.; Proxies).</w:t>
      </w:r>
    </w:p>
    <w:p w14:paraId="789B959E" w14:textId="77777777" w:rsidR="006C5C52" w:rsidRDefault="00000000">
      <w:pPr>
        <w:pStyle w:val="berschrift1"/>
      </w:pPr>
      <w:r>
        <w:t>8. Vergleich zur konventionellen Forschung</w:t>
      </w:r>
    </w:p>
    <w:p w14:paraId="03C7D366" w14:textId="77777777" w:rsidR="006C5C52" w:rsidRDefault="00000000">
      <w:r>
        <w:t>Rangvergleich (Spearman/Kendall) M1 vs. M0 und gegen Rangbilder des Forschungsstands; Cluster‑Kongruenz (ARI/NMI); Abweichungen nach Epoche, Konfession, Gattung; Robustheit (Dämpfung, Pfadtiefe, Gewichte).</w:t>
      </w:r>
    </w:p>
    <w:p w14:paraId="2405B36B" w14:textId="77777777" w:rsidR="006C5C52" w:rsidRDefault="00000000">
      <w:pPr>
        <w:pStyle w:val="berschrift1"/>
      </w:pPr>
      <w:r>
        <w:t>9. Historische Fallstudien (Evidenzanker)</w:t>
      </w:r>
    </w:p>
    <w:p w14:paraId="09C0CEAA" w14:textId="77777777" w:rsidR="006C5C52" w:rsidRDefault="00000000">
      <w:r>
        <w:t>Rapperswil (österreichischer Pol, Belagerungen, Recht); Winterthur (Stadtfinanzen, Kriegslasten, Verwaltung); Sarganserland/Ragaz 1446 (Quellenklassen; Militär und Schriftlichkeit); Greifensee 1444 (Belagerung, Kapitulation, Hinrichtungen); Einsiedeln 1450 (Obmannsspruch Bubenberg; Bundesrecht und Schiedsgericht).</w:t>
      </w:r>
    </w:p>
    <w:p w14:paraId="44C50B7A" w14:textId="77777777" w:rsidR="006C5C52" w:rsidRDefault="00000000">
      <w:pPr>
        <w:pStyle w:val="berschrift1"/>
      </w:pPr>
      <w:r>
        <w:t>10. Risiken, Limitationen, Umgang</w:t>
      </w:r>
    </w:p>
    <w:p w14:paraId="5656183E" w14:textId="77777777" w:rsidR="006C5C52" w:rsidRDefault="00000000">
      <w:r>
        <w:t>Parteischriftlichkeit, OCR-Fehler, Editionsvarianten; Gegenmittel: kontextuelle Quellenkritik, manuelle Audits, Sensitivitätsanalysen, transparente Alias-/Proxy-Regeln. Bibliographie ≠ Fußnotenrealität: im Text reflektieren.</w:t>
      </w:r>
    </w:p>
    <w:p w14:paraId="3FECE2F5" w14:textId="77777777" w:rsidR="006C5C52" w:rsidRDefault="00000000">
      <w:pPr>
        <w:pStyle w:val="berschrift1"/>
      </w:pPr>
      <w:r>
        <w:t>11. Zeitplan (3 Wochen)</w:t>
      </w:r>
    </w:p>
    <w:p w14:paraId="7DCBA213" w14:textId="77777777" w:rsidR="006C5C52" w:rsidRDefault="00000000">
      <w:pPr>
        <w:pStyle w:val="Aufzhlungszeichen"/>
      </w:pPr>
      <w:r>
        <w:t>W1: Korpus/OCR; Normalisierung; Alias-Liste; Fallstudien-Dossiers.</w:t>
      </w:r>
    </w:p>
    <w:p w14:paraId="0815A147" w14:textId="77777777" w:rsidR="006C5C52" w:rsidRDefault="00000000">
      <w:pPr>
        <w:pStyle w:val="Aufzhlungszeichen"/>
      </w:pPr>
      <w:r>
        <w:t>W2: Netze (M0/M1), Metriken, Cluster, Zeit-Slices; historische Einordnung.</w:t>
      </w:r>
    </w:p>
    <w:p w14:paraId="40D8C356" w14:textId="77777777" w:rsidR="006C5C52" w:rsidRDefault="00000000">
      <w:pPr>
        <w:pStyle w:val="Aufzhlungszeichen"/>
      </w:pPr>
      <w:r>
        <w:t>W3: Schreiben; Visualisierungen; Datenpaket (CSV/GEXF) + Anhang.</w:t>
      </w:r>
    </w:p>
    <w:p w14:paraId="56CA89F7" w14:textId="77777777" w:rsidR="006C5C52" w:rsidRDefault="00000000">
      <w:pPr>
        <w:pStyle w:val="berschrift1"/>
      </w:pPr>
      <w:r>
        <w:t>12. Vorläufige Gliederung (30–40 S.)</w:t>
      </w:r>
    </w:p>
    <w:p w14:paraId="331BACC3" w14:textId="77777777" w:rsidR="006C5C52" w:rsidRDefault="00000000">
      <w:pPr>
        <w:pStyle w:val="Aufzhlungszeichen"/>
      </w:pPr>
      <w:r>
        <w:t>1 Einleitung &amp; Frage</w:t>
      </w:r>
    </w:p>
    <w:p w14:paraId="47BF7B1F" w14:textId="77777777" w:rsidR="006C5C52" w:rsidRDefault="00000000">
      <w:pPr>
        <w:pStyle w:val="Aufzhlungszeichen"/>
      </w:pPr>
      <w:r>
        <w:t>2 Ursachen, Verlauf, Akteure, Rechtsakte des AZK</w:t>
      </w:r>
    </w:p>
    <w:p w14:paraId="17E33CA4" w14:textId="77777777" w:rsidR="006C5C52" w:rsidRDefault="00000000">
      <w:pPr>
        <w:pStyle w:val="Aufzhlungszeichen"/>
      </w:pPr>
      <w:r>
        <w:t>3 Überlieferungsstränge &amp; Chronistik (15. Jh.)</w:t>
      </w:r>
    </w:p>
    <w:p w14:paraId="039A1408" w14:textId="77777777" w:rsidR="006C5C52" w:rsidRDefault="00000000">
      <w:pPr>
        <w:pStyle w:val="Aufzhlungszeichen"/>
      </w:pPr>
      <w:r>
        <w:t>4 Rezeption 1470–1600; 18./19. Jh. Forschung</w:t>
      </w:r>
    </w:p>
    <w:p w14:paraId="48FF3014" w14:textId="77777777" w:rsidR="006C5C52" w:rsidRDefault="00000000">
      <w:pPr>
        <w:pStyle w:val="Aufzhlungszeichen"/>
      </w:pPr>
      <w:r>
        <w:t>5 Methode: M0 vs. M1; Daten &amp; Parameter</w:t>
      </w:r>
    </w:p>
    <w:p w14:paraId="00E43973" w14:textId="77777777" w:rsidR="006C5C52" w:rsidRDefault="00000000">
      <w:pPr>
        <w:pStyle w:val="Aufzhlungszeichen"/>
      </w:pPr>
      <w:r>
        <w:lastRenderedPageBreak/>
        <w:t>6 Ergebnisse I: Ränge, Vermittler, Pfade</w:t>
      </w:r>
    </w:p>
    <w:p w14:paraId="4E7C9D82" w14:textId="77777777" w:rsidR="006C5C52" w:rsidRDefault="00000000">
      <w:pPr>
        <w:pStyle w:val="Aufzhlungszeichen"/>
      </w:pPr>
      <w:r>
        <w:t>7 Ergebnisse II: Cluster, Zeittrends, Fallstudien</w:t>
      </w:r>
    </w:p>
    <w:p w14:paraId="1DB36EEE" w14:textId="77777777" w:rsidR="006C5C52" w:rsidRDefault="00000000">
      <w:pPr>
        <w:pStyle w:val="Aufzhlungszeichen"/>
      </w:pPr>
      <w:r>
        <w:t>8 Vergleich &amp; Diskussion; Limitationen</w:t>
      </w:r>
    </w:p>
    <w:p w14:paraId="07B35238" w14:textId="77777777" w:rsidR="006C5C52" w:rsidRDefault="00000000">
      <w:pPr>
        <w:pStyle w:val="Aufzhlungszeichen"/>
      </w:pPr>
      <w:r>
        <w:t>9 Fazit</w:t>
      </w:r>
    </w:p>
    <w:p w14:paraId="0565D2D6" w14:textId="77777777" w:rsidR="006C5C52" w:rsidRDefault="00000000">
      <w:pPr>
        <w:pStyle w:val="Aufzhlungszeichen"/>
      </w:pPr>
      <w:r>
        <w:t>Anhang: Alias, Parameter, QS-Protokoll, Daten/Code</w:t>
      </w:r>
    </w:p>
    <w:p w14:paraId="2E5620D4" w14:textId="77777777" w:rsidR="006C5C52" w:rsidRDefault="00000000">
      <w:pPr>
        <w:pStyle w:val="berschrift1"/>
      </w:pPr>
      <w:r>
        <w:t>Arbeitsbibliographie (Kurz, Primär &amp; Sekundär)</w:t>
      </w:r>
    </w:p>
    <w:p w14:paraId="39362AA0" w14:textId="77777777" w:rsidR="006C5C52" w:rsidRDefault="00000000">
      <w:pPr>
        <w:pStyle w:val="Aufzhlungszeichen"/>
      </w:pPr>
      <w:r>
        <w:t>Stettler, Bernhard: Die Historiographie des Alten Zürichkriegs (15.–19. Jh.).</w:t>
      </w:r>
    </w:p>
    <w:p w14:paraId="6E0E0C25" w14:textId="77777777" w:rsidR="006C5C52" w:rsidRDefault="00000000">
      <w:pPr>
        <w:pStyle w:val="Aufzhlungszeichen"/>
      </w:pPr>
      <w:r>
        <w:t>Illi, Martin (HLS): Alter Zürichkrieg (Überblick).</w:t>
      </w:r>
    </w:p>
    <w:p w14:paraId="2BF4E758" w14:textId="77777777" w:rsidR="006C5C52" w:rsidRDefault="00000000">
      <w:pPr>
        <w:pStyle w:val="Aufzhlungszeichen"/>
      </w:pPr>
      <w:r>
        <w:t>Jucker, Michael: Verstetigung und Verrechtlichung der Diplomatie (1415–1460).</w:t>
      </w:r>
    </w:p>
    <w:p w14:paraId="6D5BF734" w14:textId="77777777" w:rsidR="006C5C52" w:rsidRDefault="00000000">
      <w:pPr>
        <w:pStyle w:val="Aufzhlungszeichen"/>
      </w:pPr>
      <w:r>
        <w:t>Sieber, Christian: Der Vater tot, das Haus verbrannt (Opfer, Greifensee, Kriegsverbrechen).</w:t>
      </w:r>
    </w:p>
    <w:p w14:paraId="7C2776BB" w14:textId="77777777" w:rsidR="006C5C52" w:rsidRDefault="00000000">
      <w:pPr>
        <w:pStyle w:val="Aufzhlungszeichen"/>
      </w:pPr>
      <w:r>
        <w:t>Speich, Heinrich: Quellen zum Ragazer Feldzug 1446.</w:t>
      </w:r>
    </w:p>
    <w:p w14:paraId="1102D2E8" w14:textId="77777777" w:rsidR="006C5C52" w:rsidRDefault="00000000">
      <w:pPr>
        <w:pStyle w:val="Aufzhlungszeichen"/>
      </w:pPr>
      <w:r>
        <w:t>Landolt, Oliver: Altes Land Schwyz; Schlachtjahrzeiten/Kriegsgefallenenlisten.</w:t>
      </w:r>
    </w:p>
    <w:p w14:paraId="3461C235" w14:textId="77777777" w:rsidR="006C5C52" w:rsidRDefault="00000000">
      <w:pPr>
        <w:pStyle w:val="Aufzhlungszeichen"/>
      </w:pPr>
      <w:r>
        <w:t>Niederhäuser, Peter: Winterthur und der AZK.</w:t>
      </w:r>
    </w:p>
    <w:p w14:paraId="25644060" w14:textId="77777777" w:rsidR="006C5C52" w:rsidRDefault="00000000">
      <w:pPr>
        <w:pStyle w:val="Aufzhlungszeichen"/>
      </w:pPr>
      <w:r>
        <w:t>Rigendinger, Fritz: Sarganserland im Spätmittelalter.</w:t>
      </w:r>
    </w:p>
    <w:p w14:paraId="1206638B" w14:textId="77777777" w:rsidR="006C5C52" w:rsidRDefault="00000000">
      <w:pPr>
        <w:pStyle w:val="Aufzhlungszeichen"/>
      </w:pPr>
      <w:r>
        <w:t>Sutter, Pascale: Rapperswil im AZK.</w:t>
      </w:r>
    </w:p>
    <w:p w14:paraId="1A25759C" w14:textId="77777777" w:rsidR="006C5C52" w:rsidRDefault="00000000">
      <w:pPr>
        <w:pStyle w:val="Aufzhlungszeichen"/>
      </w:pPr>
      <w:r>
        <w:t>Bihrer, Andreas: Heinrich von Hewen («Friedensbischof»).</w:t>
      </w:r>
    </w:p>
    <w:p w14:paraId="2A1D984C" w14:textId="77777777" w:rsidR="006C5C52" w:rsidRDefault="00000000">
      <w:pPr>
        <w:pStyle w:val="Aufzhlungszeichen"/>
      </w:pPr>
      <w:r>
        <w:t>Langmaier, Konstantin M.: Fraumünster-Äbtissin Anna von Hewen (Zeugnisse).</w:t>
      </w:r>
    </w:p>
    <w:p w14:paraId="4C685F0B" w14:textId="77777777" w:rsidR="006C5C52" w:rsidRDefault="00000000">
      <w:pPr>
        <w:pStyle w:val="Aufzhlungszeichen"/>
      </w:pPr>
      <w:r>
        <w:t>Bosshard, Werner: Zürcher Testamente 1428–1445.</w:t>
      </w:r>
    </w:p>
    <w:p w14:paraId="5B13151E" w14:textId="77777777" w:rsidR="006C5C52" w:rsidRDefault="00000000">
      <w:pPr>
        <w:pStyle w:val="Aufzhlungszeichen"/>
      </w:pPr>
      <w:r>
        <w:t>Frey, Stefan: Rudolf Stüssi – ein tragischer Held?</w:t>
      </w:r>
    </w:p>
    <w:sectPr w:rsidR="006C5C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3002881">
    <w:abstractNumId w:val="8"/>
  </w:num>
  <w:num w:numId="2" w16cid:durableId="972826398">
    <w:abstractNumId w:val="6"/>
  </w:num>
  <w:num w:numId="3" w16cid:durableId="733628200">
    <w:abstractNumId w:val="5"/>
  </w:num>
  <w:num w:numId="4" w16cid:durableId="228813578">
    <w:abstractNumId w:val="4"/>
  </w:num>
  <w:num w:numId="5" w16cid:durableId="908996385">
    <w:abstractNumId w:val="7"/>
  </w:num>
  <w:num w:numId="6" w16cid:durableId="1069767341">
    <w:abstractNumId w:val="3"/>
  </w:num>
  <w:num w:numId="7" w16cid:durableId="1692297994">
    <w:abstractNumId w:val="2"/>
  </w:num>
  <w:num w:numId="8" w16cid:durableId="1140271458">
    <w:abstractNumId w:val="1"/>
  </w:num>
  <w:num w:numId="9" w16cid:durableId="17026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5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007"/>
    <w:rsid w:val="00625C93"/>
    <w:rsid w:val="006C5C52"/>
    <w:rsid w:val="009210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80AFF72"/>
  <w14:defaultImageDpi w14:val="300"/>
  <w15:docId w15:val="{B386D446-5C58-0644-AD1F-631052913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Times New Roman" w:hAnsi="Times New Roman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1081</Words>
  <Characters>6816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Meskerem David Habegger</cp:lastModifiedBy>
  <cp:revision>3</cp:revision>
  <dcterms:created xsi:type="dcterms:W3CDTF">2013-12-23T23:15:00Z</dcterms:created>
  <dcterms:modified xsi:type="dcterms:W3CDTF">2025-11-10T18:12:00Z</dcterms:modified>
  <cp:category/>
</cp:coreProperties>
</file>