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Exposé (BA Geschichte)</w:t>
      </w:r>
    </w:p>
    <w:p>
      <w:pPr>
        <w:jc w:val="center"/>
      </w:pPr>
      <w:r>
        <w:rPr>
          <w:sz w:val="28"/>
        </w:rPr>
        <w:br/>
        <w:t>Chroniken und Konflikt:</w:t>
        <w:br/>
        <w:t>Alte Deutungen, neue Pfade –</w:t>
        <w:br/>
        <w:t>Der Alte Zürichkrieg (1436–1450) in Quellen, Chronistik und Forschung</w:t>
      </w:r>
    </w:p>
    <w:p>
      <w:r>
        <w:br/>
      </w:r>
    </w:p>
    <w:p>
      <w:pPr>
        <w:jc w:val="center"/>
      </w:pPr>
      <w:r>
        <w:rPr>
          <w:i/>
        </w:rPr>
        <w:t>Historisches Seminar, Universität Zürich</w:t>
        <w:br/>
      </w:r>
      <w:r>
        <w:t>Studiengang: BA Geschichte – Mediävistik/Schweizer Geschichte</w:t>
        <w:br/>
      </w:r>
      <w:r>
        <w:t>Betreuung: [Name]</w:t>
        <w:br/>
      </w:r>
      <w:r>
        <w:t>Autor: [Name], Matr.-Nr.: [xxxxxx]</w:t>
        <w:br/>
      </w:r>
      <w:r>
        <w:t>Abgabe: [Datum]</w:t>
        <w:br/>
      </w:r>
    </w:p>
    <w:p>
      <w:r>
        <w:br w:type="page"/>
      </w:r>
    </w:p>
    <w:p>
      <w:pPr>
        <w:pStyle w:val="Heading1"/>
      </w:pPr>
      <w:r>
        <w:t>Abstract (ca. 1’000 Zeichen)</w:t>
      </w:r>
    </w:p>
    <w:p>
      <w:r>
        <w:t>Das Exposé verankert die Untersuchung des Alten Zürichkriegs (AZK, 1436–1450) in seiner historischen und quellenkritischen Breite. Es verbindet die konflikthafte Zeitgenossenschaft der schwyzerisch-eidgenössischen und der zürcherisch-österreichischen Überlieferungsstränge mit der Rezeption bis ins 19. Jahrhundert. Im Zentrum steht ein Vergleich zweier Bewertungsweisen: (M0) konventionelle Nennungs-/Ko-Mentions-Rankings und (M1) pfadgewichtete, transitive Einflussmaße auf einem gerichteten Quellen-/Editions-/Zitationsnetz. Historische Fallstudien (Rapperswil, Winterthur, Sarganserland; Obmannsspruch Einsiedeln 1450) erden die Analyse. Ziel ist es, die etablierten Rangordnungen und Deutungscluster zu replizieren oder begründet zu korrigieren und den AZK als Schreib- und Erinnerungsereignis zu profilieren.</w:t>
      </w:r>
    </w:p>
    <w:p>
      <w:pPr>
        <w:pStyle w:val="Heading1"/>
      </w:pPr>
      <w:r>
        <w:t>1. Problemstellung und historische Verortung</w:t>
      </w:r>
    </w:p>
    <w:p>
      <w:r>
        <w:t>Der Alte Zürichkrieg war kein isolierter Stadt-Land-Konflikt, sondern die Verdichtung mehrerer Dynamiken: (1) das Erbschaftsproblem um den Nachlass der Grafen von Toggenburg (1436) und konkurrierende Expansionsinteressen; (2) die rechtlich-politische Austragung zwischen Zürich (Reichsstadt, Bündnisse, Satzungsrecht) und den Länderorten (Bundesbriefe, Tagsatzungen); (3) der habsburgische Faktor mit Friedrich III./Herzog Sigmund und die überregionale Diplomatie (Savoyen/Frankreich); (4) militärische Eskalationen zwischen 1439 und 1446, gefolgt von juristisch-mediatorischen Lösungen 1446–1450.</w:t>
      </w:r>
    </w:p>
    <w:p>
      <w:r>
        <w:t>Zentrale Etappen (ausgewählt): Mai 1439 Gefecht am Etzel; 1440 formelle Kriegserklärung der Länderorte; Juni 1442 Bündnis Zürich–Friedrich III.; 1443 Sihl/Hirzel; 1444 Seegefechte und Eitenbach; 1446 Feldzug und Schlacht bei Ragaz; 1446 Übereinkunft von Konstanz; 1450 Obmannsspruch Heinrichs von Bubenberg in Einsiedeln und Erneuerung der Bundesbriefe. Diese Sequenz erklärt, weshalb der AZK in Chronistik und Kanzleischrift außergewöhnlich dicht überliefert ist: Krieg, Recht, Diplomatie und Memoria griffen ineinander.</w:t>
      </w:r>
    </w:p>
    <w:p>
      <w:pPr>
        <w:pStyle w:val="Heading1"/>
      </w:pPr>
      <w:r>
        <w:t>2. Warum so viele Chroniken? Schreiben im und nach dem Krieg</w:t>
      </w:r>
    </w:p>
    <w:p>
      <w:r>
        <w:t>a) Verwaltungs- und Kriegsgebrauchsschrift: Tagsatzungsprotokolle, Feldbriefe, Rechnungen, Soldquittungen, Beuteregister entstanden parallel zu Operationen und wurden von Kanzleien gesichert und weiterverwendet. In Schwyz zeigt die Berufung Hans Fründs (1437) den bewussten Aufbau von Schriftlichkeit im Dauerkonflikt.</w:t>
      </w:r>
    </w:p>
    <w:p>
      <w:r>
        <w:t>b) Stadtkulturelle Chronistik: Zürcher Stadtchroniken, Edlibachs Werk und reich illustrierte Bilderchroniken (Tschachtlan/Schilling) dienten politischer Kommunikation und kollektiver Selbstvergewisserung. c) Recht und Erinnerung: Jahrzeitbücher (Schwyz/Steinen) institutionalisierten Gefallenenlisten und Deutung (z. B. Fridolinstag), oft in enger Verzahnung mit der Chronistik. d) Humanistische und konfessionelle Rahmung: Hemmerlin (Adel/Bauern), Piccolomini (Thermopylen-Topos) gaben Deutungsfolien vor; in der Reformation/Frühneuzeit konsolidierten Drucke/Editionen (Etterlin, Stumpf, Bullinger, Tschudi) den Kanon.</w:t>
      </w:r>
    </w:p>
    <w:p>
      <w:pPr>
        <w:pStyle w:val="Heading1"/>
      </w:pPr>
      <w:r>
        <w:t>3. Forschungsfrage</w:t>
      </w:r>
    </w:p>
    <w:p>
      <w:r>
        <w:t>Wie verschieben sich Autorität, Zentralität und Deutungscluster der AZK-Chroniken, wenn Einfluss als pfadgewichtete, transitive Bezugnahme über Quellen-, Editions- und Zitationsketten modelliert wird; in welchem Maß reproduziert oder korrigiert dieses Modell die Rangordnungen und Lesarten der Forschung (15.–19. Jh.), und wie wirken lokale Konflikt- und Rechtslagen (Rapperswil, Winterthur, Sarganserland; Einsiedeln 1450) auf diese Rezeptionspfade?</w:t>
      </w:r>
    </w:p>
    <w:p>
      <w:pPr>
        <w:pStyle w:val="Heading1"/>
      </w:pPr>
      <w:r>
        <w:t>4. Forschungsstand (Kernlinien)</w:t>
      </w:r>
    </w:p>
    <w:p>
      <w:r>
        <w:t>Zeitgenössische Stimmen: Fründ (Schwyz; Augenzeuge; Dokumenteneinschübe), Klingenberger/Rapperswiler Chronik (pro-österreichisch, datensicher), Zürcher Stadtchronik (ab 1443, Gegenbild), Dacher (Konstanz), Appenwiler (Basel); humanistische Stimmen Hemmerlin, Piccolomini. Rezeption/Tradierung: Tschachtlan/Schilling/Anshelm (Bern), später Etterlin/Brennwald/Stumpf/Bullinger, sodann Tschudi; im 18./19. Jh. standardisierende Narrative (Müller; national-liberale Lesarten) und neuere Korrekturen.</w:t>
      </w:r>
    </w:p>
    <w:p>
      <w:pPr>
        <w:pStyle w:val="Heading1"/>
      </w:pPr>
      <w:r>
        <w:t>5. Historischer Kontext der Fallstudien</w:t>
      </w:r>
    </w:p>
    <w:p>
      <w:r>
        <w:t>Rapperswil: zürcherisch-österreichischer Pol mit hoher Faktentreue in den Rapperswiler Texten; Belagerungen, Versorgung, Bündnisse. Winterthur: städtische Finanz- und Verwaltungslasten, Neuordnung nach dem Krieg. Sarganserland: Grenzraum und Versorgungskorridor; der Feldzug von 1446 liefert eine Quellenkonzentration (Tagsatzungen, Feldbriefe, Gegenüberlieferung Habsburg). Einsiedeln 1450: Obmannsspruch Heinrichs von Bubenberg als Schlusspunkt des Friedensprozesses; Erneuerung/Neuausfertigung von Bundesbriefen 1454/55 als Erinnerungspolitik.</w:t>
      </w:r>
    </w:p>
    <w:p>
      <w:pPr>
        <w:pStyle w:val="Heading1"/>
      </w:pPr>
      <w:r>
        <w:t>6. Korpus und Materialbasis</w:t>
      </w:r>
    </w:p>
    <w:p>
      <w:r>
        <w:t>Primär (Auswahl): Fründ; Klingenberger/Rapperswil; Zürcher Stadtchroniken; Edlibach; Dacher; Appenwiler; Hemmerlin; Piccolomini; Jahrzeitbücher; Wickiana. Sekundär (Kern): Stettler (Historiographie AZK); Niederhäuser/Sieber (Sammelband); Sieber (Fründ/«Unfreundliche Briefe»); Speich (Ragaz 1446); Rigendinger (Sarganserland); Sutter (Rapperswil); Zahnd (Bubenberg/1450); Speck (Albrecht VI. und Habsburg).</w:t>
      </w:r>
    </w:p>
    <w:p>
      <w:pPr>
        <w:pStyle w:val="Heading1"/>
      </w:pPr>
      <w:r>
        <w:t>7. Methode und Operationalisierung (kurz)</w:t>
      </w:r>
    </w:p>
    <w:p>
      <w:r>
        <w:t>M0: Baseline-Ko-Mention (Bibliographien). M1: pfadgewichtete Zentralität (Katz/PageRank) auf einem mehrschichtigen Netz (S→P; P→P; P↔E). Kontextfenster (±100 Token) dienen der Clusterbildung und historischen Interpretation. Disambiguation für Schilling d. Ä./d. J. und Proxies.</w:t>
      </w:r>
    </w:p>
    <w:p>
      <w:pPr>
        <w:pStyle w:val="Heading1"/>
      </w:pPr>
      <w:r>
        <w:t>8. Vergleich zur konventionellen Forschung</w:t>
      </w:r>
    </w:p>
    <w:p>
      <w:r>
        <w:t>Rangvergleich (ρ/τ); Clusterkongruenz (ARI/NMI); Abweichungsanalyse (Epoche, Konfession, Gattung); Robustheit (Dämpfung, Pfadtiefe, Gewichte).</w:t>
      </w:r>
    </w:p>
    <w:p>
      <w:pPr>
        <w:pStyle w:val="Heading1"/>
      </w:pPr>
      <w:r>
        <w:t>9. Risiken und Umgang</w:t>
      </w:r>
    </w:p>
    <w:p>
      <w:r>
        <w:t>Parteischriftlichkeit, OCR-Fehler, Editionen; Gegenmittel: manuelle Kontexte, Sensitivitätsanalysen, transparente Alias-/Proxy-Regeln; Quellenkritik im Text.</w:t>
      </w:r>
    </w:p>
    <w:p>
      <w:pPr>
        <w:pStyle w:val="Heading1"/>
      </w:pPr>
      <w:r>
        <w:t>10. Zeitplan (3 Wochen)</w:t>
      </w:r>
    </w:p>
    <w:p>
      <w:pPr>
        <w:pStyle w:val="ListBullet"/>
      </w:pPr>
      <w:r>
        <w:t>W1: Korpusaufbau, Normalisierung, Alias-Liste; Dossiers zu Rapperswil/Winterthur/Sarganserland/Einsiedeln.</w:t>
      </w:r>
    </w:p>
    <w:p>
      <w:pPr>
        <w:pStyle w:val="ListBullet"/>
      </w:pPr>
      <w:r>
        <w:t>W2: M0/M1, Metriken, Cluster; historische Einordnung, Stabilität.</w:t>
      </w:r>
    </w:p>
    <w:p>
      <w:pPr>
        <w:pStyle w:val="ListBullet"/>
      </w:pPr>
      <w:r>
        <w:t>W3: Schreiben, Abbildungen; Datenpaket (CSV/GEXF) und Anhang.</w:t>
      </w:r>
    </w:p>
    <w:p>
      <w:pPr>
        <w:pStyle w:val="Heading1"/>
      </w:pPr>
      <w:r>
        <w:t>11. Vorläufige Gliederung (30–40 S.)</w:t>
      </w:r>
    </w:p>
    <w:p>
      <w:pPr>
        <w:pStyle w:val="ListBullet"/>
      </w:pPr>
      <w:r>
        <w:t>1 Einleitung und Frage</w:t>
      </w:r>
    </w:p>
    <w:p>
      <w:pPr>
        <w:pStyle w:val="ListBullet"/>
      </w:pPr>
      <w:r>
        <w:t>2 Der AZK: Ursachen, Verlauf, Akteure, Rechtsakte</w:t>
      </w:r>
    </w:p>
    <w:p>
      <w:pPr>
        <w:pStyle w:val="ListBullet"/>
      </w:pPr>
      <w:r>
        <w:t>3 Überlieferungsstränge und Chronistik des 15. Jahrhunderts</w:t>
      </w:r>
    </w:p>
    <w:p>
      <w:pPr>
        <w:pStyle w:val="ListBullet"/>
      </w:pPr>
      <w:r>
        <w:t>4 Rezeption 1470–1600; 18./19. Jh. Forschung</w:t>
      </w:r>
    </w:p>
    <w:p>
      <w:pPr>
        <w:pStyle w:val="ListBullet"/>
      </w:pPr>
      <w:r>
        <w:t>5 Methode: M0 vs. M1; Netz, Cluster, Parameter</w:t>
      </w:r>
    </w:p>
    <w:p>
      <w:pPr>
        <w:pStyle w:val="ListBullet"/>
      </w:pPr>
      <w:r>
        <w:t>6 Ergebnisse I: Ränge, Vermittler, Pfade</w:t>
      </w:r>
    </w:p>
    <w:p>
      <w:pPr>
        <w:pStyle w:val="ListBullet"/>
      </w:pPr>
      <w:r>
        <w:t>7 Ergebnisse II: Cluster, Zeittrends, Fallstudien</w:t>
      </w:r>
    </w:p>
    <w:p>
      <w:pPr>
        <w:pStyle w:val="ListBullet"/>
      </w:pPr>
      <w:r>
        <w:t>8 Vergleich mit Forschung; Limitationen</w:t>
      </w:r>
    </w:p>
    <w:p>
      <w:pPr>
        <w:pStyle w:val="ListBullet"/>
      </w:pPr>
      <w:r>
        <w:t>9 Fazit</w:t>
      </w:r>
    </w:p>
    <w:p>
      <w:pPr>
        <w:pStyle w:val="ListBullet"/>
      </w:pPr>
      <w:r>
        <w:t>Anhang: Alias-Liste, Parameter, QS, Daten/Code</w:t>
      </w:r>
    </w:p>
    <w:p>
      <w:pPr>
        <w:pStyle w:val="Heading1"/>
      </w:pPr>
      <w:r>
        <w:t>Belege (Kurz, für das Exposé)</w:t>
      </w:r>
    </w:p>
    <w:p>
      <w:r>
        <w:t>Stettler, Historiographie AZK (Überblick zu Chronistik/Rezeption); Sieber, «Unfreundliche Briefe» (Fründ, Kanzleipraxis, Krieg/Schrift, 1439–1447); Speich, Ragaz 1446 (Quellenfülle, Memoria/Fridolinstag); Zahnd, Heinrich von Bubenberg (Obmannsspruch 1450, Friedensschluss); Niederhäuser/Sieber (Sammelband, lokale Studien); Rigendinger (Sarganserland); Sutter (Rapperswil); Speck (Albrecht VI.).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