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FD026" w14:textId="77777777" w:rsidR="00B9076C" w:rsidRDefault="00000000">
      <w:pPr>
        <w:jc w:val="center"/>
      </w:pPr>
      <w:r>
        <w:rPr>
          <w:b/>
          <w:sz w:val="32"/>
        </w:rPr>
        <w:t>Exposé (BA Geschichte)</w:t>
      </w:r>
    </w:p>
    <w:p w14:paraId="11A10D09" w14:textId="77777777" w:rsidR="00B9076C" w:rsidRDefault="00000000">
      <w:pPr>
        <w:jc w:val="center"/>
      </w:pPr>
      <w:r>
        <w:rPr>
          <w:b/>
        </w:rPr>
        <w:t>»Chroniken, Kanzleien und Krieg«</w:t>
      </w:r>
      <w:r>
        <w:rPr>
          <w:b/>
        </w:rPr>
        <w:br/>
        <w:t>Der Alte Zürichkrieg (1436–1450) in Quellen, Chronistik und Rezeption:</w:t>
      </w:r>
      <w:r>
        <w:rPr>
          <w:b/>
        </w:rPr>
        <w:br/>
        <w:t>pfadgewichtete Einflussanalyse im Vergleich zur konventionellen Forschung</w:t>
      </w:r>
    </w:p>
    <w:p w14:paraId="6A7DD3D4" w14:textId="77777777" w:rsidR="00B9076C" w:rsidRDefault="00B9076C"/>
    <w:p w14:paraId="783469BE" w14:textId="77777777" w:rsidR="00B9076C" w:rsidRDefault="00000000">
      <w:r>
        <w:rPr>
          <w:b/>
        </w:rPr>
        <w:t xml:space="preserve">Historisches Seminar, Universität Zürich: </w:t>
      </w:r>
    </w:p>
    <w:p w14:paraId="0DC99649" w14:textId="77777777" w:rsidR="00B9076C" w:rsidRDefault="00000000">
      <w:r>
        <w:rPr>
          <w:b/>
        </w:rPr>
        <w:t xml:space="preserve">Studiengang: </w:t>
      </w:r>
      <w:r>
        <w:t>BA Geschichte – Mediävistik/Schweizer Geschichte</w:t>
      </w:r>
    </w:p>
    <w:p w14:paraId="09973687" w14:textId="77777777" w:rsidR="00B9076C" w:rsidRDefault="00000000">
      <w:r>
        <w:rPr>
          <w:b/>
        </w:rPr>
        <w:t xml:space="preserve">Betreuung: </w:t>
      </w:r>
      <w:r>
        <w:t>Prof. Simon Teuscher</w:t>
      </w:r>
    </w:p>
    <w:p w14:paraId="0913A1E0" w14:textId="77777777" w:rsidR="00B9076C" w:rsidRDefault="00000000">
      <w:r>
        <w:rPr>
          <w:b/>
        </w:rPr>
        <w:t xml:space="preserve">Autor: </w:t>
      </w:r>
      <w:r>
        <w:t>Leandro Habegger, Matr.-Nr.: 21 708 44 1</w:t>
      </w:r>
    </w:p>
    <w:p w14:paraId="5135D721" w14:textId="77777777" w:rsidR="00B9076C" w:rsidRDefault="00000000">
      <w:r>
        <w:rPr>
          <w:b/>
        </w:rPr>
        <w:t xml:space="preserve">Abgabe: </w:t>
      </w:r>
      <w:r>
        <w:t>10.11.2025</w:t>
      </w:r>
    </w:p>
    <w:p w14:paraId="198AF524" w14:textId="77777777" w:rsidR="00B9076C" w:rsidRDefault="00B9076C"/>
    <w:p w14:paraId="02EB2BFE" w14:textId="77777777" w:rsidR="00B9076C" w:rsidRDefault="00000000">
      <w:pPr>
        <w:pStyle w:val="berschrift1"/>
      </w:pPr>
      <w:r>
        <w:t>Abstract (≈ 1’000 Zeichen)</w:t>
      </w:r>
    </w:p>
    <w:p w14:paraId="13034E72" w14:textId="77777777" w:rsidR="00B9076C" w:rsidRDefault="00000000">
      <w:r>
        <w:t>Die Arbeit verankert die Untersuchung des Alten Zürichkriegs (AZK, 1436–1450) in historischer Breite und in der Quellenkritik. Im Zentrum stehen die zeitgenössischen Überlieferungsstränge (eidgenössisch‑schwyzerisch um Hans Fründ; zürcherisch‑österreichisch um Klingenberger/Rapperswil und die Zürcher Stadtchronik) sowie deren Rezeption über Tschachtlan/Schilling/Anshelm bis zu Tschudi und Müller. Die hohe Dichte der Chronistik wird erklärt aus Kanzleigebrauchsschrift, städtischer Selbstrepräsentation, rechtlich‑diplomatischen Innovationen und Memoria (Schlachtjahrzeiten). Methodisch vergleicht die Studie ein Baseline‑Ko‑Mentions‑Ranking mit einem pfadgewichteten Einflussmodell (Quellen–Edition–Zitation). Fallstudien (Rapperswil, Winterthur, Sarganserland; Obmannsspruch 1450) erden die Netzmetriken. Ziel ist, Kanon und Deutungscluster der Forschung zu replizieren oder begründet zu korrigieren und den AZK als Schreib‑, Rechts‑ und Erinnerungsgeschehen zu profilieren.</w:t>
      </w:r>
    </w:p>
    <w:p w14:paraId="00E5347A" w14:textId="77777777" w:rsidR="00B9076C" w:rsidRDefault="00000000">
      <w:pPr>
        <w:pStyle w:val="berschrift1"/>
      </w:pPr>
      <w:r>
        <w:t>1. Problemstellung und historischer Kontext</w:t>
      </w:r>
    </w:p>
    <w:p w14:paraId="741AD441" w14:textId="77777777" w:rsidR="00B9076C" w:rsidRDefault="00000000">
      <w:r>
        <w:t xml:space="preserve">Der AZK entstand aus dem Toggenburger Erbfall (1436) und der Konkurrenz Zürich–Schwyz um Herrschaftsrechte (Einsiedeln, March) bei gleichzeitiger habsburgischer Restitutionspolitik. 1438/39 stützte Zürich seine Ostpolitik mit Kornsperren und Burgrechten; 1442 schloss es das Bündnis mit König Friedrich III. Es folgten Höhepunkte und Zäsuren: Kilchberger Friede (1440), Letzi/Hirzel und St. Jakob an der Sihl (1443), Belagerung Zürich/Greifensee und St. Jakob an der Birs (1444), zürcherische Niederlagen und regionale Feldzüge (u. a. Ragaz 1446), Waffenstillstand Konstanz (1446) und der Obmannsspruch von Heinrich von Bubenberg (Einsiedeln 1450). Ergebnis: Rückkehr Zürichs in den Bund, Festigung </w:t>
      </w:r>
      <w:r>
        <w:lastRenderedPageBreak/>
        <w:t>eidgenössischer Ordnung; die Erfahrung langdauernder Kriegführung förderte Schriftlichkeit, Diplomatie und Memorialpraxis.</w:t>
      </w:r>
    </w:p>
    <w:p w14:paraId="444DBAB3" w14:textId="77777777" w:rsidR="00B9076C" w:rsidRDefault="00000000">
      <w:pPr>
        <w:pStyle w:val="berschrift1"/>
      </w:pPr>
      <w:r>
        <w:t>2. Warum so viele Chroniken? Überlieferung, Kanzleien, Memoria</w:t>
      </w:r>
    </w:p>
    <w:p w14:paraId="7500386B" w14:textId="77777777" w:rsidR="00B9076C" w:rsidRDefault="00000000">
      <w:r>
        <w:t>Die Konfliktdynamik zwischen Zürich und der Eidgenossenschaft strukturierte zeitgenössische und spätere Narrative. Zürich oszillierte zwischen Bundesmitgliedschaft und Reichs-/Habsburg‑Bindungen (1442) und erzeugte zwei Legitimationssprachen: Auf eidgenössischer Seite dominieren Treueeid, Bundesehre und Gemeindefreiheit; Greifensee und St. Jakob gelten als Bewährungsproben kollektiver Ordnung. Die zürcherisch‑österreichische Linie argumentiert juristisch über Stadtrecht, Burgrechte, Lehens‑ und Bündnisverträge sowie Reichsschutz; der Chronikdiskurs stützt sich sichtbar auf Akten und Petitionen. Diese Spaltung prägt Quellenauswahl, Ereignisgewichtung und Ton: moralisch‑memoriale Verdichtung vs. dokumentarische Rechtfertigung. Nach 1450 verschiebt der Obmannsspruch den Fokus auf Ausgleich und Rechtsordnung; im 16. Jahrhundert integrieren Stumpf/Bullinger die Gegenstimmen, während Tschudi und später Müller sie zu einem nationalen Deutungsrahmen bündeln. Genau diese Pfade prüft das Modell über Quellen‑, Editions‑ und Zitationskanten.</w:t>
      </w:r>
    </w:p>
    <w:p w14:paraId="24816772" w14:textId="77777777" w:rsidR="00B9076C" w:rsidRDefault="00000000">
      <w:pPr>
        <w:pStyle w:val="berschrift1"/>
      </w:pPr>
      <w:r>
        <w:t>3. Überlieferungsstränge (15. Jahrhundert)</w:t>
      </w:r>
    </w:p>
    <w:p w14:paraId="136A3C96" w14:textId="77777777" w:rsidR="00B9076C" w:rsidRDefault="00000000">
      <w:pPr>
        <w:pStyle w:val="Aufzhlungszeichen"/>
      </w:pPr>
      <w:r>
        <w:t>Eidgenössisch‑schwyzerisch: Hans Fründ (Augenzeuge; Dokumenteneinschübe).</w:t>
      </w:r>
    </w:p>
    <w:p w14:paraId="6DA2F47F" w14:textId="77777777" w:rsidR="00B9076C" w:rsidRDefault="00000000">
      <w:pPr>
        <w:pStyle w:val="Aufzhlungszeichen"/>
      </w:pPr>
      <w:r>
        <w:t>Zürcherisch‑österreichisch: Klingenberger/Rapperswiler Chronik (nüchtern, österreichnah), Zürcher Stadtchronik ab 1443 (Gegenbild).</w:t>
      </w:r>
    </w:p>
    <w:p w14:paraId="1F8A9A35" w14:textId="77777777" w:rsidR="00B9076C" w:rsidRDefault="00000000">
      <w:pPr>
        <w:pStyle w:val="Aufzhlungszeichen"/>
      </w:pPr>
      <w:r>
        <w:t>Ergänzend: Gebhard Dacher (Konstanz), Erhard von Appenwiler (Basel).</w:t>
      </w:r>
    </w:p>
    <w:p w14:paraId="234AB6A7" w14:textId="77777777" w:rsidR="00B9076C" w:rsidRDefault="00000000">
      <w:pPr>
        <w:pStyle w:val="Aufzhlungszeichen"/>
      </w:pPr>
      <w:r>
        <w:t>Vermittlungs‑/Konfliktfiguren: Heinrich von Hewen (Bischof von Konstanz), Anna von Hewen (Fraumünster).</w:t>
      </w:r>
    </w:p>
    <w:p w14:paraId="044DDE84" w14:textId="77777777" w:rsidR="00B9076C" w:rsidRDefault="00000000">
      <w:pPr>
        <w:pStyle w:val="Aufzhlungszeichen"/>
      </w:pPr>
      <w:r>
        <w:t>Rezeption: Tschachtlan/Schilling/Anshelm, danach Etterlin/Brennwald/Stumpf/Bullinger sowie Tschudi; 18./19. Jh.: Müller.</w:t>
      </w:r>
    </w:p>
    <w:p w14:paraId="3A5E2A1F" w14:textId="77777777" w:rsidR="00B9076C" w:rsidRDefault="00000000">
      <w:pPr>
        <w:pStyle w:val="berschrift1"/>
      </w:pPr>
      <w:r>
        <w:t>4. Forschungsfrage</w:t>
      </w:r>
    </w:p>
    <w:p w14:paraId="4982BBA1" w14:textId="77777777" w:rsidR="00B9076C" w:rsidRDefault="00000000">
      <w:r>
        <w:t>Wie verschieben sich Autorität, Zentralität und Deutungscluster der AZK‑Chroniken, wenn Einfluss als pfadgewichtete, transitive Bezugnahme über Quellen‑, Editions‑ und Zitationsketten modelliert wird; in welchem Maß reproduziert bzw. korrigiert dieses Modell die Rangordnungen und Lesarten der Forschung (15.–19. Jh.), und wie wirken lokale Konflikt‑/Rechtslagen (Rapperswil, Winterthur, Sarganserland; Einsiedeln 1450) auf diese Pfade?</w:t>
      </w:r>
    </w:p>
    <w:p w14:paraId="3764FD8F" w14:textId="77777777" w:rsidR="00B9076C" w:rsidRDefault="00000000">
      <w:pPr>
        <w:pStyle w:val="berschrift1"/>
      </w:pPr>
      <w:r>
        <w:t>5. Forschungsstand (Kernlinien und Fallräume)</w:t>
      </w:r>
    </w:p>
    <w:p w14:paraId="38602A45" w14:textId="77777777" w:rsidR="00B9076C" w:rsidRDefault="00000000">
      <w:pPr>
        <w:pStyle w:val="Aufzhlungszeichen"/>
      </w:pPr>
      <w:r>
        <w:t>Winterthur: Finanzen, Verwaltung, soziale Folgen und Erinnerungspraxis.</w:t>
      </w:r>
    </w:p>
    <w:p w14:paraId="5C42724E" w14:textId="77777777" w:rsidR="00B9076C" w:rsidRDefault="00000000">
      <w:pPr>
        <w:pStyle w:val="Aufzhlungszeichen"/>
      </w:pPr>
      <w:r>
        <w:t>Sarganserland/Ragaz 1446: Quellenfülle (Städtebriefe, Quittungen, Jahrzeit).</w:t>
      </w:r>
    </w:p>
    <w:p w14:paraId="7C2800FC" w14:textId="77777777" w:rsidR="00B9076C" w:rsidRDefault="00000000">
      <w:pPr>
        <w:pStyle w:val="Aufzhlungszeichen"/>
      </w:pPr>
      <w:r>
        <w:t>Rapperswil: Belagerungen und Versorgung; Greifensee 1444: Kapitulation und Hinrichtungen.</w:t>
      </w:r>
    </w:p>
    <w:p w14:paraId="25BABDE8" w14:textId="77777777" w:rsidR="00B9076C" w:rsidRDefault="00000000">
      <w:pPr>
        <w:pStyle w:val="Aufzhlungszeichen"/>
      </w:pPr>
      <w:r>
        <w:t>Zürcher Stadtgesellschaft: Testamente, Kriegsängste und religiöse Praxis.</w:t>
      </w:r>
    </w:p>
    <w:p w14:paraId="08143897" w14:textId="77777777" w:rsidR="00B9076C" w:rsidRDefault="00000000">
      <w:pPr>
        <w:pStyle w:val="Aufzhlungszeichen"/>
      </w:pPr>
      <w:r>
        <w:lastRenderedPageBreak/>
        <w:t>Fraumünster/Anna von Hewen: Zeugenprotokolle und städtische Schauprozesse.</w:t>
      </w:r>
    </w:p>
    <w:p w14:paraId="0ACB9B07" w14:textId="77777777" w:rsidR="00B9076C" w:rsidRDefault="00000000">
      <w:pPr>
        <w:pStyle w:val="Aufzhlungszeichen"/>
      </w:pPr>
      <w:r>
        <w:t>Diplomatiegeschichte: Tagsatzungsabkommen, «Abschiede», auswärtige Gesandte; Verschriftlichung und Verrechtlichung von Verfahren.</w:t>
      </w:r>
    </w:p>
    <w:p w14:paraId="4007086D" w14:textId="77777777" w:rsidR="00B9076C" w:rsidRDefault="00000000">
      <w:pPr>
        <w:pStyle w:val="berschrift1"/>
      </w:pPr>
      <w:r>
        <w:t>6. Korpus und Materialbasis</w:t>
      </w:r>
    </w:p>
    <w:p w14:paraId="68DB0FDE" w14:textId="77777777" w:rsidR="00B9076C" w:rsidRDefault="00000000">
      <w:r>
        <w:t>Primär: Fründ; Klingenberger/Rapperswil; Zürcher Stadtchroniken/Edlibach; Dacher; Appenwiler; Hemmerlin; Piccolomini; Jahrzeitbücher/Wickiana.</w:t>
      </w:r>
    </w:p>
    <w:p w14:paraId="36FCA26C" w14:textId="77777777" w:rsidR="00B9076C" w:rsidRDefault="00000000">
      <w:r>
        <w:t>Sekundär (Schwerpunkt 1990–2024): Stettler; Niederhäuser/Sieber; Sieber; Speich; Landolt; Rigendinger; Sutter; Bihrer; Langmaier; Bosshard; Frey; Illi; Jucker.</w:t>
      </w:r>
    </w:p>
    <w:p w14:paraId="14EFDCDB" w14:textId="77777777" w:rsidR="00B9076C" w:rsidRDefault="00000000">
      <w:pPr>
        <w:pStyle w:val="berschrift1"/>
      </w:pPr>
      <w:r>
        <w:t>7. Methode und Operationalisierung</w:t>
      </w:r>
    </w:p>
    <w:p w14:paraId="50F88C4F" w14:textId="77777777" w:rsidR="00B9076C" w:rsidRDefault="00000000">
      <w:pPr>
        <w:pStyle w:val="Aufzhlungszeichen"/>
      </w:pPr>
      <w:r>
        <w:t>M0 Baseline: Ko‑Mentions‑Netz aus bibliographischen Abschnitten. Kante = gemeinsame Nennung in einer Datei. Gewicht = Anzahl gemeinsamer Werke.</w:t>
      </w:r>
    </w:p>
    <w:p w14:paraId="6A2B88DD" w14:textId="77777777" w:rsidR="00B9076C" w:rsidRDefault="00000000">
      <w:pPr>
        <w:pStyle w:val="Aufzhlungszeichen"/>
      </w:pPr>
      <w:r>
        <w:t>Erwähnungs‑Extraktion: reguläre Ausdrücke für Kanonnamen und Aliase; Erfassung von Kontext (±100 Token); Kennzeichnung «Bibliographie» vs. «Text».</w:t>
      </w:r>
    </w:p>
    <w:p w14:paraId="232E8225" w14:textId="77777777" w:rsidR="00B9076C" w:rsidRDefault="00000000">
      <w:pPr>
        <w:pStyle w:val="Aufzhlungszeichen"/>
      </w:pPr>
      <w:r>
        <w:t>Autor↔Autor‑Aggregation: Gewicht w = 2·Bibliographie‑Treffer + 1·Text‑Treffer; Filter für Homonyme/Negativmuster; Stichproben‑Audit der Kontexte.</w:t>
      </w:r>
    </w:p>
    <w:p w14:paraId="4A438295" w14:textId="77777777" w:rsidR="00B9076C" w:rsidRDefault="00000000">
      <w:pPr>
        <w:pStyle w:val="Aufzhlungszeichen"/>
      </w:pPr>
      <w:r>
        <w:t>M1 Pfadmodell: mehrschichtiges, gerichtetes Netz (Quelle/Autor → Chronik/Werk → Edition → Autor; zusätzlich Autor → Autor aus Zitationen).</w:t>
      </w:r>
    </w:p>
    <w:p w14:paraId="1AF5705D" w14:textId="77777777" w:rsidR="00B9076C" w:rsidRDefault="00000000">
      <w:pPr>
        <w:pStyle w:val="Aufzhlungszeichen"/>
      </w:pPr>
      <w:r>
        <w:t>Pfadscore: Produkt aus Kantentyp‑Multiplikatoren (Quelle→Werk 1.5; Werk→Edition 1.2; Edition→Autor 1.3; Autor→Autor 1.0) mit Dämpfung α≈0.85; Pfadtiefe ≤ 3.</w:t>
      </w:r>
    </w:p>
    <w:p w14:paraId="54E45848" w14:textId="77777777" w:rsidR="00B9076C" w:rsidRDefault="00000000">
      <w:pPr>
        <w:pStyle w:val="Aufzhlungszeichen"/>
      </w:pPr>
      <w:r>
        <w:t>Metriken: Katz/PageRank, Betweenness; Zeit‑Slices (1450er; 1470–1500; 1500–1600; 18./19. Jh.) zur Entwicklung von Zentralität/Cluster.</w:t>
      </w:r>
    </w:p>
    <w:p w14:paraId="571B9A59" w14:textId="77777777" w:rsidR="00B9076C" w:rsidRDefault="00000000">
      <w:pPr>
        <w:pStyle w:val="Aufzhlungszeichen"/>
      </w:pPr>
      <w:r>
        <w:t>Validierung: Rangvergleich M1 vs. M0 und gegen Forschungsränge (Spearman/Kendall); Cluster‑Kongruenz (ARI/NMI); Sensitivitätstests (α, Tiefe, Gewichte).</w:t>
      </w:r>
    </w:p>
    <w:p w14:paraId="58FD1A27" w14:textId="77777777" w:rsidR="00B9076C" w:rsidRDefault="00000000">
      <w:pPr>
        <w:pStyle w:val="berschrift1"/>
      </w:pPr>
      <w:r>
        <w:t>8. Vergleich zur konventionellen Forschung</w:t>
      </w:r>
    </w:p>
    <w:p w14:paraId="00E13180" w14:textId="77777777" w:rsidR="00B9076C" w:rsidRDefault="00000000">
      <w:r>
        <w:t>Rangvergleich (Spearman/Kendall) M1 vs. M0 und gegen Rangbilder des Forschungsstands; Cluster‑Kongruenz (ARI/NMI); Abweichungen nach Epoche, Konfession, Gattung; Robustheit (Dämpfung, Pfadtiefe, Gewichte).</w:t>
      </w:r>
    </w:p>
    <w:p w14:paraId="76AB0D2F" w14:textId="2F25ADCA" w:rsidR="00B9076C" w:rsidRDefault="00794F97">
      <w:pPr>
        <w:pStyle w:val="berschrift1"/>
      </w:pPr>
      <w:r>
        <w:t>9</w:t>
      </w:r>
      <w:r w:rsidR="00000000">
        <w:t>. Risiken, Limitationen, Umgang</w:t>
      </w:r>
    </w:p>
    <w:p w14:paraId="1B25AA0E" w14:textId="77777777" w:rsidR="00B9076C" w:rsidRDefault="00000000">
      <w:pPr>
        <w:pStyle w:val="Aufzhlungszeichen"/>
      </w:pPr>
      <w:r>
        <w:t>Parteischriftlichkeit und konfessionelle Prägungen.</w:t>
      </w:r>
    </w:p>
    <w:p w14:paraId="0EF996CF" w14:textId="77777777" w:rsidR="00B9076C" w:rsidRDefault="00000000">
      <w:pPr>
        <w:pStyle w:val="Aufzhlungszeichen"/>
      </w:pPr>
      <w:r>
        <w:t>OCR‑Fehler und Editionsvarianten; Abgleich mit Faksimiles.</w:t>
      </w:r>
    </w:p>
    <w:p w14:paraId="181B2DC3" w14:textId="77777777" w:rsidR="00B9076C" w:rsidRDefault="00000000">
      <w:pPr>
        <w:pStyle w:val="Aufzhlungszeichen"/>
      </w:pPr>
      <w:r>
        <w:t>Bibliographie ≠ Fußnotenrealität; Trennung «Bibliographie» vs. «Text» in der Extraktion.</w:t>
      </w:r>
    </w:p>
    <w:p w14:paraId="65B74BE8" w14:textId="77777777" w:rsidR="00B9076C" w:rsidRDefault="00000000">
      <w:pPr>
        <w:pStyle w:val="Aufzhlungszeichen"/>
      </w:pPr>
      <w:r>
        <w:t>Homonyme/Alias‑Probleme (z. B. Schilling d. Ä./d. J.).</w:t>
      </w:r>
    </w:p>
    <w:p w14:paraId="43E7FAB8" w14:textId="77777777" w:rsidR="00B9076C" w:rsidRDefault="00000000">
      <w:pPr>
        <w:pStyle w:val="Aufzhlungszeichen"/>
      </w:pPr>
      <w:r>
        <w:t>Transparente Protokolle: Audit‑Log, Parameterliste, Sensitivitätsanalysen.</w:t>
      </w:r>
    </w:p>
    <w:p w14:paraId="358A2CDA" w14:textId="16C43A91" w:rsidR="00B9076C" w:rsidRDefault="00000000">
      <w:pPr>
        <w:pStyle w:val="berschrift1"/>
      </w:pPr>
      <w:r>
        <w:lastRenderedPageBreak/>
        <w:t>1</w:t>
      </w:r>
      <w:r w:rsidR="00794F97">
        <w:t>0</w:t>
      </w:r>
      <w:r>
        <w:t xml:space="preserve"> </w:t>
      </w:r>
      <w:proofErr w:type="spellStart"/>
      <w:r>
        <w:t>Zeitplan</w:t>
      </w:r>
      <w:proofErr w:type="spellEnd"/>
    </w:p>
    <w:p w14:paraId="10E77007" w14:textId="77777777" w:rsidR="00B9076C" w:rsidRDefault="00000000">
      <w:pPr>
        <w:pStyle w:val="Aufzhlungszeichen"/>
      </w:pPr>
      <w:r>
        <w:t>W1: Korpus/OCR; Normalisierung; Alias‑Liste; Fallstudien‑Dossiers.</w:t>
      </w:r>
    </w:p>
    <w:p w14:paraId="19C1854D" w14:textId="77777777" w:rsidR="00B9076C" w:rsidRDefault="00000000">
      <w:pPr>
        <w:pStyle w:val="Aufzhlungszeichen"/>
      </w:pPr>
      <w:r>
        <w:t>W2: Netze (M0/M1), Metriken, Cluster, Zeit‑Slices; historische Einordnung.</w:t>
      </w:r>
    </w:p>
    <w:p w14:paraId="30239CC3" w14:textId="77777777" w:rsidR="00B9076C" w:rsidRDefault="00000000">
      <w:pPr>
        <w:pStyle w:val="Aufzhlungszeichen"/>
      </w:pPr>
      <w:r>
        <w:t>W3: Schreiben; Visualisierungen; Datenpaket (CSV/GEXF) + Anhang.</w:t>
      </w:r>
    </w:p>
    <w:p w14:paraId="6141AABF" w14:textId="77777777" w:rsidR="00B9076C" w:rsidRDefault="00000000">
      <w:pPr>
        <w:pStyle w:val="berschrift1"/>
      </w:pPr>
      <w:r>
        <w:t>12. Vorläufige Gliederung (30–40 Seiten)</w:t>
      </w:r>
    </w:p>
    <w:p w14:paraId="2F404D49" w14:textId="77777777" w:rsidR="00B9076C" w:rsidRDefault="00000000">
      <w:pPr>
        <w:pStyle w:val="Listennummer"/>
      </w:pPr>
      <w:r>
        <w:t>1 Einleitung &amp; Frage</w:t>
      </w:r>
    </w:p>
    <w:p w14:paraId="50E1B293" w14:textId="77777777" w:rsidR="00B9076C" w:rsidRDefault="00000000">
      <w:pPr>
        <w:pStyle w:val="Listennummer"/>
      </w:pPr>
      <w:r>
        <w:t>2 Ursachen, Verlauf, Akteure, Rechtsakte des AZK</w:t>
      </w:r>
    </w:p>
    <w:p w14:paraId="7D8C8F0F" w14:textId="77777777" w:rsidR="00B9076C" w:rsidRDefault="00000000">
      <w:pPr>
        <w:pStyle w:val="Listennummer"/>
      </w:pPr>
      <w:r>
        <w:t>3 Überlieferungsstränge &amp; Chronistik (15. Jh.)</w:t>
      </w:r>
    </w:p>
    <w:p w14:paraId="1459349A" w14:textId="77777777" w:rsidR="00B9076C" w:rsidRDefault="00000000">
      <w:pPr>
        <w:pStyle w:val="Listennummer"/>
      </w:pPr>
      <w:r>
        <w:t>4 Rezeption 1470–1600; 18./19. Jh. Forschung</w:t>
      </w:r>
    </w:p>
    <w:p w14:paraId="3D43BF0E" w14:textId="77777777" w:rsidR="00B9076C" w:rsidRDefault="00000000">
      <w:pPr>
        <w:pStyle w:val="Listennummer"/>
      </w:pPr>
      <w:r>
        <w:t>5 Methode: M0 vs. M1; Daten &amp; Parameter</w:t>
      </w:r>
    </w:p>
    <w:p w14:paraId="6B053E05" w14:textId="77777777" w:rsidR="00B9076C" w:rsidRDefault="00000000">
      <w:pPr>
        <w:pStyle w:val="Listennummer"/>
      </w:pPr>
      <w:r>
        <w:t>6 Ergebnisse I: Ränge, Vermittler, Pfade</w:t>
      </w:r>
    </w:p>
    <w:p w14:paraId="43294006" w14:textId="77777777" w:rsidR="00B9076C" w:rsidRDefault="00000000">
      <w:pPr>
        <w:pStyle w:val="Listennummer"/>
      </w:pPr>
      <w:r>
        <w:t>7 Ergebnisse II: Cluster, Zeittrends, Fallstudien</w:t>
      </w:r>
    </w:p>
    <w:p w14:paraId="208A09E9" w14:textId="77777777" w:rsidR="00B9076C" w:rsidRDefault="00000000">
      <w:pPr>
        <w:pStyle w:val="Listennummer"/>
      </w:pPr>
      <w:r>
        <w:t>8 Vergleich &amp; Diskussion; Limitationen</w:t>
      </w:r>
    </w:p>
    <w:p w14:paraId="6AAB006A" w14:textId="77777777" w:rsidR="00B9076C" w:rsidRDefault="00000000">
      <w:pPr>
        <w:pStyle w:val="Listennummer"/>
      </w:pPr>
      <w:r>
        <w:t>9 Fazit</w:t>
      </w:r>
    </w:p>
    <w:p w14:paraId="3D3BDB5E" w14:textId="77777777" w:rsidR="00B9076C" w:rsidRDefault="00000000">
      <w:pPr>
        <w:pStyle w:val="Listennummer"/>
      </w:pPr>
      <w:r>
        <w:t>Anhang: Alias, Parameter, QS‑Protokoll, Daten/Code</w:t>
      </w:r>
    </w:p>
    <w:p w14:paraId="3C5B7E77" w14:textId="77777777" w:rsidR="00B9076C" w:rsidRDefault="00000000">
      <w:pPr>
        <w:pStyle w:val="berschrift1"/>
      </w:pPr>
      <w:r>
        <w:t>Arbeitsbibliographie (Kurz, Primär &amp; Sekundär)</w:t>
      </w:r>
    </w:p>
    <w:p w14:paraId="1D0F627D" w14:textId="77777777" w:rsidR="00B9076C" w:rsidRDefault="00000000">
      <w:pPr>
        <w:pStyle w:val="Aufzhlungszeichen"/>
      </w:pPr>
      <w:r>
        <w:t>Stettler, Bernhard: Die Historiographie des Alten Zürichkriegs (15.–19. Jh.).</w:t>
      </w:r>
    </w:p>
    <w:p w14:paraId="72422548" w14:textId="77777777" w:rsidR="00B9076C" w:rsidRDefault="00000000">
      <w:pPr>
        <w:pStyle w:val="Aufzhlungszeichen"/>
      </w:pPr>
      <w:r>
        <w:t>Illi, Martin (HLS): Alter Zürichkrieg (Überblick).</w:t>
      </w:r>
    </w:p>
    <w:p w14:paraId="6E9D2D1F" w14:textId="77777777" w:rsidR="00B9076C" w:rsidRDefault="00000000">
      <w:pPr>
        <w:pStyle w:val="Aufzhlungszeichen"/>
      </w:pPr>
      <w:r>
        <w:t>Jucker, Michael: Verstetigung und Verrechtlichung der Diplomatie (1415–1460).</w:t>
      </w:r>
    </w:p>
    <w:p w14:paraId="1ED8E2BE" w14:textId="77777777" w:rsidR="00B9076C" w:rsidRDefault="00000000">
      <w:pPr>
        <w:pStyle w:val="Aufzhlungszeichen"/>
      </w:pPr>
      <w:r>
        <w:t>Sieber, Christian: Der Vater tot, das Haus verbrannt (Opfer, Greifensee, Kriegsverbrechen).</w:t>
      </w:r>
    </w:p>
    <w:p w14:paraId="017F5CD5" w14:textId="77777777" w:rsidR="00B9076C" w:rsidRDefault="00000000">
      <w:pPr>
        <w:pStyle w:val="Aufzhlungszeichen"/>
      </w:pPr>
      <w:r>
        <w:t>Speich, Heinrich: Quellen zum Ragazer Feldzug 1446.</w:t>
      </w:r>
    </w:p>
    <w:p w14:paraId="0E1907A3" w14:textId="77777777" w:rsidR="00B9076C" w:rsidRDefault="00000000">
      <w:pPr>
        <w:pStyle w:val="Aufzhlungszeichen"/>
      </w:pPr>
      <w:r>
        <w:t>Landolt, Oliver: Altes Land Schwyz; Schlachtjahrzeiten/Kriegsgefallenenlisten.</w:t>
      </w:r>
    </w:p>
    <w:p w14:paraId="7146AACA" w14:textId="77777777" w:rsidR="00B9076C" w:rsidRDefault="00000000">
      <w:pPr>
        <w:pStyle w:val="Aufzhlungszeichen"/>
      </w:pPr>
      <w:r>
        <w:t>Niederhäuser, Peter: Winterthur und der AZK.</w:t>
      </w:r>
    </w:p>
    <w:p w14:paraId="3F130407" w14:textId="77777777" w:rsidR="00B9076C" w:rsidRDefault="00000000">
      <w:pPr>
        <w:pStyle w:val="Aufzhlungszeichen"/>
      </w:pPr>
      <w:r>
        <w:t>Rigendinger, Fritz: Sarganserland im Spätmittelalter.</w:t>
      </w:r>
    </w:p>
    <w:p w14:paraId="578E4D58" w14:textId="77777777" w:rsidR="00B9076C" w:rsidRDefault="00000000">
      <w:pPr>
        <w:pStyle w:val="Aufzhlungszeichen"/>
      </w:pPr>
      <w:r>
        <w:t>Sutter, Pascale: Rapperswil im AZK.</w:t>
      </w:r>
    </w:p>
    <w:p w14:paraId="093A09C8" w14:textId="77777777" w:rsidR="00B9076C" w:rsidRDefault="00000000">
      <w:pPr>
        <w:pStyle w:val="Aufzhlungszeichen"/>
      </w:pPr>
      <w:r>
        <w:t>Bihrer, Andreas: Heinrich von Hewen («Friedensbischof»).</w:t>
      </w:r>
    </w:p>
    <w:p w14:paraId="1295E4D9" w14:textId="77777777" w:rsidR="00B9076C" w:rsidRDefault="00000000">
      <w:pPr>
        <w:pStyle w:val="Aufzhlungszeichen"/>
      </w:pPr>
      <w:r>
        <w:t>Langmaier, Konstantin M.: Fraumünster‑Äbtissin Anna von Hewen (Zeugnisse).</w:t>
      </w:r>
    </w:p>
    <w:p w14:paraId="1B790C3C" w14:textId="77777777" w:rsidR="00B9076C" w:rsidRDefault="00000000">
      <w:pPr>
        <w:pStyle w:val="Aufzhlungszeichen"/>
      </w:pPr>
      <w:r>
        <w:t>Bosshard, Werner: Zürcher Testamente 1428–1445.</w:t>
      </w:r>
    </w:p>
    <w:p w14:paraId="0DD72481" w14:textId="77777777" w:rsidR="00B9076C" w:rsidRDefault="00000000">
      <w:pPr>
        <w:pStyle w:val="Aufzhlungszeichen"/>
      </w:pPr>
      <w:r>
        <w:t>Frey, Stefan: Rudolf Stüssi – ein tragischer Held?</w:t>
      </w:r>
    </w:p>
    <w:sectPr w:rsidR="00B9076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78471572">
    <w:abstractNumId w:val="8"/>
  </w:num>
  <w:num w:numId="2" w16cid:durableId="1635990026">
    <w:abstractNumId w:val="6"/>
  </w:num>
  <w:num w:numId="3" w16cid:durableId="1175534342">
    <w:abstractNumId w:val="5"/>
  </w:num>
  <w:num w:numId="4" w16cid:durableId="681052775">
    <w:abstractNumId w:val="4"/>
  </w:num>
  <w:num w:numId="5" w16cid:durableId="1953659137">
    <w:abstractNumId w:val="7"/>
  </w:num>
  <w:num w:numId="6" w16cid:durableId="2026514513">
    <w:abstractNumId w:val="3"/>
  </w:num>
  <w:num w:numId="7" w16cid:durableId="844443509">
    <w:abstractNumId w:val="2"/>
  </w:num>
  <w:num w:numId="8" w16cid:durableId="167134315">
    <w:abstractNumId w:val="1"/>
  </w:num>
  <w:num w:numId="9" w16cid:durableId="773011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109"/>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2007"/>
    <w:rsid w:val="00794F97"/>
    <w:rsid w:val="00AA1D8D"/>
    <w:rsid w:val="00B47730"/>
    <w:rsid w:val="00B9076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C21B3C"/>
  <w14:defaultImageDpi w14:val="300"/>
  <w15:docId w15:val="{B386D446-5C58-0644-AD1F-631052913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Calibri" w:hAnsi="Calibri"/>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1156</Words>
  <Characters>7289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Leandro Meskerem David Habegger</cp:lastModifiedBy>
  <cp:revision>2</cp:revision>
  <dcterms:created xsi:type="dcterms:W3CDTF">2013-12-23T23:15:00Z</dcterms:created>
  <dcterms:modified xsi:type="dcterms:W3CDTF">2025-11-10T19:06:00Z</dcterms:modified>
  <cp:category/>
</cp:coreProperties>
</file>