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oroqe573xg3" w:id="0"/>
      <w:bookmarkEnd w:id="0"/>
      <w:r w:rsidDel="00000000" w:rsidR="00000000" w:rsidRPr="00000000">
        <w:rPr>
          <w:rtl w:val="0"/>
        </w:rPr>
        <w:t xml:space="preserve">Recopilación y análisis de requisitos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16eph73cvq5" w:id="1"/>
      <w:bookmarkEnd w:id="1"/>
      <w:r w:rsidDel="00000000" w:rsidR="00000000" w:rsidRPr="00000000">
        <w:rPr>
          <w:rtl w:val="0"/>
        </w:rPr>
        <w:t xml:space="preserve">Datos del Grupo de Trabajo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 Pequeño (prácticas y seminarios)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Grupo de trabajo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u5ezqz1d1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565"/>
        <w:gridCol w:w="2535"/>
        <w:gridCol w:w="7125"/>
        <w:tblGridChange w:id="0">
          <w:tblGrid>
            <w:gridCol w:w="1740"/>
            <w:gridCol w:w="2565"/>
            <w:gridCol w:w="2535"/>
            <w:gridCol w:w="71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referencia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requisito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externo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Composición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Datos internos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Agente externo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Restricciones semánticas</w:t>
            </w:r>
          </w:p>
        </w:tc>
        <w:tc>
          <w:tcPr>
            <w:vMerge w:val="restart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referencia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righ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righ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7401574803164" w:top="850.3937007874016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