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E78"/>
          <w:sz w:val="34"/>
        </w:rPr>
        <w:t>KIẾN TRÚC TRỢ LÝ AI CHATBOT &amp; MA TRẬN PHÂN QUYỀN (RBAC)</w:t>
      </w:r>
    </w:p>
    <w:p>
      <w:pPr>
        <w:spacing w:before="0" w:after="240"/>
        <w:jc w:val="center"/>
      </w:pPr>
      <w:r>
        <w:rPr>
          <w:i/>
          <w:color w:val="595959"/>
          <w:sz w:val="21"/>
        </w:rPr>
        <w:t>Đặc Tả Kỹ Thuật Luồng Call API • Kết Nối Hệ Thống • RBAC Data Redaction</w:t>
      </w:r>
    </w:p>
    <w:p>
      <w:pPr>
        <w:keepNext/>
        <w:spacing w:before="200" w:after="80"/>
      </w:pPr>
      <w:r>
        <w:rPr>
          <w:rFonts w:ascii="Calibri" w:hAnsi="Calibri"/>
          <w:b/>
          <w:color w:val="1F4E78"/>
          <w:sz w:val="25"/>
        </w:rPr>
        <w:t>SƠ ĐỒ KIẾN TRÚC HOẠT ĐỘNG TOÀN DIỆN</w:t>
      </w:r>
    </w:p>
    <w:p>
      <w:pPr>
        <w:spacing w:before="80" w:after="120"/>
        <w:jc w:val="center"/>
      </w:pPr>
      <w:r>
        <w:drawing>
          <wp:inline xmlns:a="http://schemas.openxmlformats.org/drawingml/2006/main" xmlns:pic="http://schemas.openxmlformats.org/drawingml/2006/picture">
            <wp:extent cx="6217920" cy="5440680"/>
            <wp:docPr id="1" name="Picture 1"/>
            <wp:cNvGraphicFramePr>
              <a:graphicFrameLocks noChangeAspect="1"/>
            </wp:cNvGraphicFramePr>
            <a:graphic>
              <a:graphicData uri="http://schemas.openxmlformats.org/drawingml/2006/picture">
                <pic:pic>
                  <pic:nvPicPr>
                    <pic:cNvPr id="0" name="diagram_chatbot_architecture_fixed.png"/>
                    <pic:cNvPicPr/>
                  </pic:nvPicPr>
                  <pic:blipFill>
                    <a:blip r:embed="rId9"/>
                    <a:stretch>
                      <a:fillRect/>
                    </a:stretch>
                  </pic:blipFill>
                  <pic:spPr>
                    <a:xfrm>
                      <a:off x="0" y="0"/>
                      <a:ext cx="6217920" cy="5440680"/>
                    </a:xfrm>
                    <a:prstGeom prst="rect"/>
                  </pic:spPr>
                </pic:pic>
              </a:graphicData>
            </a:graphic>
          </wp:inline>
        </w:drawing>
      </w:r>
    </w:p>
    <w:p>
      <w:pPr>
        <w:jc w:val="center"/>
      </w:pPr>
      <w:r>
        <w:rPr>
          <w:i/>
          <w:color w:val="64748B"/>
          <w:sz w:val="19"/>
        </w:rPr>
        <w:t>Hình 1: Sơ đồ chi tiết các tầng kết nối, bộ lọc RBAC, chuỗi 9 AI Failover và Fallback nội bộ</w:t>
      </w:r>
    </w:p>
    <w:p>
      <w:pPr>
        <w:keepNext/>
        <w:spacing w:before="200" w:after="80"/>
      </w:pPr>
      <w:r>
        <w:rPr>
          <w:rFonts w:ascii="Calibri" w:hAnsi="Calibri"/>
          <w:b/>
          <w:color w:val="1F4E78"/>
          <w:sz w:val="25"/>
        </w:rPr>
        <w:t>1. CHI TIẾT KẾT NỐI API &amp; LUỒNG DỮ LIỆU (CALL API &amp; RESPONSE)</w:t>
      </w:r>
    </w:p>
    <w:p>
      <w:r>
        <w:t>Toàn bộ vòng đời từ khi người dùng nhập câu hỏi tới khi câu trả lời hiển thị trên màn hình tuân thủ theo 5 pha kết nối chặt chẽ:</w:t>
      </w:r>
    </w:p>
    <w:p>
      <w:pPr>
        <w:pStyle w:val="ListBullet"/>
        <w:spacing w:before="20" w:after="40"/>
      </w:pPr>
      <w:r>
        <w:rPr>
          <w:b/>
          <w:color w:val="1F4E78"/>
        </w:rPr>
        <w:t xml:space="preserve">Pha 1 - Client gửi Request: </w:t>
      </w:r>
      <w:r>
        <w:t>Frontend gọi qua RTK Query (chatbotApi.ts) gửi HTTP POST:</w:t>
      </w:r>
    </w:p>
    <w:p>
      <w:pPr>
        <w:spacing w:before="60" w:after="80"/>
        <w:shd w:fill="F1F5F9"/>
      </w:pPr>
      <w:r>
        <w:rPr>
          <w:rFonts w:ascii="Consolas" w:hAnsi="Consolas"/>
          <w:color w:val="1E293B"/>
          <w:sz w:val="19"/>
        </w:rPr>
        <w:t>POST /api/v1/chatbot/message HTTP/1.1</w:t>
        <w:br/>
        <w:t>Host: localhost:8080</w:t>
        <w:br/>
        <w:t>Authorization: Bearer eyJhbGciOiJIUzI1NiJ9...</w:t>
        <w:br/>
        <w:t>Content-Type: application/json</w:t>
        <w:br/>
        <w:br/>
        <w:t>{</w:t>
        <w:br/>
        <w:t xml:space="preserve">  "message": "Doanh thu hôm nay đạt bao nhiêu?",</w:t>
        <w:br/>
        <w:t xml:space="preserve">  "currentScreen": "/pos",</w:t>
        <w:br/>
        <w:t xml:space="preserve">  "history": [</w:t>
        <w:br/>
        <w:t xml:space="preserve">    { "sender": "user", "text": "Chào trợ lý" },</w:t>
        <w:br/>
        <w:t xml:space="preserve">    { "sender": "bot", "text": "Em chào Anh/Chị! Em có thể hỗ trợ gì ạ?" }</w:t>
        <w:br/>
        <w:t xml:space="preserve">  ]</w:t>
        <w:br/>
        <w:t>}</w:t>
      </w:r>
    </w:p>
    <w:p>
      <w:pPr>
        <w:pStyle w:val="ListBullet"/>
        <w:spacing w:before="20" w:after="40"/>
      </w:pPr>
      <w:r>
        <w:rPr>
          <w:b/>
          <w:color w:val="1F4E78"/>
        </w:rPr>
        <w:t xml:space="preserve">Pha 2 - Xác thực &amp; Kiểm tra RBAC: </w:t>
      </w:r>
      <w:r>
        <w:t>Spring Security JwtFilter chặn request, trích xuất danh tính và phân quyền vai trò. ChatbotServiceImpl kiểm tra: nếu là Thu ngân (VT-02: CASHIER), toàn bộ số liệu doanh thu tổng, lợi nhuận gộp, thuế và nợ NCC bị loại bỏ 100% khỏi Context RAG trước khi chuyển sang bước gọi AI.</w:t>
      </w:r>
    </w:p>
    <w:p>
      <w:pPr>
        <w:pStyle w:val="ListBullet"/>
        <w:spacing w:before="20" w:after="40"/>
      </w:pPr>
      <w:r>
        <w:rPr>
          <w:b/>
          <w:color w:val="1F4E78"/>
        </w:rPr>
        <w:t xml:space="preserve">Pha 3 - Call API Google Gemini (AI Engine): </w:t>
      </w:r>
      <w:r>
        <w:t>Backend sử dụng RestClient (Timeout: Connect 3s, Read 15s) gọi trực tiếp tới Google Generative Language API:</w:t>
      </w:r>
    </w:p>
    <w:p>
      <w:pPr>
        <w:spacing w:before="60" w:after="80"/>
        <w:shd w:fill="F1F5F9"/>
      </w:pPr>
      <w:r>
        <w:rPr>
          <w:rFonts w:ascii="Consolas" w:hAnsi="Consolas"/>
          <w:color w:val="1E293B"/>
          <w:sz w:val="19"/>
        </w:rPr>
        <w:t>POST https://generativelanguage.googleapis.com/v1beta/models/{model}:generateContent?key={API_KEY}</w:t>
        <w:br/>
        <w:t>Content-Type: application/json</w:t>
        <w:br/>
        <w:br/>
        <w:t>{</w:t>
        <w:br/>
        <w:t xml:space="preserve">  "system_instruction": { "parts": [{ "text": "Vai trò phục vụ Chủ hộ kinh doanh..." }] },</w:t>
        <w:br/>
        <w:t xml:space="preserve">  "contents": [{ "role": "user", "parts": [{ "text": "Doanh thu hôm nay..." }] }],</w:t>
        <w:br/>
        <w:t xml:space="preserve">  "tools": [{ "function_declarations": [...] }],</w:t>
        <w:br/>
        <w:t xml:space="preserve">  "generationConfig": { "temperature": 0.4, "maxOutputTokens": 1024 }</w:t>
        <w:br/>
        <w:t>}</w:t>
      </w:r>
    </w:p>
    <w:p>
      <w:pPr>
        <w:pStyle w:val="ListBullet"/>
        <w:spacing w:before="20" w:after="40"/>
      </w:pPr>
      <w:r>
        <w:rPr>
          <w:b/>
          <w:color w:val="1F4E78"/>
        </w:rPr>
        <w:t xml:space="preserve">Pha 4 - Xử lý Phản Hồi &amp; Cơ chế Failover/Fallback: </w:t>
      </w:r>
      <w:r>
        <w:t>• Nếu Gemini trả về 200 OK: Trích xuất nội dung văn bản Markdown và Function Call nếu có.</w:t>
        <w:br/>
        <w:t>• Nếu gặp lỗi HTTP 429 (Rate Limit / Quota Exceeded): Backend đưa model vào danh sách hạ nhiệt 60s (modelCooldownMap) và tự động nhảy sang model kế tiếp trong chuỗi 8 model dự phòng.</w:t>
        <w:br/>
        <w:t>• Nếu mất mạng hoặc timeout &gt;= 2 lần: Bộ ngắt mạch Circuit Breaker tự động kích hoạt, chuyển sang Smart Local Fallback trích xuất số liệu trực tiếp từ Database nội bộ và phản hồi tức thì (&lt; 50ms).</w:t>
      </w:r>
    </w:p>
    <w:p>
      <w:pPr>
        <w:pStyle w:val="ListBullet"/>
        <w:spacing w:before="20" w:after="40"/>
      </w:pPr>
      <w:r>
        <w:rPr>
          <w:b/>
          <w:color w:val="1F4E78"/>
        </w:rPr>
        <w:t xml:space="preserve">Pha 5 - Backend trả về Client DTO: </w:t>
      </w:r>
      <w:r>
        <w:t>API trả về HTTP 200 kèm chuẩn ApiResponse bọc ChatbotMessageResponse:</w:t>
      </w:r>
    </w:p>
    <w:p>
      <w:pPr>
        <w:spacing w:before="60" w:after="80"/>
        <w:shd w:fill="F1F5F9"/>
      </w:pPr>
      <w:r>
        <w:rPr>
          <w:rFonts w:ascii="Consolas" w:hAnsi="Consolas"/>
          <w:color w:val="1E293B"/>
          <w:sz w:val="19"/>
        </w:rPr>
        <w:t>HTTP/1.1 200 OK</w:t>
        <w:br/>
        <w:t>Content-Type: application/json</w:t>
        <w:br/>
        <w:br/>
        <w:t>{</w:t>
        <w:br/>
        <w:t xml:space="preserve">  "code": 1000,</w:t>
        <w:br/>
        <w:t xml:space="preserve">  "message": "Xử lý tin nhắn chatbot thành công",</w:t>
        <w:br/>
        <w:t xml:space="preserve">  "result": {</w:t>
        <w:br/>
        <w:t xml:space="preserve">    "reply": "Doanh thu hôm nay đạt **15.420.000 VNĐ** từ 28 đơn hàng hoàn tất.",</w:t>
        <w:br/>
        <w:t xml:space="preserve">    "actionType": "VIEW_REPORT",</w:t>
        <w:br/>
        <w:t xml:space="preserve">    "actionLabel": "Xem báo cáo doanh thu",</w:t>
        <w:br/>
        <w:t xml:space="preserve">    "actionUrl": "/reports/revenue",</w:t>
        <w:br/>
        <w:t xml:space="preserve">    "geminiPowered": true,</w:t>
        <w:br/>
        <w:t xml:space="preserve">    "activeModel": "gemini-3.5-flash-lite",</w:t>
        <w:br/>
        <w:t xml:space="preserve">    "suggestedQuestions": [</w:t>
        <w:br/>
        <w:t xml:space="preserve">      "Xem chi tiết tiền mặt và chuyển khoản",</w:t>
        <w:br/>
        <w:t xml:space="preserve">      "Xem tình trạng ca làm việc hiện tại"</w:t>
        <w:br/>
        <w:t xml:space="preserve">    ]</w:t>
        <w:br/>
        <w:t xml:space="preserve">  }</w:t>
        <w:br/>
        <w:t>}</w:t>
      </w:r>
    </w:p>
    <w:p>
      <w:pPr>
        <w:pStyle w:val="ListBullet"/>
        <w:spacing w:before="20" w:after="40"/>
      </w:pPr>
      <w:r>
        <w:rPr>
          <w:b/>
          <w:color w:val="1F4E78"/>
        </w:rPr>
        <w:t xml:space="preserve">Pha 6 - Client Render An Toàn: </w:t>
      </w:r>
      <w:r>
        <w:t>Giao diện ChatbotWidget nhận DTO, chuyển qua Safe React DOM AST Tokenizer bẻ nhỏ Markdown thành thẻ React thuần (span, strong, code), tuyệt đối không dùng dangerouslySetInnerHTML, đảm bảo an toàn 100% trước tấn công XSS.</w:t>
      </w:r>
    </w:p>
    <w:p>
      <w:pPr>
        <w:keepNext/>
        <w:spacing w:before="200" w:after="80"/>
      </w:pPr>
      <w:r>
        <w:rPr>
          <w:rFonts w:ascii="Calibri" w:hAnsi="Calibri"/>
          <w:b/>
          <w:color w:val="1F4E78"/>
          <w:sz w:val="25"/>
        </w:rPr>
        <w:t>2. CHUỖI DỰ PHÒNG 9 MÔ HÌNH AI &amp; CƠ CHẾ COOLDOWN 60S</w:t>
      </w:r>
    </w:p>
    <w:p>
      <w:r>
        <w:t>Nhằm đảm bảo người dùng không bao giờ gặp lỗi gián đoạn dịch vụ khi gọi AI, hệ thống thiết lập chuỗi 9 mô hình:</w:t>
        <w:br/>
        <w:t>1. Mô hình chính (Primary): gemini-3.5-flash-lite (Ưu tiên số 1, phản hồi &lt; 1.2s).</w:t>
        <w:br/>
        <w:t>2. 8 Mô hình dự phòng (Failover Models): gemini-3.1-flash-lite, gemini-2.5-flash-lite, gemini-3.5-flash, gemini-3.8-flash, gemini-3.7-flash, gemini-3.6-flash, gemini-3-flash, gemini-2.5-flash.</w:t>
        <w:br/>
        <w:t>3. Cơ chế Cooldown 60 giây: Khi một model chạm trần hạn mức 429, thời gian hết hạn được lưu vào ConcurrentHashMap. Mọi câu hỏi trong 60 giây tiếp theo sẽ bỏ qua model này để gọi ngay model kế tiếp, không gây trễ giao diện.</w:t>
      </w:r>
    </w:p>
    <w:p>
      <w:pPr>
        <w:keepNext/>
        <w:spacing w:before="200" w:after="80"/>
      </w:pPr>
      <w:r>
        <w:rPr>
          <w:rFonts w:ascii="Calibri" w:hAnsi="Calibri"/>
          <w:b/>
          <w:color w:val="1F4E78"/>
          <w:sz w:val="25"/>
        </w:rPr>
        <w:t>3. MA TRẬN PHÂN QUYỀN BẢO MẬT DỮ LIỆU (3-TIER RBAC MATRIX)</w:t>
      </w:r>
    </w:p>
    <w:p>
      <w:r>
        <w:t>Ranh giới phân quyền dữ liệu tài chính theo từng vai trò nhân sự trong hộ kinh doanh:</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600"/>
            <w:shd w:fill="1F4E78"/>
            <w:tcMar>
              <w:top w:w="100" w:type="dxa"/>
              <w:bottom w:w="100" w:type="dxa"/>
              <w:left w:w="120" w:type="dxa"/>
              <w:right w:w="120" w:type="dxa"/>
            </w:tcMar>
          </w:tcPr>
          <w:p>
            <w:pPr>
              <w:jc w:val="center"/>
            </w:pPr>
            <w:r>
              <w:rPr>
                <w:rFonts w:ascii="Calibri" w:hAnsi="Calibri"/>
                <w:b/>
                <w:color w:val="FFFFFF"/>
                <w:sz w:val="20"/>
              </w:rPr>
              <w:t>Nhóm Dữ Liệu Nghiệp Vụ</w:t>
            </w:r>
          </w:p>
        </w:tc>
        <w:tc>
          <w:tcPr>
            <w:tcW w:type="dxa" w:w="2160"/>
            <w:shd w:fill="1F4E78"/>
            <w:tcMar>
              <w:top w:w="100" w:type="dxa"/>
              <w:bottom w:w="100" w:type="dxa"/>
              <w:left w:w="120" w:type="dxa"/>
              <w:right w:w="120" w:type="dxa"/>
            </w:tcMar>
          </w:tcPr>
          <w:p>
            <w:pPr>
              <w:jc w:val="center"/>
            </w:pPr>
            <w:r>
              <w:rPr>
                <w:rFonts w:ascii="Calibri" w:hAnsi="Calibri"/>
                <w:b/>
                <w:color w:val="FFFFFF"/>
                <w:sz w:val="20"/>
              </w:rPr>
              <w:t>VT-01: Chủ Hộ (OWNER)</w:t>
            </w:r>
          </w:p>
        </w:tc>
        <w:tc>
          <w:tcPr>
            <w:tcW w:type="dxa" w:w="2592"/>
            <w:shd w:fill="1F4E78"/>
            <w:tcMar>
              <w:top w:w="100" w:type="dxa"/>
              <w:bottom w:w="100" w:type="dxa"/>
              <w:left w:w="120" w:type="dxa"/>
              <w:right w:w="120" w:type="dxa"/>
            </w:tcMar>
          </w:tcPr>
          <w:p>
            <w:pPr>
              <w:jc w:val="center"/>
            </w:pPr>
            <w:r>
              <w:rPr>
                <w:rFonts w:ascii="Calibri" w:hAnsi="Calibri"/>
                <w:b/>
                <w:color w:val="FFFFFF"/>
                <w:sz w:val="20"/>
              </w:rPr>
              <w:t>VT-02: Thu Ngân (CASHIER)</w:t>
            </w:r>
          </w:p>
        </w:tc>
        <w:tc>
          <w:tcPr>
            <w:tcW w:type="dxa" w:w="2160"/>
            <w:shd w:fill="1F4E78"/>
            <w:tcMar>
              <w:top w:w="100" w:type="dxa"/>
              <w:bottom w:w="100" w:type="dxa"/>
              <w:left w:w="120" w:type="dxa"/>
              <w:right w:w="120" w:type="dxa"/>
            </w:tcMar>
          </w:tcPr>
          <w:p>
            <w:pPr>
              <w:jc w:val="center"/>
            </w:pPr>
            <w:r>
              <w:rPr>
                <w:rFonts w:ascii="Calibri" w:hAnsi="Calibri"/>
                <w:b/>
                <w:color w:val="FFFFFF"/>
                <w:sz w:val="20"/>
              </w:rPr>
              <w:t>VT-03: Kế Toán (ACCOUNTANT)</w:t>
            </w:r>
          </w:p>
        </w:tc>
      </w:tr>
      <w:tr>
        <w:tc>
          <w:tcPr>
            <w:tcW w:type="dxa" w:w="3600"/>
            <w:shd w:fill="FFFFFF"/>
            <w:tcMar>
              <w:top w:w="70" w:type="dxa"/>
              <w:bottom w:w="70" w:type="dxa"/>
              <w:left w:w="100" w:type="dxa"/>
              <w:right w:w="100" w:type="dxa"/>
            </w:tcMar>
          </w:tcPr>
          <w:p>
            <w:r>
              <w:rPr>
                <w:rFonts w:ascii="Calibri" w:hAnsi="Calibri"/>
                <w:sz w:val="19"/>
              </w:rPr>
              <w:t>Doanh thu tổng hộ kinh doanh</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c>
          <w:tcPr>
            <w:tcW w:type="dxa" w:w="2592"/>
            <w:shd w:fill="FFFFFF"/>
            <w:tcMar>
              <w:top w:w="70" w:type="dxa"/>
              <w:bottom w:w="70" w:type="dxa"/>
              <w:left w:w="100" w:type="dxa"/>
              <w:right w:w="100" w:type="dxa"/>
            </w:tcMar>
          </w:tcPr>
          <w:p>
            <w:pPr>
              <w:jc w:val="center"/>
            </w:pPr>
            <w:r>
              <w:rPr>
                <w:rFonts w:ascii="Calibri" w:hAnsi="Calibri"/>
                <w:b/>
                <w:color w:val="DC2626"/>
                <w:sz w:val="19"/>
              </w:rPr>
              <w:t>BỊ CHẶN (REDACTED)</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2F4F7"/>
            <w:tcMar>
              <w:top w:w="70" w:type="dxa"/>
              <w:bottom w:w="70" w:type="dxa"/>
              <w:left w:w="100" w:type="dxa"/>
              <w:right w:w="100" w:type="dxa"/>
            </w:tcMar>
          </w:tcPr>
          <w:p>
            <w:r>
              <w:rPr>
                <w:rFonts w:ascii="Calibri" w:hAnsi="Calibri"/>
                <w:sz w:val="19"/>
              </w:rPr>
              <w:t>Lợi nhuận gộp &amp; Biên lợi nhuận</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c>
          <w:tcPr>
            <w:tcW w:type="dxa" w:w="2592"/>
            <w:shd w:fill="F2F4F7"/>
            <w:tcMar>
              <w:top w:w="70" w:type="dxa"/>
              <w:bottom w:w="70" w:type="dxa"/>
              <w:left w:w="100" w:type="dxa"/>
              <w:right w:w="100" w:type="dxa"/>
            </w:tcMar>
          </w:tcPr>
          <w:p>
            <w:pPr>
              <w:jc w:val="center"/>
            </w:pPr>
            <w:r>
              <w:rPr>
                <w:rFonts w:ascii="Calibri" w:hAnsi="Calibri"/>
                <w:b/>
                <w:color w:val="DC2626"/>
                <w:sz w:val="19"/>
              </w:rPr>
              <w:t>BỊ CHẶN (REDACTED)</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FFFFF"/>
            <w:tcMar>
              <w:top w:w="70" w:type="dxa"/>
              <w:bottom w:w="70" w:type="dxa"/>
              <w:left w:w="100" w:type="dxa"/>
              <w:right w:w="100" w:type="dxa"/>
            </w:tcMar>
          </w:tcPr>
          <w:p>
            <w:r>
              <w:rPr>
                <w:rFonts w:ascii="Calibri" w:hAnsi="Calibri"/>
                <w:sz w:val="19"/>
              </w:rPr>
              <w:t>Nghĩa vụ thuế &amp; Tờ khai TT88</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c>
          <w:tcPr>
            <w:tcW w:type="dxa" w:w="2592"/>
            <w:shd w:fill="FFFFFF"/>
            <w:tcMar>
              <w:top w:w="70" w:type="dxa"/>
              <w:bottom w:w="70" w:type="dxa"/>
              <w:left w:w="100" w:type="dxa"/>
              <w:right w:w="100" w:type="dxa"/>
            </w:tcMar>
          </w:tcPr>
          <w:p>
            <w:pPr>
              <w:jc w:val="center"/>
            </w:pPr>
            <w:r>
              <w:rPr>
                <w:rFonts w:ascii="Calibri" w:hAnsi="Calibri"/>
                <w:b/>
                <w:color w:val="DC2626"/>
                <w:sz w:val="19"/>
              </w:rPr>
              <w:t>BỊ CHẶN (REDACTED)</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2F4F7"/>
            <w:tcMar>
              <w:top w:w="70" w:type="dxa"/>
              <w:bottom w:w="70" w:type="dxa"/>
              <w:left w:w="100" w:type="dxa"/>
              <w:right w:w="100" w:type="dxa"/>
            </w:tcMar>
          </w:tcPr>
          <w:p>
            <w:r>
              <w:rPr>
                <w:rFonts w:ascii="Calibri" w:hAnsi="Calibri"/>
                <w:sz w:val="19"/>
              </w:rPr>
              <w:t>Định giá tổng tài sản kho hàng</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c>
          <w:tcPr>
            <w:tcW w:type="dxa" w:w="2592"/>
            <w:shd w:fill="F2F4F7"/>
            <w:tcMar>
              <w:top w:w="70" w:type="dxa"/>
              <w:bottom w:w="70" w:type="dxa"/>
              <w:left w:w="100" w:type="dxa"/>
              <w:right w:w="100" w:type="dxa"/>
            </w:tcMar>
          </w:tcPr>
          <w:p>
            <w:pPr>
              <w:jc w:val="center"/>
            </w:pPr>
            <w:r>
              <w:rPr>
                <w:rFonts w:ascii="Calibri" w:hAnsi="Calibri"/>
                <w:b/>
                <w:color w:val="DC2626"/>
                <w:sz w:val="19"/>
              </w:rPr>
              <w:t>BỊ CHẶN (REDACTED)</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FFFFF"/>
            <w:tcMar>
              <w:top w:w="70" w:type="dxa"/>
              <w:bottom w:w="70" w:type="dxa"/>
              <w:left w:w="100" w:type="dxa"/>
              <w:right w:w="100" w:type="dxa"/>
            </w:tcMar>
          </w:tcPr>
          <w:p>
            <w:r>
              <w:rPr>
                <w:rFonts w:ascii="Calibri" w:hAnsi="Calibri"/>
                <w:sz w:val="19"/>
              </w:rPr>
              <w:t>Tổng công nợ phải thu / phải trả</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c>
          <w:tcPr>
            <w:tcW w:type="dxa" w:w="2592"/>
            <w:shd w:fill="FFFFFF"/>
            <w:tcMar>
              <w:top w:w="70" w:type="dxa"/>
              <w:bottom w:w="70" w:type="dxa"/>
              <w:left w:w="100" w:type="dxa"/>
              <w:right w:w="100" w:type="dxa"/>
            </w:tcMar>
          </w:tcPr>
          <w:p>
            <w:pPr>
              <w:jc w:val="center"/>
            </w:pPr>
            <w:r>
              <w:rPr>
                <w:rFonts w:ascii="Calibri" w:hAnsi="Calibri"/>
                <w:b/>
                <w:color w:val="DC2626"/>
                <w:sz w:val="19"/>
              </w:rPr>
              <w:t>BỊ CHẶN (REDACTED)</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2F4F7"/>
            <w:tcMar>
              <w:top w:w="70" w:type="dxa"/>
              <w:bottom w:w="70" w:type="dxa"/>
              <w:left w:w="100" w:type="dxa"/>
              <w:right w:w="100" w:type="dxa"/>
            </w:tcMar>
          </w:tcPr>
          <w:p>
            <w:r>
              <w:rPr>
                <w:rFonts w:ascii="Calibri" w:hAnsi="Calibri"/>
                <w:sz w:val="19"/>
              </w:rPr>
              <w:t>Doanh số lũy kế năm (Ngưỡng 100tr)</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c>
          <w:tcPr>
            <w:tcW w:type="dxa" w:w="2592"/>
            <w:shd w:fill="F2F4F7"/>
            <w:tcMar>
              <w:top w:w="70" w:type="dxa"/>
              <w:bottom w:w="70" w:type="dxa"/>
              <w:left w:w="100" w:type="dxa"/>
              <w:right w:w="100" w:type="dxa"/>
            </w:tcMar>
          </w:tcPr>
          <w:p>
            <w:pPr>
              <w:jc w:val="center"/>
            </w:pPr>
            <w:r>
              <w:rPr>
                <w:rFonts w:ascii="Calibri" w:hAnsi="Calibri"/>
                <w:b/>
                <w:color w:val="DC2626"/>
                <w:sz w:val="19"/>
              </w:rPr>
              <w:t>BỊ CHẶN (REDACTED)</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FFFFF"/>
            <w:tcMar>
              <w:top w:w="70" w:type="dxa"/>
              <w:bottom w:w="70" w:type="dxa"/>
              <w:left w:w="100" w:type="dxa"/>
              <w:right w:w="100" w:type="dxa"/>
            </w:tcMar>
          </w:tcPr>
          <w:p>
            <w:r>
              <w:rPr>
                <w:rFonts w:ascii="Calibri" w:hAnsi="Calibri"/>
                <w:sz w:val="19"/>
              </w:rPr>
              <w:t>Ca làm việc của chi nhánh/người khác</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c>
          <w:tcPr>
            <w:tcW w:type="dxa" w:w="2592"/>
            <w:shd w:fill="FFFFFF"/>
            <w:tcMar>
              <w:top w:w="70" w:type="dxa"/>
              <w:bottom w:w="70" w:type="dxa"/>
              <w:left w:w="100" w:type="dxa"/>
              <w:right w:w="100" w:type="dxa"/>
            </w:tcMar>
          </w:tcPr>
          <w:p>
            <w:pPr>
              <w:jc w:val="center"/>
            </w:pPr>
            <w:r>
              <w:rPr>
                <w:rFonts w:ascii="Calibri" w:hAnsi="Calibri"/>
                <w:b/>
                <w:color w:val="DC2626"/>
                <w:sz w:val="19"/>
              </w:rPr>
              <w:t>BỊ CHẶN (REDACTED)</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2F4F7"/>
            <w:tcMar>
              <w:top w:w="70" w:type="dxa"/>
              <w:bottom w:w="70" w:type="dxa"/>
              <w:left w:w="100" w:type="dxa"/>
              <w:right w:w="100" w:type="dxa"/>
            </w:tcMar>
          </w:tcPr>
          <w:p>
            <w:r>
              <w:rPr>
                <w:rFonts w:ascii="Calibri" w:hAnsi="Calibri"/>
                <w:sz w:val="19"/>
              </w:rPr>
              <w:t>Thông tin ca bán hàng của chính mình</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c>
          <w:tcPr>
            <w:tcW w:type="dxa" w:w="2592"/>
            <w:shd w:fill="F2F4F7"/>
            <w:tcMar>
              <w:top w:w="70" w:type="dxa"/>
              <w:bottom w:w="70" w:type="dxa"/>
              <w:left w:w="100" w:type="dxa"/>
              <w:right w:w="100" w:type="dxa"/>
            </w:tcMar>
          </w:tcPr>
          <w:p>
            <w:pPr>
              <w:jc w:val="center"/>
            </w:pPr>
            <w:r>
              <w:rPr>
                <w:rFonts w:ascii="Calibri" w:hAnsi="Calibri"/>
                <w:color w:val="166534"/>
                <w:sz w:val="19"/>
              </w:rPr>
              <w:t>Cho phép</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FFFFF"/>
            <w:tcMar>
              <w:top w:w="70" w:type="dxa"/>
              <w:bottom w:w="70" w:type="dxa"/>
              <w:left w:w="100" w:type="dxa"/>
              <w:right w:w="100" w:type="dxa"/>
            </w:tcMar>
          </w:tcPr>
          <w:p>
            <w:r>
              <w:rPr>
                <w:rFonts w:ascii="Calibri" w:hAnsi="Calibri"/>
                <w:sz w:val="19"/>
              </w:rPr>
              <w:t>Khách hàng thân thiết &amp; Hạn mức nợ lẻ</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c>
          <w:tcPr>
            <w:tcW w:type="dxa" w:w="2592"/>
            <w:shd w:fill="FFFFFF"/>
            <w:tcMar>
              <w:top w:w="70" w:type="dxa"/>
              <w:bottom w:w="70" w:type="dxa"/>
              <w:left w:w="100" w:type="dxa"/>
              <w:right w:w="100" w:type="dxa"/>
            </w:tcMar>
          </w:tcPr>
          <w:p>
            <w:pPr>
              <w:jc w:val="center"/>
            </w:pPr>
            <w:r>
              <w:rPr>
                <w:rFonts w:ascii="Calibri" w:hAnsi="Calibri"/>
                <w:color w:val="166534"/>
                <w:sz w:val="19"/>
              </w:rPr>
              <w:t>Cho phép</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2F4F7"/>
            <w:tcMar>
              <w:top w:w="70" w:type="dxa"/>
              <w:bottom w:w="70" w:type="dxa"/>
              <w:left w:w="100" w:type="dxa"/>
              <w:right w:w="100" w:type="dxa"/>
            </w:tcMar>
          </w:tcPr>
          <w:p>
            <w:r>
              <w:rPr>
                <w:rFonts w:ascii="Calibri" w:hAnsi="Calibri"/>
                <w:sz w:val="19"/>
              </w:rPr>
              <w:t>Cảnh báo hàng sắp hết tồn kho POS</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c>
          <w:tcPr>
            <w:tcW w:type="dxa" w:w="2592"/>
            <w:shd w:fill="F2F4F7"/>
            <w:tcMar>
              <w:top w:w="70" w:type="dxa"/>
              <w:bottom w:w="70" w:type="dxa"/>
              <w:left w:w="100" w:type="dxa"/>
              <w:right w:w="100" w:type="dxa"/>
            </w:tcMar>
          </w:tcPr>
          <w:p>
            <w:pPr>
              <w:jc w:val="center"/>
            </w:pPr>
            <w:r>
              <w:rPr>
                <w:rFonts w:ascii="Calibri" w:hAnsi="Calibri"/>
                <w:color w:val="166534"/>
                <w:sz w:val="19"/>
              </w:rPr>
              <w:t>Cho phép</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FFFFF"/>
            <w:tcMar>
              <w:top w:w="70" w:type="dxa"/>
              <w:bottom w:w="70" w:type="dxa"/>
              <w:left w:w="100" w:type="dxa"/>
              <w:right w:w="100" w:type="dxa"/>
            </w:tcMar>
          </w:tcPr>
          <w:p>
            <w:r>
              <w:rPr>
                <w:rFonts w:ascii="Calibri" w:hAnsi="Calibri"/>
                <w:sz w:val="19"/>
              </w:rPr>
              <w:t>Giá bán niêm yết sản phẩm</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c>
          <w:tcPr>
            <w:tcW w:type="dxa" w:w="2592"/>
            <w:shd w:fill="FFFFFF"/>
            <w:tcMar>
              <w:top w:w="70" w:type="dxa"/>
              <w:bottom w:w="70" w:type="dxa"/>
              <w:left w:w="100" w:type="dxa"/>
              <w:right w:w="100" w:type="dxa"/>
            </w:tcMar>
          </w:tcPr>
          <w:p>
            <w:pPr>
              <w:jc w:val="center"/>
            </w:pPr>
            <w:r>
              <w:rPr>
                <w:rFonts w:ascii="Calibri" w:hAnsi="Calibri"/>
                <w:color w:val="166534"/>
                <w:sz w:val="19"/>
              </w:rPr>
              <w:t>Cho phép</w:t>
            </w:r>
          </w:p>
        </w:tc>
        <w:tc>
          <w:tcPr>
            <w:tcW w:type="dxa" w:w="2160"/>
            <w:shd w:fill="FFFFFF"/>
            <w:tcMar>
              <w:top w:w="70" w:type="dxa"/>
              <w:bottom w:w="70" w:type="dxa"/>
              <w:left w:w="100" w:type="dxa"/>
              <w:right w:w="100" w:type="dxa"/>
            </w:tcMar>
          </w:tcPr>
          <w:p>
            <w:pPr>
              <w:jc w:val="center"/>
            </w:pPr>
            <w:r>
              <w:rPr>
                <w:rFonts w:ascii="Calibri" w:hAnsi="Calibri"/>
                <w:color w:val="166534"/>
                <w:sz w:val="19"/>
              </w:rPr>
              <w:t>Cho phép</w:t>
            </w:r>
          </w:p>
        </w:tc>
      </w:tr>
      <w:tr>
        <w:tc>
          <w:tcPr>
            <w:tcW w:type="dxa" w:w="3600"/>
            <w:shd w:fill="F2F4F7"/>
            <w:tcMar>
              <w:top w:w="70" w:type="dxa"/>
              <w:bottom w:w="70" w:type="dxa"/>
              <w:left w:w="100" w:type="dxa"/>
              <w:right w:w="100" w:type="dxa"/>
            </w:tcMar>
          </w:tcPr>
          <w:p>
            <w:r>
              <w:rPr>
                <w:rFonts w:ascii="Calibri" w:hAnsi="Calibri"/>
                <w:sz w:val="19"/>
              </w:rPr>
              <w:t>Hướng dẫn thao tác nghiệp vụ POS</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c>
          <w:tcPr>
            <w:tcW w:type="dxa" w:w="2592"/>
            <w:shd w:fill="F2F4F7"/>
            <w:tcMar>
              <w:top w:w="70" w:type="dxa"/>
              <w:bottom w:w="70" w:type="dxa"/>
              <w:left w:w="100" w:type="dxa"/>
              <w:right w:w="100" w:type="dxa"/>
            </w:tcMar>
          </w:tcPr>
          <w:p>
            <w:pPr>
              <w:jc w:val="center"/>
            </w:pPr>
            <w:r>
              <w:rPr>
                <w:rFonts w:ascii="Calibri" w:hAnsi="Calibri"/>
                <w:color w:val="166534"/>
                <w:sz w:val="19"/>
              </w:rPr>
              <w:t>Cho phép</w:t>
            </w:r>
          </w:p>
        </w:tc>
        <w:tc>
          <w:tcPr>
            <w:tcW w:type="dxa" w:w="2160"/>
            <w:shd w:fill="F2F4F7"/>
            <w:tcMar>
              <w:top w:w="70" w:type="dxa"/>
              <w:bottom w:w="70" w:type="dxa"/>
              <w:left w:w="100" w:type="dxa"/>
              <w:right w:w="100" w:type="dxa"/>
            </w:tcMar>
          </w:tcPr>
          <w:p>
            <w:pPr>
              <w:jc w:val="center"/>
            </w:pPr>
            <w:r>
              <w:rPr>
                <w:rFonts w:ascii="Calibri" w:hAnsi="Calibri"/>
                <w:color w:val="166534"/>
                <w:sz w:val="19"/>
              </w:rPr>
              <w:t>Cho phép</w:t>
            </w:r>
          </w:p>
        </w:tc>
      </w:tr>
    </w:tbl>
    <w:p>
      <w:pPr>
        <w:keepNext/>
        <w:spacing w:before="200" w:after="80"/>
      </w:pPr>
      <w:r>
        <w:rPr>
          <w:rFonts w:ascii="Calibri" w:hAnsi="Calibri"/>
          <w:b/>
          <w:color w:val="1F4E78"/>
          <w:sz w:val="25"/>
        </w:rPr>
        <w:t>4. KẾT LUẬN &amp; ĐÁNH GIÁ CHẤT LƯỢNG</w:t>
      </w:r>
    </w:p>
    <w:p>
      <w:pPr>
        <w:spacing w:before="40"/>
      </w:pPr>
      <w:r>
        <w:t>Kiến trúc kết nối API và xử lý dữ liệu của AI Chatbot Bán Hàng Việt đáp ứng toàn diện tiêu chuẩn bảo mật dữ liệu cấp doanh nghiệp, tối ưu hóa trải nghiệm người dùng với tốc độ phản hồi cực nhanh và khả năng hoạt động bền bỉ, thông suốt trong mọi tình huống sự cố mạng.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