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A7FA8"/>
          <w:sz w:val="18"/>
          <w:szCs w:val="18"/>
        </w:rPr>
        <w:t xml:space="preserve">PROGRAMA ESQUEL LAB 2026 · PRIMERA COHORTE</w:t>
      </w:r>
    </w:p>
    <w:p>
      <w:pPr>
        <w:spacing w:after="80" w:before="0"/>
        <w:jc w:val="center"/>
      </w:pPr>
      <w:r>
        <w:rPr>
          <w:rFonts w:ascii="Arial" w:cs="Arial" w:eastAsia="Arial" w:hAnsi="Arial"/>
          <w:b/>
          <w:bCs/>
          <w:color w:val="132B43"/>
          <w:sz w:val="32"/>
          <w:szCs w:val="32"/>
        </w:rPr>
        <w:t xml:space="preserve">PLAN DE TRABAJO Y ACOMPAÑAMIENTO INDIVIDUAL</w:t>
      </w:r>
    </w:p>
    <w:p>
      <w:pPr>
        <w:spacing w:after="260" w:before="0"/>
        <w:jc w:val="center"/>
      </w:pPr>
      <w:r>
        <w:rPr>
          <w:rFonts w:ascii="Arial" w:cs="Arial" w:eastAsia="Arial" w:hAnsi="Arial"/>
          <w:i/>
          <w:iCs/>
          <w:color w:val="2F7D5D"/>
          <w:sz w:val="22"/>
          <w:szCs w:val="22"/>
        </w:rPr>
        <w:t xml:space="preserve">Proyecto: El Secreto del Laberinto · Parque Temático Vegetal, Té de Campo y Agroturismo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Titular Responsable:</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Marta Isabel San Martín y Marcelo Codesal (Emprendimiento Familiar)</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Línea del Programa:</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Esquel Raíz (Rural / Productivo) · Puesto #5 (Puntaje Consolidado: 3.63 / 5.00)</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Célula de Trabajo: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Célula 2 · Campo y gran superficie (con La Casa del Tambo, Establecimiento Margherita, Centro Ecuestre Lucero, Pausa de Ñire)</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Equipo Consultor:</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Senior: Adria · Junior: Noelia · Conducción / Articulación General: Leandro</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Ubicación del Predio: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Ruta 259 km 4 (entre Esquel y Trevelin), Chacra Ex-Austin (75 ha totales / 2 ha destinadas a laberinto y salón)</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Período de Ejecución:</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9 de Septiembre al 10 de Noviembre de 2026 (8 Semanas intensivas)</w:t>
            </w:r>
          </w:p>
        </w:tc>
      </w:tr>
    </w:tbl>
    <w:p>
      <w:pPr>
        <w:pStyle w:val="Heading1"/>
        <w:spacing w:after="140" w:before="300"/>
      </w:pPr>
      <w:r>
        <w:rPr>
          <w:rFonts w:ascii="Arial" w:cs="Arial" w:eastAsia="Arial" w:hAnsi="Arial"/>
          <w:b/>
          <w:bCs/>
          <w:color w:val="132B43"/>
          <w:sz w:val="26"/>
          <w:szCs w:val="26"/>
        </w:rPr>
        <w:t xml:space="preserve">1. Contexto y Diagnóstico Integral</w:t>
      </w:r>
    </w:p>
    <w:p>
      <w:pPr>
        <w:spacing w:after="100" w:before="80" w:line="276"/>
      </w:pPr>
      <w:r>
        <w:rPr>
          <w:rFonts w:ascii="Arial" w:cs="Arial" w:eastAsia="Arial" w:hAnsi="Arial"/>
          <w:b w:val="false"/>
          <w:bCs w:val="false"/>
          <w:color w:val="222222"/>
          <w:sz w:val="20"/>
          <w:szCs w:val="20"/>
        </w:rPr>
        <w:t xml:space="preserve">El presente plan de trabajo se fundamenta en la postulación oficial (ID 44), el análisis comparativo del jurado evaluador y la desgrabación integral de la primera reunión de trabajo entre Marta Isabel San Martín y el equipo de coordinación de Esquel LAB:</w:t>
      </w:r>
    </w:p>
    <w:p>
      <w:pPr>
        <w:pStyle w:val="ListParagraph"/>
        <w:numPr>
          <w:ilvl w:val="0"/>
          <w:numId w:val="1"/>
        </w:numPr>
        <w:spacing w:after="60" w:before="60" w:line="260"/>
      </w:pPr>
      <w:r>
        <w:rPr>
          <w:rFonts w:ascii="Arial" w:cs="Arial" w:eastAsia="Arial" w:hAnsi="Arial"/>
          <w:b/>
          <w:bCs/>
          <w:color w:val="132B43"/>
          <w:sz w:val="20"/>
          <w:szCs w:val="20"/>
        </w:rPr>
        <w:t xml:space="preserve">Espacio territorial propio y seguridad dominial: </w:t>
      </w:r>
      <w:r>
        <w:rPr>
          <w:rFonts w:ascii="Arial" w:cs="Arial" w:eastAsia="Arial" w:hAnsi="Arial"/>
          <w:color w:val="222222"/>
          <w:sz w:val="20"/>
          <w:szCs w:val="20"/>
        </w:rPr>
        <w:t xml:space="preserve">El proyecto se implanta en una chacra familiar de 75 hectáreas (adquirida hace décadas por los suegros de Marta, sucesión Austin) ubicada a 4 km de Esquel sobre la Ruta 259 (camino a Trevelin), con frente de faldeo de monte y vistas panorámicas hacia el valle. La situación dominial se encuentra jurídicamente resuelta y saneada mediante acuerdos notariales. Para el parque del laberinto se destina un polígono regular de casi 2 hectáreas con acceso por servidumbre de paso rural.</w:t>
      </w:r>
    </w:p>
    <w:p>
      <w:pPr>
        <w:pStyle w:val="ListParagraph"/>
        <w:numPr>
          <w:ilvl w:val="0"/>
          <w:numId w:val="1"/>
        </w:numPr>
        <w:spacing w:after="60" w:before="60" w:line="260"/>
      </w:pPr>
      <w:r>
        <w:rPr>
          <w:rFonts w:ascii="Arial" w:cs="Arial" w:eastAsia="Arial" w:hAnsi="Arial"/>
          <w:b/>
          <w:bCs/>
          <w:color w:val="132B43"/>
          <w:sz w:val="20"/>
          <w:szCs w:val="20"/>
        </w:rPr>
        <w:t xml:space="preserve">Equipo familiar multidisciplinario y experiencia de servicios: </w:t>
      </w:r>
      <w:r>
        <w:rPr>
          <w:rFonts w:ascii="Arial" w:cs="Arial" w:eastAsia="Arial" w:hAnsi="Arial"/>
          <w:color w:val="222222"/>
          <w:sz w:val="20"/>
          <w:szCs w:val="20"/>
        </w:rPr>
        <w:t xml:space="preserve">El emprendimiento involucra a todo el núcleo familiar con sinergias profesionales directas: Marcelo Codesal (tradición de campo y equinos), Florencia (quien concluye su carrera de Ingeniera Agrónoma en La Pampa en diciembre 2026 y se suma de lleno al manejo técnico), Rocío (Licenciada en Negocios Agropecuarios) y Joaquín (estudiante de Zootecnia y operador de cabalgatas). Marta posee amplia experiencia en el rubro gastronómico local (concesión de confitería, Sol del Sur y panificadoras) y formación en terapias naturales y paisajismo.</w:t>
      </w:r>
    </w:p>
    <w:p>
      <w:pPr>
        <w:pStyle w:val="ListParagraph"/>
        <w:numPr>
          <w:ilvl w:val="0"/>
          <w:numId w:val="1"/>
        </w:numPr>
        <w:spacing w:after="60" w:before="60" w:line="260"/>
      </w:pPr>
      <w:r>
        <w:rPr>
          <w:rFonts w:ascii="Arial" w:cs="Arial" w:eastAsia="Arial" w:hAnsi="Arial"/>
          <w:b/>
          <w:bCs/>
          <w:color w:val="132B43"/>
          <w:sz w:val="20"/>
          <w:szCs w:val="20"/>
        </w:rPr>
        <w:t xml:space="preserve">Infraestructura base e inversión física previa: </w:t>
      </w:r>
      <w:r>
        <w:rPr>
          <w:rFonts w:ascii="Arial" w:cs="Arial" w:eastAsia="Arial" w:hAnsi="Arial"/>
          <w:color w:val="222222"/>
          <w:sz w:val="20"/>
          <w:szCs w:val="20"/>
        </w:rPr>
        <w:t xml:space="preserve">El predio cuenta con perforación de agua recién ejecutada con excelente caudal para riego sistematizado, agua de vertiente para consumo humano y electricidad de red. Asimismo, Marta ya construyó la platea de hormigón y acopió materiales tradicionales para edificar un salón de eventos y confitería/casa de té de campo de 120 m² con sanitarios, adyacente a la futura entrada del laberinto.</w:t>
      </w:r>
    </w:p>
    <w:p>
      <w:pPr>
        <w:pStyle w:val="ListParagraph"/>
        <w:numPr>
          <w:ilvl w:val="0"/>
          <w:numId w:val="1"/>
        </w:numPr>
        <w:spacing w:after="60" w:before="60" w:line="260"/>
      </w:pPr>
      <w:r>
        <w:rPr>
          <w:rFonts w:ascii="Arial" w:cs="Arial" w:eastAsia="Arial" w:hAnsi="Arial"/>
          <w:b/>
          <w:bCs/>
          <w:color w:val="132B43"/>
          <w:sz w:val="20"/>
          <w:szCs w:val="20"/>
        </w:rPr>
        <w:t xml:space="preserve">Enfoque botánico de 4 estaciones: </w:t>
      </w:r>
      <w:r>
        <w:rPr>
          <w:rFonts w:ascii="Arial" w:cs="Arial" w:eastAsia="Arial" w:hAnsi="Arial"/>
          <w:color w:val="222222"/>
          <w:sz w:val="20"/>
          <w:szCs w:val="20"/>
        </w:rPr>
        <w:t xml:space="preserve">A diferencia de los laberintos de coníferas de la comarca, Marta definió utilizar ligustro (Ligustrum) como especie vegetal estructurante. Se trata de una especie perenne que mantiene follaje verde durante el otoño y el invierno, asegurando operatividad y atractivo paisajístico durante las cuatro estaciones, complementado con especies florales nativas y arbustos decorativos en canteros centrales.</w:t>
      </w:r>
    </w:p>
    <w:p>
      <w:pPr>
        <w:pStyle w:val="ListParagraph"/>
        <w:numPr>
          <w:ilvl w:val="0"/>
          <w:numId w:val="1"/>
        </w:numPr>
        <w:spacing w:after="60" w:before="60" w:line="260"/>
      </w:pPr>
      <w:r>
        <w:rPr>
          <w:rFonts w:ascii="Arial" w:cs="Arial" w:eastAsia="Arial" w:hAnsi="Arial"/>
          <w:b/>
          <w:bCs/>
          <w:color w:val="132B43"/>
          <w:sz w:val="20"/>
          <w:szCs w:val="20"/>
        </w:rPr>
        <w:t xml:space="preserve">Potencial de diversificación y servicios puente: </w:t>
      </w:r>
      <w:r>
        <w:rPr>
          <w:rFonts w:ascii="Arial" w:cs="Arial" w:eastAsia="Arial" w:hAnsi="Arial"/>
          <w:color w:val="222222"/>
          <w:sz w:val="20"/>
          <w:szCs w:val="20"/>
        </w:rPr>
        <w:t xml:space="preserve">El laberinto vegetal es un proyecto de escala y maduración a mediano plazo (3 a 5 años hasta porte adulto). Sin embargo, el predio posee recursos para activar unidades de negocio puente en el corto plazo: la confitería de té campestre, cabalgatas guiadas por los faldeos del monte (cuentan con 14 caballos en el predio) y visitas guiadas educativas al vivero de multiplicación de esquejes.</w:t>
      </w:r>
    </w:p>
    <w:p>
      <w:pPr>
        <w:pStyle w:val="Heading1"/>
        <w:spacing w:after="140" w:before="300"/>
      </w:pPr>
      <w:r>
        <w:rPr>
          <w:rFonts w:ascii="Arial" w:cs="Arial" w:eastAsia="Arial" w:hAnsi="Arial"/>
          <w:b/>
          <w:bCs/>
          <w:color w:val="132B43"/>
          <w:sz w:val="26"/>
          <w:szCs w:val="26"/>
        </w:rPr>
        <w:t xml:space="preserve">2. Trabas Críticas y Desafíos Operativos</w:t>
      </w:r>
    </w:p>
    <w:p>
      <w:pPr>
        <w:spacing w:after="100" w:before="80" w:line="276"/>
      </w:pPr>
      <w:r>
        <w:rPr>
          <w:rFonts w:ascii="Arial" w:cs="Arial" w:eastAsia="Arial" w:hAnsi="Arial"/>
          <w:b w:val="false"/>
          <w:bCs w:val="false"/>
          <w:color w:val="222222"/>
          <w:sz w:val="20"/>
          <w:szCs w:val="20"/>
        </w:rPr>
        <w:t xml:space="preserve">A partir de la triangulación técnica con las devoluciones del jurado y la primera sesión presencial, se identifican los siguientes obstáculos que deben estructurarse metodológicamente:</w:t>
      </w:r>
    </w:p>
    <w:p>
      <w:pPr>
        <w:pStyle w:val="ListParagraph"/>
        <w:numPr>
          <w:ilvl w:val="0"/>
          <w:numId w:val="1"/>
        </w:numPr>
        <w:spacing w:after="60" w:before="60" w:line="260"/>
      </w:pPr>
      <w:r>
        <w:rPr>
          <w:rFonts w:ascii="Arial" w:cs="Arial" w:eastAsia="Arial" w:hAnsi="Arial"/>
          <w:b/>
          <w:bCs/>
          <w:color w:val="132B43"/>
          <w:sz w:val="20"/>
          <w:szCs w:val="20"/>
        </w:rPr>
        <w:t xml:space="preserve">Tiempos biológicos de crecimiento y brecha de maduración: </w:t>
      </w:r>
      <w:r>
        <w:rPr>
          <w:rFonts w:ascii="Arial" w:cs="Arial" w:eastAsia="Arial" w:hAnsi="Arial"/>
          <w:color w:val="222222"/>
          <w:sz w:val="20"/>
          <w:szCs w:val="20"/>
        </w:rPr>
        <w:t xml:space="preserve">El crecimiento vegetativo del ligustro hasta una altura de juego (1,80 a 2 m) requiere entre 3 y 5 temporadas. Aunque el laberinto puede inaugurarse prematuramente con plantas a 1 metro de altura enfatizando la dinámica lúdica del sendero, se requiere estructurar una propuesta turística activa que genere ingresos inmediatos mientras las plantas crecen.</w:t>
      </w:r>
    </w:p>
    <w:p>
      <w:pPr>
        <w:pStyle w:val="ListParagraph"/>
        <w:numPr>
          <w:ilvl w:val="0"/>
          <w:numId w:val="1"/>
        </w:numPr>
        <w:spacing w:after="60" w:before="60" w:line="260"/>
      </w:pPr>
      <w:r>
        <w:rPr>
          <w:rFonts w:ascii="Arial" w:cs="Arial" w:eastAsia="Arial" w:hAnsi="Arial"/>
          <w:b/>
          <w:bCs/>
          <w:color w:val="132B43"/>
          <w:sz w:val="20"/>
          <w:szCs w:val="20"/>
        </w:rPr>
        <w:t xml:space="preserve">Inversión económica inicial y estrategia de autoabastecimiento: </w:t>
      </w:r>
      <w:r>
        <w:rPr>
          <w:rFonts w:ascii="Arial" w:cs="Arial" w:eastAsia="Arial" w:hAnsi="Arial"/>
          <w:color w:val="222222"/>
          <w:sz w:val="20"/>
          <w:szCs w:val="20"/>
        </w:rPr>
        <w:t xml:space="preserve">Comprar las 3.000 a 5.000 plantas necesarias ya desarrolladas en viveros comerciales a valores de mercado ($7.000 por unidad) demandaría decenas de millones de pesos. El proyecto requiere indispensablemente la instalación de un vivero propio de multiplicación por esquejes en el predio, con hormonas de enraizamiento natural (sauce), tierra negra abonada y riego por goteo asistido para abaratar drásticamente el costo de implantación.</w:t>
      </w:r>
    </w:p>
    <w:p>
      <w:pPr>
        <w:pStyle w:val="ListParagraph"/>
        <w:numPr>
          <w:ilvl w:val="0"/>
          <w:numId w:val="1"/>
        </w:numPr>
        <w:spacing w:after="60" w:before="60" w:line="260"/>
      </w:pPr>
      <w:r>
        <w:rPr>
          <w:rFonts w:ascii="Arial" w:cs="Arial" w:eastAsia="Arial" w:hAnsi="Arial"/>
          <w:b/>
          <w:bCs/>
          <w:color w:val="132B43"/>
          <w:sz w:val="20"/>
          <w:szCs w:val="20"/>
        </w:rPr>
        <w:t xml:space="preserve">Acondicionamiento edáfico y recuperación de suelo: </w:t>
      </w:r>
      <w:r>
        <w:rPr>
          <w:rFonts w:ascii="Arial" w:cs="Arial" w:eastAsia="Arial" w:hAnsi="Arial"/>
          <w:color w:val="222222"/>
          <w:sz w:val="20"/>
          <w:szCs w:val="20"/>
        </w:rPr>
        <w:t xml:space="preserve">El suelo del sector asignado es árido, arcilloso y compactado por tránsito de maquinaria y animales. Para que los esquejes enraícen con vigor y aceleren meses de desarrollo, es imprescindible realizar un análisis de suelo (4 muestras de nutrientes y pH a cargo de Florencia), descompactación mecánica y una fuerte enmienda orgánica inicial aprovechando el abono de oveja disponible en corrales familiares y camiones de tierra negra.</w:t>
      </w:r>
    </w:p>
    <w:p>
      <w:pPr>
        <w:pStyle w:val="ListParagraph"/>
        <w:numPr>
          <w:ilvl w:val="0"/>
          <w:numId w:val="1"/>
        </w:numPr>
        <w:spacing w:after="60" w:before="60" w:line="260"/>
      </w:pPr>
      <w:r>
        <w:rPr>
          <w:rFonts w:ascii="Arial" w:cs="Arial" w:eastAsia="Arial" w:hAnsi="Arial"/>
          <w:b/>
          <w:bCs/>
          <w:color w:val="132B43"/>
          <w:sz w:val="20"/>
          <w:szCs w:val="20"/>
        </w:rPr>
        <w:t xml:space="preserve">Trazado geométrico y replanteo de senderos: </w:t>
      </w:r>
      <w:r>
        <w:rPr>
          <w:rFonts w:ascii="Arial" w:cs="Arial" w:eastAsia="Arial" w:hAnsi="Arial"/>
          <w:color w:val="222222"/>
          <w:sz w:val="20"/>
          <w:szCs w:val="20"/>
        </w:rPr>
        <w:t xml:space="preserve">El trazado circular concéntrico propuesto exige una geometría precisa para evitar que senderos angostos o cruces ciegos queden mal planteados antes de plantar. Una vez enterradas las raíces y tendidas las mangueras de goteo, cualquier error de diseño es irreversible. Se necesita fijar un Master Plan con mojones topográficos y asesoramiento paisajístico (Carolina de INTA) previo al zanjeo.</w:t>
      </w:r>
    </w:p>
    <w:p>
      <w:pPr>
        <w:pStyle w:val="ListParagraph"/>
        <w:numPr>
          <w:ilvl w:val="0"/>
          <w:numId w:val="1"/>
        </w:numPr>
        <w:spacing w:after="60" w:before="60" w:line="260"/>
      </w:pPr>
      <w:r>
        <w:rPr>
          <w:rFonts w:ascii="Arial" w:cs="Arial" w:eastAsia="Arial" w:hAnsi="Arial"/>
          <w:b/>
          <w:bCs/>
          <w:color w:val="132B43"/>
          <w:sz w:val="20"/>
          <w:szCs w:val="20"/>
        </w:rPr>
        <w:t xml:space="preserve">Accesibilidad, logística vial y servidumbre de paso: </w:t>
      </w:r>
      <w:r>
        <w:rPr>
          <w:rFonts w:ascii="Arial" w:cs="Arial" w:eastAsia="Arial" w:hAnsi="Arial"/>
          <w:color w:val="222222"/>
          <w:sz w:val="20"/>
          <w:szCs w:val="20"/>
        </w:rPr>
        <w:t xml:space="preserve">Ubicado a 4 km del centro urbano, debe preverse la accesibilidad vial para turistas sin vehículo propio (convenios con remises o agencias receptivas), rectificar la curva de la servidumbre de paso que invadió la parcela, y delimitar un estacionamiento seguro para al menos 30 vehículos sin entorpecer el tránsito rural.</w:t>
      </w:r>
    </w:p>
    <w:p>
      <w:pPr>
        <w:pStyle w:val="Heading1"/>
        <w:spacing w:after="140" w:before="300"/>
      </w:pPr>
      <w:r>
        <w:rPr>
          <w:rFonts w:ascii="Arial" w:cs="Arial" w:eastAsia="Arial" w:hAnsi="Arial"/>
          <w:b/>
          <w:bCs/>
          <w:color w:val="132B43"/>
          <w:sz w:val="26"/>
          <w:szCs w:val="26"/>
        </w:rPr>
        <w:t xml:space="preserve">3. Ejes Estratégicos de Aceleración</w:t>
      </w:r>
    </w:p>
    <w:p>
      <w:pPr>
        <w:spacing w:after="100" w:before="80" w:line="276"/>
      </w:pPr>
      <w:r>
        <w:rPr>
          <w:rFonts w:ascii="Arial" w:cs="Arial" w:eastAsia="Arial" w:hAnsi="Arial"/>
          <w:b w:val="false"/>
          <w:bCs w:val="false"/>
          <w:color w:val="222222"/>
          <w:sz w:val="20"/>
          <w:szCs w:val="20"/>
        </w:rPr>
        <w:t xml:space="preserve">El programa estructurará el trabajo en tres ejes complementarios para transformar la idea en un proyecto técnico, agronómico y comercialmente viable:</w:t>
      </w:r>
    </w:p>
    <w:p>
      <w:pPr>
        <w:pStyle w:val="Heading2"/>
        <w:spacing w:after="100" w:before="220"/>
      </w:pPr>
      <w:r>
        <w:rPr>
          <w:rFonts w:ascii="Arial" w:cs="Arial" w:eastAsia="Arial" w:hAnsi="Arial"/>
          <w:b/>
          <w:bCs/>
          <w:color w:val="2F7D5D"/>
          <w:sz w:val="22"/>
          <w:szCs w:val="22"/>
        </w:rPr>
        <w:t xml:space="preserve">Eje A · Proyecto Agronómico, Suelo y Vivero de Multiplicación</w:t>
      </w:r>
    </w:p>
    <w:p>
      <w:pPr>
        <w:pStyle w:val="ListParagraph"/>
        <w:numPr>
          <w:ilvl w:val="0"/>
          <w:numId w:val="1"/>
        </w:numPr>
        <w:spacing w:after="60" w:before="60" w:line="260"/>
      </w:pPr>
      <w:r>
        <w:rPr>
          <w:rFonts w:ascii="Arial" w:cs="Arial" w:eastAsia="Arial" w:hAnsi="Arial"/>
          <w:b/>
          <w:bCs/>
          <w:color w:val="132B43"/>
          <w:sz w:val="20"/>
          <w:szCs w:val="20"/>
        </w:rPr>
        <w:t xml:space="preserve">Estudio de Suelo y Enmienda Orgánica: </w:t>
      </w:r>
      <w:r>
        <w:rPr>
          <w:rFonts w:ascii="Arial" w:cs="Arial" w:eastAsia="Arial" w:hAnsi="Arial"/>
          <w:color w:val="222222"/>
          <w:sz w:val="20"/>
          <w:szCs w:val="20"/>
        </w:rPr>
        <w:t xml:space="preserve">Muestreo de suelo en 4 sectores de la parcela para determinar textura, pH y nutrientes (conducido por la futura ingeniera agrónoma Florencia). Enmienda orgánica masiva con abono de oveja maduro y tierra negra para generar una franja de siembra fértil.</w:t>
      </w:r>
    </w:p>
    <w:p>
      <w:pPr>
        <w:pStyle w:val="ListParagraph"/>
        <w:numPr>
          <w:ilvl w:val="0"/>
          <w:numId w:val="1"/>
        </w:numPr>
        <w:spacing w:after="60" w:before="60" w:line="260"/>
      </w:pPr>
      <w:r>
        <w:rPr>
          <w:rFonts w:ascii="Arial" w:cs="Arial" w:eastAsia="Arial" w:hAnsi="Arial"/>
          <w:b/>
          <w:bCs/>
          <w:color w:val="132B43"/>
          <w:sz w:val="20"/>
          <w:szCs w:val="20"/>
        </w:rPr>
        <w:t xml:space="preserve">Vivero Propio de Esquejes y Bioestimulación: </w:t>
      </w:r>
      <w:r>
        <w:rPr>
          <w:rFonts w:ascii="Arial" w:cs="Arial" w:eastAsia="Arial" w:hAnsi="Arial"/>
          <w:color w:val="222222"/>
          <w:sz w:val="20"/>
          <w:szCs w:val="20"/>
        </w:rPr>
        <w:t xml:space="preserve">Diseño y montaje de un módulo rústico de vivero en el predio para la producción masiva de 4.000 esquejes de ligustro y laurentinos, utilizando ramas de sauce como bioestimulante natural de enraizamiento, bandejas de cultivo y sistema de riego por goteo automatizado.</w:t>
      </w:r>
    </w:p>
    <w:p>
      <w:pPr>
        <w:pStyle w:val="ListParagraph"/>
        <w:numPr>
          <w:ilvl w:val="0"/>
          <w:numId w:val="1"/>
        </w:numPr>
        <w:spacing w:after="60" w:before="60" w:line="260"/>
      </w:pPr>
      <w:r>
        <w:rPr>
          <w:rFonts w:ascii="Arial" w:cs="Arial" w:eastAsia="Arial" w:hAnsi="Arial"/>
          <w:b/>
          <w:bCs/>
          <w:color w:val="132B43"/>
          <w:sz w:val="20"/>
          <w:szCs w:val="20"/>
        </w:rPr>
        <w:t xml:space="preserve">Parcela Testigo y Ensayo de Crecimiento: </w:t>
      </w:r>
      <w:r>
        <w:rPr>
          <w:rFonts w:ascii="Arial" w:cs="Arial" w:eastAsia="Arial" w:hAnsi="Arial"/>
          <w:color w:val="222222"/>
          <w:sz w:val="20"/>
          <w:szCs w:val="20"/>
        </w:rPr>
        <w:t xml:space="preserve">Implantación de una parcela testigo con ligustros bajo condiciones nutricionales y de riego ideales para monitorear la tasa mensual de crecimiento y contrastar con plantas de control a campo abierto.</w:t>
      </w:r>
    </w:p>
    <w:p>
      <w:pPr>
        <w:pStyle w:val="ListParagraph"/>
        <w:numPr>
          <w:ilvl w:val="0"/>
          <w:numId w:val="1"/>
        </w:numPr>
        <w:spacing w:after="60" w:before="60" w:line="260"/>
      </w:pPr>
      <w:r>
        <w:rPr>
          <w:rFonts w:ascii="Arial" w:cs="Arial" w:eastAsia="Arial" w:hAnsi="Arial"/>
          <w:b/>
          <w:bCs/>
          <w:color w:val="132B43"/>
          <w:sz w:val="20"/>
          <w:szCs w:val="20"/>
        </w:rPr>
        <w:t xml:space="preserve">Cerramiento Perimetral Hermético: </w:t>
      </w:r>
      <w:r>
        <w:rPr>
          <w:rFonts w:ascii="Arial" w:cs="Arial" w:eastAsia="Arial" w:hAnsi="Arial"/>
          <w:color w:val="222222"/>
          <w:sz w:val="20"/>
          <w:szCs w:val="20"/>
        </w:rPr>
        <w:t xml:space="preserve">Completamiento del cerco perimetral con malla anti-liebres (recuperada de El Maitén) y postes reforzados para evitar la depredación de brotes nuevos por fauna silvestre y ganado.</w:t>
      </w:r>
    </w:p>
    <w:p>
      <w:pPr>
        <w:pStyle w:val="Heading2"/>
        <w:spacing w:after="100" w:before="220"/>
      </w:pPr>
      <w:r>
        <w:rPr>
          <w:rFonts w:ascii="Arial" w:cs="Arial" w:eastAsia="Arial" w:hAnsi="Arial"/>
          <w:b/>
          <w:bCs/>
          <w:color w:val="2F7D5D"/>
          <w:sz w:val="22"/>
          <w:szCs w:val="22"/>
        </w:rPr>
        <w:t xml:space="preserve">Eje B · Master Plan Paisajístico y Geometría del Laberinto</w:t>
      </w:r>
    </w:p>
    <w:p>
      <w:pPr>
        <w:pStyle w:val="ListParagraph"/>
        <w:numPr>
          <w:ilvl w:val="0"/>
          <w:numId w:val="1"/>
        </w:numPr>
        <w:spacing w:after="60" w:before="60" w:line="260"/>
      </w:pPr>
      <w:r>
        <w:rPr>
          <w:rFonts w:ascii="Arial" w:cs="Arial" w:eastAsia="Arial" w:hAnsi="Arial"/>
          <w:b/>
          <w:bCs/>
          <w:color w:val="132B43"/>
          <w:sz w:val="20"/>
          <w:szCs w:val="20"/>
        </w:rPr>
        <w:t xml:space="preserve">Master Plan y Diseño de la Traza: </w:t>
      </w:r>
      <w:r>
        <w:rPr>
          <w:rFonts w:ascii="Arial" w:cs="Arial" w:eastAsia="Arial" w:hAnsi="Arial"/>
          <w:color w:val="222222"/>
          <w:sz w:val="20"/>
          <w:szCs w:val="20"/>
        </w:rPr>
        <w:t xml:space="preserve">Plano técnico del laberinto en formato circular con punto fijo de replanteo, senderos transitables de 1,80 a 2,00 metros de ancho, caminos ciegos, muros de ligustro y plazoleta central de descanso con mirador elevado.</w:t>
      </w:r>
    </w:p>
    <w:p>
      <w:pPr>
        <w:pStyle w:val="ListParagraph"/>
        <w:numPr>
          <w:ilvl w:val="0"/>
          <w:numId w:val="1"/>
        </w:numPr>
        <w:spacing w:after="60" w:before="60" w:line="260"/>
      </w:pPr>
      <w:r>
        <w:rPr>
          <w:rFonts w:ascii="Arial" w:cs="Arial" w:eastAsia="Arial" w:hAnsi="Arial"/>
          <w:b/>
          <w:bCs/>
          <w:color w:val="132B43"/>
          <w:sz w:val="20"/>
          <w:szCs w:val="20"/>
        </w:rPr>
        <w:t xml:space="preserve">Cálculo de Densidad Botánica y Sistema de Riego: </w:t>
      </w:r>
      <w:r>
        <w:rPr>
          <w:rFonts w:ascii="Arial" w:cs="Arial" w:eastAsia="Arial" w:hAnsi="Arial"/>
          <w:color w:val="222222"/>
          <w:sz w:val="20"/>
          <w:szCs w:val="20"/>
        </w:rPr>
        <w:t xml:space="preserve">Determinación de la densidad de plantación (número exacto de plantines por metro lineal de cerco vivo) y cálculo de metros lineales de manguera de goteo autocompensante con goteros integrados cada 30 cm.</w:t>
      </w:r>
    </w:p>
    <w:p>
      <w:pPr>
        <w:pStyle w:val="ListParagraph"/>
        <w:numPr>
          <w:ilvl w:val="0"/>
          <w:numId w:val="1"/>
        </w:numPr>
        <w:spacing w:after="60" w:before="60" w:line="260"/>
      </w:pPr>
      <w:r>
        <w:rPr>
          <w:rFonts w:ascii="Arial" w:cs="Arial" w:eastAsia="Arial" w:hAnsi="Arial"/>
          <w:b/>
          <w:bCs/>
          <w:color w:val="132B43"/>
          <w:sz w:val="20"/>
          <w:szCs w:val="20"/>
        </w:rPr>
        <w:t xml:space="preserve">Zonificación Integral del Predio: </w:t>
      </w:r>
      <w:r>
        <w:rPr>
          <w:rFonts w:ascii="Arial" w:cs="Arial" w:eastAsia="Arial" w:hAnsi="Arial"/>
          <w:color w:val="222222"/>
          <w:sz w:val="20"/>
          <w:szCs w:val="20"/>
        </w:rPr>
        <w:t xml:space="preserve">Delimitación del sector de acceso, playa de estacionamiento para 30 vehículos, sector de juegos al aire libre, y articulación fluida con el salón de té y sanitarios.</w:t>
      </w:r>
    </w:p>
    <w:p>
      <w:pPr>
        <w:pStyle w:val="Heading2"/>
        <w:spacing w:after="100" w:before="220"/>
      </w:pPr>
      <w:r>
        <w:rPr>
          <w:rFonts w:ascii="Arial" w:cs="Arial" w:eastAsia="Arial" w:hAnsi="Arial"/>
          <w:b/>
          <w:bCs/>
          <w:color w:val="2F7D5D"/>
          <w:sz w:val="22"/>
          <w:szCs w:val="22"/>
        </w:rPr>
        <w:t xml:space="preserve">Eje C · Prefactibilidad Económica, Fases de Apertura y Servicios Puente</w:t>
      </w:r>
    </w:p>
    <w:p>
      <w:pPr>
        <w:pStyle w:val="ListParagraph"/>
        <w:numPr>
          <w:ilvl w:val="0"/>
          <w:numId w:val="1"/>
        </w:numPr>
        <w:spacing w:after="60" w:before="60" w:line="260"/>
      </w:pPr>
      <w:r>
        <w:rPr>
          <w:rFonts w:ascii="Arial" w:cs="Arial" w:eastAsia="Arial" w:hAnsi="Arial"/>
          <w:b/>
          <w:bCs/>
          <w:color w:val="132B43"/>
          <w:sz w:val="20"/>
          <w:szCs w:val="20"/>
        </w:rPr>
        <w:t xml:space="preserve">Matriz Económica y Presupuesto por Etapas: </w:t>
      </w:r>
      <w:r>
        <w:rPr>
          <w:rFonts w:ascii="Arial" w:cs="Arial" w:eastAsia="Arial" w:hAnsi="Arial"/>
          <w:color w:val="222222"/>
          <w:sz w:val="20"/>
          <w:szCs w:val="20"/>
        </w:rPr>
        <w:t xml:space="preserve">Planilla integral con costos de materiales, horas-máquina, mangueras de riego, postes y mano de obra, estableciendo el cronograma de desembolsos a 3 años para búsqueda de financiamiento público o privado.</w:t>
      </w:r>
    </w:p>
    <w:p>
      <w:pPr>
        <w:pStyle w:val="ListParagraph"/>
        <w:numPr>
          <w:ilvl w:val="0"/>
          <w:numId w:val="1"/>
        </w:numPr>
        <w:spacing w:after="60" w:before="60" w:line="260"/>
      </w:pPr>
      <w:r>
        <w:rPr>
          <w:rFonts w:ascii="Arial" w:cs="Arial" w:eastAsia="Arial" w:hAnsi="Arial"/>
          <w:b/>
          <w:bCs/>
          <w:color w:val="132B43"/>
          <w:sz w:val="20"/>
          <w:szCs w:val="20"/>
        </w:rPr>
        <w:t xml:space="preserve">Esquema de Servicios Puente e Ingresos Inmediatos: </w:t>
      </w:r>
      <w:r>
        <w:rPr>
          <w:rFonts w:ascii="Arial" w:cs="Arial" w:eastAsia="Arial" w:hAnsi="Arial"/>
          <w:color w:val="222222"/>
          <w:sz w:val="20"/>
          <w:szCs w:val="20"/>
        </w:rPr>
        <w:t xml:space="preserve">Estrategia de apertura por etapas: Fase 1 (Salón de té de campo, cabalgatas por faldeos y vivero abierto a visitantes); Fase 2 (Apertura del laberinto lúdico a 1 m de altura con juegos de orientación para escuelas y familias); Fase 3 (Laberinto consolidado a 2 m de altura con tarifa plena todo el año).</w:t>
      </w:r>
    </w:p>
    <w:p>
      <w:pPr>
        <w:pStyle w:val="ListParagraph"/>
        <w:numPr>
          <w:ilvl w:val="0"/>
          <w:numId w:val="1"/>
        </w:numPr>
        <w:spacing w:after="60" w:before="60" w:line="260"/>
      </w:pPr>
      <w:r>
        <w:rPr>
          <w:rFonts w:ascii="Arial" w:cs="Arial" w:eastAsia="Arial" w:hAnsi="Arial"/>
          <w:b/>
          <w:bCs/>
          <w:color w:val="132B43"/>
          <w:sz w:val="20"/>
          <w:szCs w:val="20"/>
        </w:rPr>
        <w:t xml:space="preserve">Validación de Demanda y Perfil del Visitante: </w:t>
      </w:r>
      <w:r>
        <w:rPr>
          <w:rFonts w:ascii="Arial" w:cs="Arial" w:eastAsia="Arial" w:hAnsi="Arial"/>
          <w:color w:val="222222"/>
          <w:sz w:val="20"/>
          <w:szCs w:val="20"/>
        </w:rPr>
        <w:t xml:space="preserve">Diseño y aplicación de una encuesta de validación (product-market fit) para turistas en las oficinas de Turismo y hoteles de Esquel, relevando interés en atractivos rurales, movilidad utilizada y disposición a pagar.</w:t>
      </w:r>
    </w:p>
    <w:p>
      <w:pPr>
        <w:pStyle w:val="Heading1"/>
        <w:spacing w:after="140" w:before="300"/>
      </w:pPr>
      <w:r>
        <w:rPr>
          <w:rFonts w:ascii="Arial" w:cs="Arial" w:eastAsia="Arial" w:hAnsi="Arial"/>
          <w:b/>
          <w:bCs/>
          <w:color w:val="132B43"/>
          <w:sz w:val="26"/>
          <w:szCs w:val="26"/>
        </w:rPr>
        <w:t xml:space="preserve">4. Entregables Concretos del Proceso</w:t>
      </w:r>
    </w:p>
    <w:p>
      <w:pPr>
        <w:pStyle w:val="ListParagraph"/>
        <w:numPr>
          <w:ilvl w:val="0"/>
          <w:numId w:val="1"/>
        </w:numPr>
        <w:spacing w:after="60" w:before="60" w:line="260"/>
      </w:pPr>
      <w:r>
        <w:rPr>
          <w:rFonts w:ascii="Arial" w:cs="Arial" w:eastAsia="Arial" w:hAnsi="Arial"/>
          <w:b/>
          <w:bCs/>
          <w:color w:val="132B43"/>
          <w:sz w:val="20"/>
          <w:szCs w:val="20"/>
        </w:rPr>
        <w:t xml:space="preserve">1. Master Plan paisajístico y zonificación del predio (escala 1:500): </w:t>
      </w:r>
      <w:r>
        <w:rPr>
          <w:rFonts w:ascii="Arial" w:cs="Arial" w:eastAsia="Arial" w:hAnsi="Arial"/>
          <w:color w:val="222222"/>
          <w:sz w:val="20"/>
          <w:szCs w:val="20"/>
        </w:rPr>
        <w:t xml:space="preserve">Plano general del predio con trazado del laberinto, cálculo de metros lineales, senderos, vivero, salón y estacionamiento.</w:t>
      </w:r>
    </w:p>
    <w:p>
      <w:pPr>
        <w:pStyle w:val="ListParagraph"/>
        <w:numPr>
          <w:ilvl w:val="0"/>
          <w:numId w:val="1"/>
        </w:numPr>
        <w:spacing w:after="60" w:before="60" w:line="260"/>
      </w:pPr>
      <w:r>
        <w:rPr>
          <w:rFonts w:ascii="Arial" w:cs="Arial" w:eastAsia="Arial" w:hAnsi="Arial"/>
          <w:b/>
          <w:bCs/>
          <w:color w:val="132B43"/>
          <w:sz w:val="20"/>
          <w:szCs w:val="20"/>
        </w:rPr>
        <w:t xml:space="preserve">2. Análisis de suelo y plan de enmienda orgánica de la parcela: </w:t>
      </w:r>
      <w:r>
        <w:rPr>
          <w:rFonts w:ascii="Arial" w:cs="Arial" w:eastAsia="Arial" w:hAnsi="Arial"/>
          <w:color w:val="222222"/>
          <w:sz w:val="20"/>
          <w:szCs w:val="20"/>
        </w:rPr>
        <w:t xml:space="preserve">Informe agronómico de nutrientes y protocolo de fertilización orgánica con abono de oveja y tierra negra.</w:t>
      </w:r>
    </w:p>
    <w:p>
      <w:pPr>
        <w:pStyle w:val="ListParagraph"/>
        <w:numPr>
          <w:ilvl w:val="0"/>
          <w:numId w:val="1"/>
        </w:numPr>
        <w:spacing w:after="60" w:before="60" w:line="260"/>
      </w:pPr>
      <w:r>
        <w:rPr>
          <w:rFonts w:ascii="Arial" w:cs="Arial" w:eastAsia="Arial" w:hAnsi="Arial"/>
          <w:b/>
          <w:bCs/>
          <w:color w:val="132B43"/>
          <w:sz w:val="20"/>
          <w:szCs w:val="20"/>
        </w:rPr>
        <w:t xml:space="preserve">3. Guía técnica del vivero de multiplicación de ligustro: </w:t>
      </w:r>
      <w:r>
        <w:rPr>
          <w:rFonts w:ascii="Arial" w:cs="Arial" w:eastAsia="Arial" w:hAnsi="Arial"/>
          <w:color w:val="222222"/>
          <w:sz w:val="20"/>
          <w:szCs w:val="20"/>
        </w:rPr>
        <w:t xml:space="preserve">Diseño del módulo de propagación por esquejes con costos, tiempos de enraizamiento y esquema de riego por goteo.</w:t>
      </w:r>
    </w:p>
    <w:p>
      <w:pPr>
        <w:pStyle w:val="ListParagraph"/>
        <w:numPr>
          <w:ilvl w:val="0"/>
          <w:numId w:val="1"/>
        </w:numPr>
        <w:spacing w:after="60" w:before="60" w:line="260"/>
      </w:pPr>
      <w:r>
        <w:rPr>
          <w:rFonts w:ascii="Arial" w:cs="Arial" w:eastAsia="Arial" w:hAnsi="Arial"/>
          <w:b/>
          <w:bCs/>
          <w:color w:val="132B43"/>
          <w:sz w:val="20"/>
          <w:szCs w:val="20"/>
        </w:rPr>
        <w:t xml:space="preserve">4. Estudio de prefactibilidad económica y presupuesto por etapas: </w:t>
      </w:r>
      <w:r>
        <w:rPr>
          <w:rFonts w:ascii="Arial" w:cs="Arial" w:eastAsia="Arial" w:hAnsi="Arial"/>
          <w:color w:val="222222"/>
          <w:sz w:val="20"/>
          <w:szCs w:val="20"/>
        </w:rPr>
        <w:t xml:space="preserve">Documento formal con desglose de costos fijos, variables, flujo de fondos proyectado y retorno de inversión en 3 fases.</w:t>
      </w:r>
    </w:p>
    <w:p>
      <w:pPr>
        <w:pStyle w:val="ListParagraph"/>
        <w:numPr>
          <w:ilvl w:val="0"/>
          <w:numId w:val="1"/>
        </w:numPr>
        <w:spacing w:after="60" w:before="60" w:line="260"/>
      </w:pPr>
      <w:r>
        <w:rPr>
          <w:rFonts w:ascii="Arial" w:cs="Arial" w:eastAsia="Arial" w:hAnsi="Arial"/>
          <w:b/>
          <w:bCs/>
          <w:color w:val="132B43"/>
          <w:sz w:val="20"/>
          <w:szCs w:val="20"/>
        </w:rPr>
        <w:t xml:space="preserve">5. Ficha técnica del modelo de "Servicios Puente": </w:t>
      </w:r>
      <w:r>
        <w:rPr>
          <w:rFonts w:ascii="Arial" w:cs="Arial" w:eastAsia="Arial" w:hAnsi="Arial"/>
          <w:color w:val="222222"/>
          <w:sz w:val="20"/>
          <w:szCs w:val="20"/>
        </w:rPr>
        <w:t xml:space="preserve">Propuesta de actividades inmediatas en la chacra (casa de té, cabalgatas, agroturismo) para operar antes de la altura final del laberinto.</w:t>
      </w:r>
    </w:p>
    <w:p>
      <w:pPr>
        <w:pStyle w:val="ListParagraph"/>
        <w:numPr>
          <w:ilvl w:val="0"/>
          <w:numId w:val="1"/>
        </w:numPr>
        <w:spacing w:after="60" w:before="60" w:line="260"/>
      </w:pPr>
      <w:r>
        <w:rPr>
          <w:rFonts w:ascii="Arial" w:cs="Arial" w:eastAsia="Arial" w:hAnsi="Arial"/>
          <w:b/>
          <w:bCs/>
          <w:color w:val="132B43"/>
          <w:sz w:val="20"/>
          <w:szCs w:val="20"/>
        </w:rPr>
        <w:t xml:space="preserve">6. Informe de validación comercial y encuesta de demanda: </w:t>
      </w:r>
      <w:r>
        <w:rPr>
          <w:rFonts w:ascii="Arial" w:cs="Arial" w:eastAsia="Arial" w:hAnsi="Arial"/>
          <w:color w:val="222222"/>
          <w:sz w:val="20"/>
          <w:szCs w:val="20"/>
        </w:rPr>
        <w:t xml:space="preserve">Resultados tabulados de la encuesta a turistas de Esquel sobre transporte, atractivos de naturaleza y tarifas objetivo.</w:t>
      </w:r>
    </w:p>
    <w:p>
      <w:pPr>
        <w:pStyle w:val="Heading1"/>
        <w:spacing w:after="140" w:before="300"/>
      </w:pPr>
      <w:r>
        <w:rPr>
          <w:rFonts w:ascii="Arial" w:cs="Arial" w:eastAsia="Arial" w:hAnsi="Arial"/>
          <w:b/>
          <w:bCs/>
          <w:color w:val="132B43"/>
          <w:sz w:val="26"/>
          <w:szCs w:val="26"/>
        </w:rPr>
        <w:t xml:space="preserve">5. Cronograma Detallado y Playbooks de Reuniones</w:t>
      </w:r>
    </w:p>
    <w:p>
      <w:pPr>
        <w:spacing w:after="100" w:before="80" w:line="276"/>
      </w:pPr>
      <w:r>
        <w:rPr>
          <w:rFonts w:ascii="Arial" w:cs="Arial" w:eastAsia="Arial" w:hAnsi="Arial"/>
          <w:b w:val="false"/>
          <w:bCs w:val="false"/>
          <w:color w:val="222222"/>
          <w:sz w:val="20"/>
          <w:szCs w:val="20"/>
        </w:rPr>
        <w:t xml:space="preserve">El plan se desplegará a lo largo de 8 hitos de trabajo coordinados en las 8 semanas de la 1ª Cohorte, articulando sesiones en terreno en la chacra y reuniones técnicas de gabinete:</w:t>
      </w:r>
    </w:p>
    <w:p>
      <w:pPr>
        <w:pStyle w:val="Heading2"/>
        <w:spacing w:after="100" w:before="220"/>
      </w:pPr>
      <w:r>
        <w:rPr>
          <w:rFonts w:ascii="Arial" w:cs="Arial" w:eastAsia="Arial" w:hAnsi="Arial"/>
          <w:b/>
          <w:bCs/>
          <w:color w:val="2F7D5D"/>
          <w:sz w:val="22"/>
          <w:szCs w:val="22"/>
        </w:rPr>
        <w:t xml:space="preserve">Reunión 01 (Terreno · Chacra Austin Ruta 259) — Relevamiento y Replanteo en Campo</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15 de Septiembre de 2026 · 15:00 a 17:30 (Tarde)</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Chacra Austin, Ruta 259 km 4,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Leandro (Conducción), Marta San Martín y familia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Relevar el terreno destinado al laberinto, verificar la perforación de agua, estado del camino de servidumbre y platea del salón de eventos.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¿Dónde fijamos el punto cero de replanteo del laberinto? ¿Cómo resolvemos la curva de la máquina vial que invadió la parcela? ¿Qué presión y caudal entrega la bomba de agua?</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Medir con cinta y GPS el perímetro de las 2 hectáreas; 2) Fotografiar el suelo, platea y puntos de acceso; 3) Probar caudal de la perforación; 4) Tomar 4 muestras de suelo para envío a análisis.</w:t>
      </w:r>
    </w:p>
    <w:p>
      <w:pPr>
        <w:pStyle w:val="Heading2"/>
        <w:spacing w:after="100" w:before="220"/>
      </w:pPr>
      <w:r>
        <w:rPr>
          <w:rFonts w:ascii="Arial" w:cs="Arial" w:eastAsia="Arial" w:hAnsi="Arial"/>
          <w:b/>
          <w:bCs/>
          <w:color w:val="2F7D5D"/>
          <w:sz w:val="22"/>
          <w:szCs w:val="22"/>
        </w:rPr>
        <w:t xml:space="preserve">Reunión 02 (Oficina Turismo Esquel) — Modelo Agronómico y Vivero de Esquejes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22 de Septiembre de 2026 · 10:00 a 11:30 (Mañana)</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 · Secretaría de Turismo de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Marta San Martín</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Analizar los resultados del suelo, estructurar el plan de enmienda con abono de oveja y diseñar el módulo de multiplicación por esquejes.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¿Cuántas camionadas de tierra negra y abono se necesitan para la franja de plantación? ¿Cómo organizamos la recolección y estacado de 4.000 esquejes de ligustro?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Revisar informe preliminar de suelo; 2) Diseñar el bancal del vivero de esquejes; 3) Cotizar mangueras de goteo y goteros autocompensantes; 4) Planificar la parcela testigo.</w:t>
      </w:r>
    </w:p>
    <w:p>
      <w:pPr>
        <w:pStyle w:val="Heading2"/>
        <w:spacing w:after="100" w:before="220"/>
      </w:pPr>
      <w:r>
        <w:rPr>
          <w:rFonts w:ascii="Arial" w:cs="Arial" w:eastAsia="Arial" w:hAnsi="Arial"/>
          <w:b/>
          <w:bCs/>
          <w:color w:val="2F7D5D"/>
          <w:sz w:val="22"/>
          <w:szCs w:val="22"/>
        </w:rPr>
        <w:t xml:space="preserve">Reunión 03 (Oficina Turismo Esquel) — Geometría del Laberinto y Consulta Paisajística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29 de Septiembre de 2026 · 10:00 a 12:00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Marta San Martín, Asesoramiento Paisajístico invitado</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Definir la traza geométrica final del laberinto (ancho de senderos, radio exterior, plazoleta central) y calcular metros lineales de cerco vivo.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distancia exacta entre plantas garantiza cierre tupido sin asfixia de raíces? ¿Qué elementos lúdicos o miradores incluimos en el centro?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Dibujar el plano del laberinto a escala; 2) Calcular cantidad exacta de plantas necesarias; 3) Dimensionar el circuito hidráulico de riego; 4) Fijar puntos de mojones en plano.</w:t>
      </w:r>
    </w:p>
    <w:p>
      <w:pPr>
        <w:pStyle w:val="Heading2"/>
        <w:spacing w:after="100" w:before="220"/>
      </w:pPr>
      <w:r>
        <w:rPr>
          <w:rFonts w:ascii="Arial" w:cs="Arial" w:eastAsia="Arial" w:hAnsi="Arial"/>
          <w:b/>
          <w:bCs/>
          <w:color w:val="2F7D5D"/>
          <w:sz w:val="22"/>
          <w:szCs w:val="22"/>
        </w:rPr>
        <w:t xml:space="preserve">Reunión 04 (Grupal · Célula 2 Melipal) — Predios Rurales y Alianzas de Corredor</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30 de Septiembre de 2026 · 09:30 a 12:30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 Encuentro Célula 2 (Campo y Gran Superficie)</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Emprendedores de Célula 2 (Tambo, Margherita, Lucero, Pausa de Ñire, Laberinto)</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Poner en común costos de infraestructura rural, manejo de visitantes en chacras, alianzas de derivación mutua en la Ruta 259 y seguros colectivos.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¿Cómo conectamos el laberinto con las cabalgatas de Lucero o el tambo de Sofía? ¿Qué paquetes combinados de día de campo podemos prefigurar?</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Presentar el proyecto a los colegas de célula; 2) Mapear circuito de la Ruta 259; 3) Analizar normativas de turismo rural y de recreación al aire libre.</w:t>
      </w:r>
    </w:p>
    <w:p>
      <w:pPr>
        <w:pStyle w:val="Heading2"/>
        <w:spacing w:after="100" w:before="220"/>
      </w:pPr>
      <w:r>
        <w:rPr>
          <w:rFonts w:ascii="Arial" w:cs="Arial" w:eastAsia="Arial" w:hAnsi="Arial"/>
          <w:b/>
          <w:bCs/>
          <w:color w:val="2F7D5D"/>
          <w:sz w:val="22"/>
          <w:szCs w:val="22"/>
        </w:rPr>
        <w:t xml:space="preserve">Reunión 05 (Terreno · Chacra Austin) — Ensayo de Parcela Testigo y Vivero en Marcha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Jueves 08 de Octubre de 2026 · 15:00 a 17:30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Chacra Austin, Ruta 259 km 4</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Marta San Martín y Florencia Codesal (Agrónoma)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Verificar la implantación de la parcela testigo con enmienda orgánica y supervisar el enraizamiento de los primeros lotes de esquejes bajo riego por goteo.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brotación muestran los esquejes con enraizante de sauce? ¿Cómo responde la humedad del suelo tras la aplicación de abono de oveja?</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Medir desarrollo de brotes en la parcela testigo; 2) Inspeccionar sistema de riego y presión de goteros; 3) Controlar estado del cerco anti-liebres; 4) Tomar registros fotográficos.</w:t>
      </w:r>
    </w:p>
    <w:p>
      <w:pPr>
        <w:pStyle w:val="Heading2"/>
        <w:spacing w:after="100" w:before="220"/>
      </w:pPr>
      <w:r>
        <w:rPr>
          <w:rFonts w:ascii="Arial" w:cs="Arial" w:eastAsia="Arial" w:hAnsi="Arial"/>
          <w:b/>
          <w:bCs/>
          <w:color w:val="2F7D5D"/>
          <w:sz w:val="22"/>
          <w:szCs w:val="22"/>
        </w:rPr>
        <w:t xml:space="preserve">Reunión 06 (Oficina Turismo Esquel) — Modelo de Servicios Puente y Casa de Té</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20 de Octubre de 2026 · 10:00 a 11:30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Marta San Martín</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Estructurar la propuesta comercial de los servicios puente: apertura de la casa de té de campo, visitas al predio y paseos a caballo para la temporada 2027.</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menú de repostería y té artesanal ofrecerá Marta? ¿Qué tarifa y protocolo tendrán las cabalgatas de faldeo guiadas por Joaquín?</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Armar la carta gastronómica de la casa de té; 2) Definir circuito y seguridad de cabalgatas; 3) Redactar ficha comercial de actividades de campo.</w:t>
      </w:r>
    </w:p>
    <w:p>
      <w:pPr>
        <w:pStyle w:val="Heading2"/>
        <w:spacing w:after="100" w:before="220"/>
      </w:pPr>
      <w:r>
        <w:rPr>
          <w:rFonts w:ascii="Arial" w:cs="Arial" w:eastAsia="Arial" w:hAnsi="Arial"/>
          <w:b/>
          <w:bCs/>
          <w:color w:val="2F7D5D"/>
          <w:sz w:val="22"/>
          <w:szCs w:val="22"/>
        </w:rPr>
        <w:t xml:space="preserve">Reunión 07 (Oficina Turismo Esquel) — Prefactibilidad y Presupuesto por Fases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03 de Noviembre de 2026 · 10:00 a 11:30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Marta San Martín</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Consolidar la matriz económica del proyecto a 3 años, cerrar el presupuesto por etapas y preparar el dossier para inversores o financiamiento productivo.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¿Cuál es la inversión neta de la Fase 1 (vivero y salón de té)? ¿En qué mes proyectamos el punto de equilibrio operativo?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Cerrar la planilla de costos y flujo de fondos; 2) Redactar el resumen ejecutivo de prefactibilidad; 3) Preparar presentación visual para la ronda de negocios.</w:t>
      </w:r>
    </w:p>
    <w:p>
      <w:pPr>
        <w:pStyle w:val="Heading2"/>
        <w:spacing w:after="100" w:before="220"/>
      </w:pPr>
      <w:r>
        <w:rPr>
          <w:rFonts w:ascii="Arial" w:cs="Arial" w:eastAsia="Arial" w:hAnsi="Arial"/>
          <w:b/>
          <w:bCs/>
          <w:color w:val="2F7D5D"/>
          <w:sz w:val="22"/>
          <w:szCs w:val="22"/>
        </w:rPr>
        <w:t xml:space="preserve">Reunión 08 (Plenario Melipal) — Graduación, Presentación del Master Plan y Rueda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10 de Noviembre de 2026 · 10:00 a 14:00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Equipo técnico completo de Esquel LAB, Autoridades municipales, Sector turístico comarcal, Marta San Martín y familia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Cierre oficial de la 1ª cohorte, distinción del proyecto, exposición del Master Plan del laberinto y vinculación con inversores y agencias comarcales.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alianzas o apoyos institucionales se concretan para la ejecución de la Fase 1?</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Presentación en stand con maqueta/plano del laberinto y muestras de plantas de ligustro; 2) Degustación de repostería casera de la futura casa de té; 3) Firma de acuerdos de promoción comarcal.</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2026-09-11T17:33:12.888Z</dcterms:created>
  <dcterms:modified xsi:type="dcterms:W3CDTF">2026-09-11T17:33:12.895Z</dcterms:modified>
</cp:coreProperties>
</file>

<file path=docProps/custom.xml><?xml version="1.0" encoding="utf-8"?>
<Properties xmlns="http://schemas.openxmlformats.org/officeDocument/2006/custom-properties" xmlns:vt="http://schemas.openxmlformats.org/officeDocument/2006/docPropsVTypes"/>
</file>