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044"/>
        <w:pBdr/>
        <w:spacing w:line="358" w:lineRule="auto"/>
        <w:ind/>
        <w:jc w:val="both"/>
        <w:rPr>
          <w:rFonts w:ascii="Calibri" w:hAnsi="Calibri" w:cs="Calibri"/>
          <w:sz w:val="22"/>
          <w:szCs w:val="22"/>
        </w:rPr>
      </w:pPr>
      <w:r>
        <w:rPr>
          <w:rFonts w:ascii="Calibri" w:hAnsi="Calibri" w:eastAsia="Calibri" w:cs="Calibri"/>
          <w:sz w:val="22"/>
          <w:szCs w:val="22"/>
          <w:lang w:val="en-US"/>
        </w:rPr>
        <w:t xml:space="preserve">The </w:t>
      </w:r>
      <w:r>
        <w:rPr>
          <w:rFonts w:ascii="Calibri" w:hAnsi="Calibri" w:eastAsia="Calibri" w:cs="Calibri"/>
          <w:sz w:val="22"/>
          <w:szCs w:val="22"/>
          <w:lang w:val="en-US"/>
        </w:rPr>
        <w:t xml:space="preserve">end</w:t>
      </w:r>
      <w:r>
        <w:rPr>
          <w:rFonts w:ascii="Calibri" w:hAnsi="Calibri" w:eastAsia="Calibri" w:cs="Calibri"/>
          <w:sz w:val="22"/>
          <w:szCs w:val="22"/>
          <w:lang w:val="en-US"/>
        </w:rPr>
        <w:t xml:space="preserve"> </w:t>
      </w:r>
      <w:r>
        <w:rPr>
          <w:rFonts w:ascii="Calibri" w:hAnsi="Calibri" w:eastAsia="Calibri" w:cs="Calibri"/>
          <w:sz w:val="22"/>
          <w:szCs w:val="22"/>
          <w:lang w:val="en-US"/>
        </w:rPr>
        <w:t xml:space="preserve">of the Troubles in Northern Ireland </w:t>
      </w:r>
      <w:r>
        <w:rPr>
          <w:rFonts w:ascii="Calibri" w:hAnsi="Calibri" w:eastAsia="Calibri" w:cs="Calibri"/>
          <w:sz w:val="22"/>
          <w:szCs w:val="22"/>
        </w:rPr>
      </w:r>
      <w:r>
        <w:rPr>
          <w:rFonts w:ascii="Calibri" w:hAnsi="Calibri" w:cs="Calibri"/>
          <w:sz w:val="22"/>
          <w:szCs w:val="22"/>
        </w:rPr>
      </w:r>
    </w:p>
    <w:p w14:paraId="6CD14371">
      <w:pPr>
        <w:pStyle w:val="1048"/>
        <w:pBdr/>
        <w:spacing w:line="358" w:lineRule="auto"/>
        <w:ind/>
        <w:jc w:val="both"/>
        <w:rPr>
          <w:rFonts w:ascii="Calibri" w:hAnsi="Calibri" w:cs="Calibri"/>
          <w:sz w:val="22"/>
          <w:szCs w:val="22"/>
        </w:rPr>
      </w:pPr>
      <w:r>
        <w:rPr>
          <w:rFonts w:ascii="Calibri" w:hAnsi="Calibri" w:eastAsia="Calibri" w:cs="Calibri"/>
          <w:sz w:val="22"/>
          <w:szCs w:val="22"/>
          <w:lang w:val="en-US"/>
        </w:rPr>
        <w:t xml:space="preserve">The Good </w:t>
      </w:r>
      <w:r>
        <w:rPr>
          <w:rFonts w:ascii="Calibri" w:hAnsi="Calibri" w:eastAsia="Calibri" w:cs="Calibri"/>
          <w:sz w:val="22"/>
          <w:szCs w:val="22"/>
          <w:lang w:val="en-US"/>
        </w:rPr>
        <w:t xml:space="preserve">Friday </w:t>
      </w:r>
      <w:r>
        <w:rPr>
          <w:rFonts w:ascii="Calibri" w:hAnsi="Calibri" w:eastAsia="Calibri" w:cs="Calibri"/>
          <w:sz w:val="22"/>
          <w:szCs w:val="22"/>
          <w:lang w:val="en-US"/>
        </w:rPr>
        <w:t xml:space="preserve">Agreement</w:t>
      </w:r>
      <w:r>
        <w:rPr>
          <w:rFonts w:ascii="Calibri" w:hAnsi="Calibri" w:eastAsia="Calibri" w:cs="Calibri"/>
          <w:sz w:val="22"/>
          <w:szCs w:val="22"/>
        </w:rPr>
      </w:r>
      <w:r>
        <w:rPr>
          <w:rFonts w:ascii="Calibri" w:hAnsi="Calibri" w:cs="Calibri"/>
          <w:sz w:val="22"/>
          <w:szCs w:val="22"/>
        </w:rPr>
      </w:r>
    </w:p>
    <w:p w14:paraId="32C5C728">
      <w:pPr>
        <w:pBdr/>
        <w:spacing w:line="358" w:lineRule="auto"/>
        <w:ind/>
        <w:jc w:val="both"/>
        <w:rPr>
          <w:rFonts w:ascii="Calibri" w:hAnsi="Calibri" w:cs="Calibri"/>
          <w:sz w:val="22"/>
          <w:szCs w:val="22"/>
        </w:rPr>
      </w:pPr>
      <w:r>
        <w:rPr>
          <w:rFonts w:ascii="Calibri" w:hAnsi="Calibri" w:eastAsia="Calibri" w:cs="Calibri"/>
          <w:sz w:val="22"/>
          <w:szCs w:val="22"/>
          <w:lang w:val="en-US" w:bidi="en-US"/>
        </w:rPr>
      </w:r>
      <w:r>
        <w:rPr>
          <w:rFonts w:ascii="Calibri" w:hAnsi="Calibri" w:eastAsia="Calibri" w:cs="Calibri"/>
          <w:sz w:val="22"/>
          <w:szCs w:val="22"/>
        </w:rPr>
      </w:r>
      <w:r>
        <w:rPr>
          <w:rFonts w:ascii="Calibri" w:hAnsi="Calibri" w:cs="Calibri"/>
          <w:sz w:val="22"/>
          <w:szCs w:val="22"/>
        </w:rPr>
      </w:r>
    </w:p>
    <w:p w14:paraId="16AA21E3">
      <w:pPr>
        <w:pBdr/>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eastAsia="Calibri" w:cs="Calibri"/>
          <w:sz w:val="22"/>
          <w:szCs w:val="22"/>
          <w:highlight w:val="none"/>
        </w:rPr>
      </w:r>
      <w:r>
        <w:rPr>
          <w:rFonts w:ascii="Calibri" w:hAnsi="Calibri" w:cs="Calibri"/>
          <w:sz w:val="22"/>
          <w:szCs w:val="22"/>
          <w:highlight w:val="none"/>
        </w:rPr>
      </w:r>
    </w:p>
    <w:p w14:paraId="1951DAFB">
      <w:pPr>
        <w:pBdr/>
        <w:spacing w:line="358"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rPr>
        <w:t xml:space="preserve">Primary Subject: </w:t>
      </w:r>
      <w:r>
        <w:rPr>
          <w:rFonts w:ascii="Calibri" w:hAnsi="Calibri" w:eastAsia="Calibri" w:cs="Calibri"/>
          <w:b w:val="0"/>
          <w:bCs w:val="0"/>
          <w:sz w:val="22"/>
          <w:szCs w:val="22"/>
          <w:highlight w:val="none"/>
          <w:lang w:val="en-US"/>
        </w:rPr>
        <w:tab/>
        <w:tab/>
        <w:tab/>
        <w:tab/>
        <w:t xml:space="preserve">History</w:t>
      </w:r>
      <w:r>
        <w:rPr>
          <w:rFonts w:ascii="Calibri" w:hAnsi="Calibri" w:eastAsia="Calibri" w:cs="Calibri"/>
          <w:b w:val="0"/>
          <w:bCs w:val="0"/>
          <w:sz w:val="22"/>
          <w:szCs w:val="22"/>
          <w:highlight w:val="none"/>
        </w:rPr>
      </w:r>
      <w:r>
        <w:rPr>
          <w:rFonts w:ascii="Calibri" w:hAnsi="Calibri" w:cs="Calibri"/>
          <w:b w:val="0"/>
          <w:bCs w:val="0"/>
          <w:sz w:val="22"/>
          <w:szCs w:val="22"/>
          <w:highlight w:val="none"/>
        </w:rPr>
      </w:r>
    </w:p>
    <w:p w14:paraId="41154E9D">
      <w:pPr>
        <w:pBdr/>
        <w:spacing w:line="358"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rPr>
        <w:t xml:space="preserve">Secondary Subject:</w:t>
      </w:r>
      <w:r>
        <w:rPr>
          <w:rFonts w:ascii="Calibri" w:hAnsi="Calibri" w:eastAsia="Calibri" w:cs="Calibri"/>
          <w:b w:val="0"/>
          <w:bCs w:val="0"/>
          <w:sz w:val="22"/>
          <w:szCs w:val="22"/>
          <w:highlight w:val="none"/>
          <w:lang w:val="en-US"/>
        </w:rPr>
        <w:t xml:space="preserve"> </w:t>
        <w:tab/>
        <w:tab/>
        <w:tab/>
        <w:tab/>
        <w:t xml:space="preserve">English</w:t>
      </w:r>
      <w:r>
        <w:rPr>
          <w:rFonts w:ascii="Calibri" w:hAnsi="Calibri" w:eastAsia="Calibri" w:cs="Calibri"/>
          <w:b w:val="0"/>
          <w:bCs w:val="0"/>
          <w:sz w:val="22"/>
          <w:szCs w:val="22"/>
          <w:highlight w:val="none"/>
        </w:rPr>
      </w:r>
      <w:r>
        <w:rPr>
          <w:rFonts w:ascii="Calibri" w:hAnsi="Calibri" w:cs="Calibri"/>
          <w:b w:val="0"/>
          <w:bCs w:val="0"/>
          <w:sz w:val="22"/>
          <w:szCs w:val="22"/>
          <w:highlight w:val="none"/>
        </w:rPr>
      </w:r>
    </w:p>
    <w:p w14:paraId="43C1CDE6">
      <w:pPr>
        <w:pBdr/>
        <w:spacing w:line="358"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bidi="en-US"/>
        </w:rPr>
      </w:r>
      <w:r>
        <w:rPr>
          <w:rFonts w:ascii="Calibri" w:hAnsi="Calibri" w:eastAsia="Calibri" w:cs="Calibri"/>
          <w:b w:val="0"/>
          <w:bCs w:val="0"/>
          <w:sz w:val="22"/>
          <w:szCs w:val="22"/>
          <w:highlight w:val="none"/>
        </w:rPr>
      </w:r>
      <w:r>
        <w:rPr>
          <w:rFonts w:ascii="Calibri" w:hAnsi="Calibri" w:cs="Calibri"/>
          <w:b w:val="0"/>
          <w:bCs w:val="0"/>
          <w:sz w:val="22"/>
          <w:szCs w:val="22"/>
          <w:highlight w:val="none"/>
        </w:rPr>
      </w:r>
    </w:p>
    <w:p w14:paraId="14213B97">
      <w:pPr>
        <w:pBdr/>
        <w:spacing w:line="358"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rPr>
        <w:t xml:space="preserve">Supervisor: </w:t>
      </w:r>
      <w:r>
        <w:rPr>
          <w:rFonts w:ascii="Calibri" w:hAnsi="Calibri" w:eastAsia="Calibri" w:cs="Calibri"/>
          <w:b w:val="0"/>
          <w:bCs w:val="0"/>
          <w:sz w:val="22"/>
          <w:szCs w:val="22"/>
          <w:highlight w:val="none"/>
          <w:lang w:val="en-US"/>
        </w:rPr>
        <w:tab/>
        <w:tab/>
        <w:tab/>
        <w:tab/>
        <w:tab/>
        <w:t xml:space="preserve">Dr. Pohl</w:t>
      </w:r>
      <w:r>
        <w:rPr>
          <w:rFonts w:ascii="Calibri" w:hAnsi="Calibri" w:eastAsia="Calibri" w:cs="Calibri"/>
          <w:b w:val="0"/>
          <w:bCs w:val="0"/>
          <w:sz w:val="22"/>
          <w:szCs w:val="22"/>
          <w:highlight w:val="none"/>
        </w:rPr>
      </w:r>
      <w:r>
        <w:rPr>
          <w:rFonts w:ascii="Calibri" w:hAnsi="Calibri" w:cs="Calibri"/>
          <w:b w:val="0"/>
          <w:bCs w:val="0"/>
          <w:sz w:val="22"/>
          <w:szCs w:val="22"/>
          <w:highlight w:val="none"/>
        </w:rPr>
      </w:r>
    </w:p>
    <w:p w14:paraId="32997070">
      <w:pPr>
        <w:pBdr/>
        <w:spacing w:line="358"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bidi="de-DE"/>
        </w:rPr>
        <w:t xml:space="preserve">Submission Deadline:</w:t>
        <w:tab/>
        <w:tab/>
        <w:tab/>
      </w:r>
      <w:r>
        <w:rPr>
          <w:rFonts w:ascii="Calibri" w:hAnsi="Calibri" w:eastAsia="Calibri" w:cs="Calibri"/>
          <w:b w:val="0"/>
          <w:bCs w:val="0"/>
          <w:sz w:val="22"/>
          <w:szCs w:val="22"/>
          <w:highlight w:val="none"/>
          <w:lang w:val="en-US" w:bidi="de-DE"/>
        </w:rPr>
        <w:t xml:space="preserve">12</w:t>
      </w:r>
      <w:r>
        <w:rPr>
          <w:rFonts w:ascii="Calibri" w:hAnsi="Calibri" w:eastAsia="Calibri" w:cs="Calibri"/>
          <w:b w:val="0"/>
          <w:bCs w:val="0"/>
          <w:sz w:val="22"/>
          <w:szCs w:val="22"/>
          <w:highlight w:val="none"/>
          <w:lang w:val="en-US" w:bidi="de-DE"/>
        </w:rPr>
        <w:t xml:space="preserve"> </w:t>
      </w:r>
      <w:r>
        <w:rPr>
          <w:rFonts w:ascii="Calibri" w:hAnsi="Calibri" w:eastAsia="Calibri" w:cs="Calibri"/>
          <w:b w:val="0"/>
          <w:bCs w:val="0"/>
          <w:sz w:val="22"/>
          <w:szCs w:val="22"/>
          <w:highlight w:val="none"/>
          <w:lang w:val="en-US" w:bidi="de-DE"/>
        </w:rPr>
        <w:t xml:space="preserve">March 2026</w:t>
      </w:r>
      <w:r>
        <w:rPr>
          <w:rFonts w:ascii="Calibri" w:hAnsi="Calibri" w:eastAsia="Calibri" w:cs="Calibri"/>
          <w:b w:val="0"/>
          <w:bCs w:val="0"/>
          <w:sz w:val="22"/>
          <w:szCs w:val="22"/>
          <w:highlight w:val="none"/>
        </w:rPr>
      </w:r>
      <w:r>
        <w:rPr>
          <w:rFonts w:ascii="Calibri" w:hAnsi="Calibri" w:cs="Calibri"/>
          <w:b w:val="0"/>
          <w:bCs w:val="0"/>
          <w:sz w:val="22"/>
          <w:szCs w:val="22"/>
          <w:highlight w:val="none"/>
        </w:rPr>
      </w:r>
    </w:p>
    <w:p w14:paraId="59208201">
      <w:pPr>
        <w:pBdr/>
        <w:spacing w:line="358" w:lineRule="auto"/>
        <w:ind/>
        <w:jc w:val="both"/>
        <w:rPr>
          <w:rFonts w:ascii="Calibri" w:hAnsi="Calibri" w:cs="Calibri"/>
          <w:sz w:val="22"/>
          <w:szCs w:val="22"/>
        </w:rPr>
      </w:pPr>
      <w:r>
        <w:rPr>
          <w:rFonts w:ascii="Calibri" w:hAnsi="Calibri" w:eastAsia="Calibri" w:cs="Calibri"/>
          <w:sz w:val="22"/>
          <w:szCs w:val="22"/>
          <w:lang w:val="en-US" w:bidi="en-US"/>
        </w:rPr>
      </w:r>
      <w:r>
        <w:rPr>
          <w:rFonts w:ascii="Calibri" w:hAnsi="Calibri" w:eastAsia="Calibri" w:cs="Calibri"/>
          <w:sz w:val="22"/>
          <w:szCs w:val="22"/>
        </w:rPr>
      </w:r>
      <w:r>
        <w:rPr>
          <w:rFonts w:ascii="Calibri" w:hAnsi="Calibri" w:cs="Calibri"/>
          <w:sz w:val="22"/>
          <w:szCs w:val="22"/>
        </w:rPr>
      </w:r>
    </w:p>
    <w:p w14:paraId="42D38775">
      <w:pPr>
        <w:pBdr/>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eastAsia="Calibri" w:cs="Calibri"/>
          <w:sz w:val="22"/>
          <w:szCs w:val="22"/>
          <w:highlight w:val="none"/>
        </w:rPr>
      </w:r>
      <w:r>
        <w:rPr>
          <w:rFonts w:ascii="Calibri" w:hAnsi="Calibri" w:cs="Calibri"/>
          <w:sz w:val="22"/>
          <w:szCs w:val="22"/>
          <w:highlight w:val="none"/>
        </w:rPr>
      </w:r>
    </w:p>
    <w:p w14:paraId="4108889E">
      <w:pPr>
        <w:pBdr/>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eastAsia="Calibri" w:cs="Calibri"/>
          <w:sz w:val="22"/>
          <w:szCs w:val="22"/>
          <w:highlight w:val="none"/>
        </w:rPr>
      </w:r>
      <w:r>
        <w:rPr>
          <w:rFonts w:ascii="Calibri" w:hAnsi="Calibri" w:cs="Calibri"/>
          <w:sz w:val="22"/>
          <w:szCs w:val="22"/>
          <w:highlight w:val="none"/>
        </w:rPr>
      </w:r>
    </w:p>
    <w:p w14:paraId="01982C76">
      <w:pPr>
        <w:pBdr/>
        <w:spacing w:line="358" w:lineRule="auto"/>
        <w:ind/>
        <w:jc w:val="both"/>
        <w:rPr>
          <w:rFonts w:ascii="Calibri" w:hAnsi="Calibri" w:cs="Calibri"/>
          <w:sz w:val="22"/>
          <w:szCs w:val="22"/>
          <w:highlight w:val="none"/>
        </w:rPr>
      </w:pPr>
      <w:r>
        <w:rPr>
          <w:rFonts w:ascii="Calibri" w:hAnsi="Calibri" w:eastAsia="Calibri" w:cs="Calibri"/>
          <w:sz w:val="22"/>
          <w:szCs w:val="22"/>
          <w:lang w:val="en-US" w:bidi="en-US"/>
        </w:rPr>
      </w:r>
      <w:r>
        <w:rPr>
          <w:rFonts w:ascii="Calibri" w:hAnsi="Calibri" w:eastAsia="Calibri" w:cs="Calibri"/>
          <w:sz w:val="22"/>
          <w:szCs w:val="22"/>
          <w:lang w:val="en-US"/>
        </w:rPr>
        <w:t xml:space="preserve">Table of contents:</w:t>
      </w:r>
      <w:r>
        <w:rPr>
          <w:rFonts w:ascii="Calibri" w:hAnsi="Calibri" w:eastAsia="Calibri" w:cs="Calibri"/>
          <w:sz w:val="22"/>
          <w:szCs w:val="22"/>
          <w:highlight w:val="none"/>
          <w:lang w:val="en-US"/>
        </w:rPr>
        <w:t xml:space="preserve"> </w:t>
      </w:r>
      <w:r>
        <w:rPr>
          <w:rFonts w:ascii="Calibri" w:hAnsi="Calibri" w:eastAsia="Calibri" w:cs="Calibri"/>
          <w:sz w:val="22"/>
          <w:szCs w:val="22"/>
          <w:highlight w:val="none"/>
        </w:rPr>
      </w:r>
      <w:r>
        <w:rPr>
          <w:rFonts w:ascii="Calibri" w:hAnsi="Calibri" w:cs="Calibri"/>
          <w:sz w:val="22"/>
          <w:szCs w:val="22"/>
          <w:highlight w:val="none"/>
        </w:rPr>
      </w:r>
    </w:p>
    <w:p w14:paraId="265E3EC0">
      <w:pPr>
        <w:pStyle w:val="1106"/>
        <w:numPr>
          <w:ilvl w:val="0"/>
          <w:numId w:val="4"/>
        </w:numPr>
        <w:pBdr/>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rPr>
        <w:t xml:space="preserve">Introduction</w:t>
      </w:r>
      <w:r>
        <w:rPr>
          <w:rFonts w:ascii="Calibri" w:hAnsi="Calibri" w:eastAsia="Calibri" w:cs="Calibri"/>
          <w:sz w:val="22"/>
          <w:szCs w:val="22"/>
          <w:highlight w:val="none"/>
        </w:rPr>
      </w:r>
      <w:r>
        <w:rPr>
          <w:rFonts w:ascii="Calibri" w:hAnsi="Calibri" w:cs="Calibri"/>
          <w:sz w:val="22"/>
          <w:szCs w:val="22"/>
          <w:highlight w:val="none"/>
        </w:rPr>
      </w:r>
    </w:p>
    <w:p w14:paraId="7FAF746A">
      <w:pPr>
        <w:pStyle w:val="1106"/>
        <w:numPr>
          <w:ilvl w:val="0"/>
          <w:numId w:val="4"/>
        </w:numPr>
        <w:pBdr/>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rPr>
        <w:t xml:space="preserve">Background: The Troubles</w:t>
      </w:r>
      <w:r>
        <w:rPr>
          <w:rFonts w:ascii="Calibri" w:hAnsi="Calibri" w:eastAsia="Calibri" w:cs="Calibri"/>
          <w:sz w:val="22"/>
          <w:szCs w:val="22"/>
          <w:highlight w:val="none"/>
        </w:rPr>
      </w:r>
      <w:r>
        <w:rPr>
          <w:rFonts w:ascii="Calibri" w:hAnsi="Calibri" w:cs="Calibri"/>
          <w:sz w:val="22"/>
          <w:szCs w:val="22"/>
          <w:highlight w:val="none"/>
        </w:rPr>
      </w:r>
    </w:p>
    <w:p w14:paraId="09313D27">
      <w:pPr>
        <w:pStyle w:val="1106"/>
        <w:numPr>
          <w:ilvl w:val="0"/>
          <w:numId w:val="4"/>
        </w:numPr>
        <w:pBdr/>
        <w:spacing w:line="358" w:lineRule="auto"/>
        <w:ind/>
        <w:jc w:val="both"/>
        <w:rPr>
          <w:rFonts w:ascii="Calibri" w:hAnsi="Calibri" w:eastAsia="Calibri" w:cs="Calibri"/>
          <w:sz w:val="22"/>
          <w:szCs w:val="22"/>
          <w:highlight w:val="none"/>
          <w:lang w:val="en-US"/>
        </w:rPr>
      </w:pPr>
      <w:r>
        <w:rPr>
          <w:rFonts w:ascii="Calibri" w:hAnsi="Calibri" w:eastAsia="Calibri" w:cs="Calibri"/>
          <w:sz w:val="22"/>
          <w:szCs w:val="22"/>
          <w:highlight w:val="none"/>
          <w:lang w:val="en-US"/>
        </w:rPr>
        <w:t xml:space="preserve">The Good Friday Agreement</w:t>
      </w:r>
      <w:r>
        <w:rPr>
          <w:rFonts w:ascii="Calibri" w:hAnsi="Calibri" w:cs="Calibri"/>
          <w:sz w:val="22"/>
          <w:szCs w:val="22"/>
          <w:highlight w:val="none"/>
        </w:rPr>
      </w:r>
    </w:p>
    <w:p w14:paraId="40B9689C">
      <w:pPr>
        <w:pStyle w:val="1106"/>
        <w:numPr>
          <w:ilvl w:val="0"/>
          <w:numId w:val="4"/>
        </w:numPr>
        <w:pBdr/>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rPr>
      </w:r>
      <w:r>
        <w:rPr>
          <w:rFonts w:ascii="Calibri" w:hAnsi="Calibri" w:eastAsia="Calibri" w:cs="Calibri"/>
          <w:sz w:val="22"/>
          <w:szCs w:val="22"/>
          <w:highlight w:val="none"/>
          <w:lang w:val="en-US"/>
        </w:rPr>
        <w:t xml:space="preserve">Evaluatio</w:t>
      </w:r>
      <w:r>
        <w:rPr>
          <w:rFonts w:ascii="Calibri" w:hAnsi="Calibri" w:eastAsia="Calibri" w:cs="Calibri"/>
          <w:sz w:val="22"/>
          <w:szCs w:val="22"/>
          <w:highlight w:val="none"/>
          <w:lang w:val="en-US"/>
        </w:rPr>
        <w:t xml:space="preserve">n</w:t>
      </w:r>
      <w:r>
        <w:rPr>
          <w:rFonts w:ascii="Calibri" w:hAnsi="Calibri" w:cs="Calibri"/>
          <w:sz w:val="22"/>
          <w:szCs w:val="22"/>
          <w:highlight w:val="none"/>
        </w:rPr>
      </w:r>
      <w:r/>
    </w:p>
    <w:p w14:paraId="6E177C0A">
      <w:pPr>
        <w:pBdr/>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rPr>
        <w:br w:type="page" w:clear="all"/>
      </w:r>
      <w:r>
        <w:rPr>
          <w:rFonts w:ascii="Calibri" w:hAnsi="Calibri" w:eastAsia="Calibri" w:cs="Calibri"/>
          <w:sz w:val="22"/>
          <w:szCs w:val="22"/>
          <w:highlight w:val="none"/>
        </w:rPr>
      </w:r>
      <w:r>
        <w:rPr>
          <w:rFonts w:ascii="Calibri" w:hAnsi="Calibri" w:cs="Calibri"/>
          <w:sz w:val="22"/>
          <w:szCs w:val="22"/>
          <w:highlight w:val="none"/>
        </w:rPr>
      </w:r>
    </w:p>
    <w:p w14:paraId="76197F2F">
      <w:pPr>
        <w:pStyle w:val="1064"/>
        <w:pBdr/>
        <w:spacing w:after="0"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rPr>
        <w:t xml:space="preserve">Introduction</w:t>
      </w:r>
      <w:r>
        <w:rPr>
          <w:rFonts w:ascii="Calibri" w:hAnsi="Calibri" w:eastAsia="Calibri" w:cs="Calibri"/>
          <w:sz w:val="22"/>
          <w:szCs w:val="22"/>
          <w:highlight w:val="none"/>
        </w:rPr>
      </w:r>
      <w:r>
        <w:rPr>
          <w:rFonts w:ascii="Calibri" w:hAnsi="Calibri" w:cs="Calibri"/>
          <w:sz w:val="22"/>
          <w:szCs w:val="22"/>
          <w:highlight w:val="none"/>
        </w:rPr>
      </w:r>
    </w:p>
    <w:p w14:paraId="7CF9C36E">
      <w:pPr>
        <w:pBdr/>
        <w:tabs>
          <w:tab w:val="left" w:leader="none" w:pos="2642"/>
        </w:tabs>
        <w:spacing w:line="358" w:lineRule="auto"/>
        <w:ind/>
        <w:jc w:val="both"/>
        <w:rPr>
          <w:rFonts w:ascii="Calibri" w:hAnsi="Calibri" w:cs="Calibri"/>
          <w:sz w:val="22"/>
          <w:szCs w:val="22"/>
        </w:rPr>
      </w:pPr>
      <w:r>
        <w:rPr>
          <w:rFonts w:ascii="Calibri" w:hAnsi="Calibri" w:eastAsia="Calibri" w:cs="Calibri"/>
          <w:sz w:val="22"/>
          <w:szCs w:val="22"/>
          <w:highlight w:val="none"/>
          <w:lang w:val="en-US" w:bidi="en-US"/>
        </w:rPr>
      </w:r>
      <w:r>
        <w:rPr>
          <w:rFonts w:ascii="Calibri" w:hAnsi="Calibri" w:eastAsia="Calibri" w:cs="Calibri"/>
          <w:sz w:val="22"/>
          <w:szCs w:val="22"/>
          <w:lang w:val="en-US"/>
        </w:rPr>
        <w:t xml:space="preserve">As a Topic for our Study the English-Irish Conflict was chosen. After </w:t>
      </w:r>
      <w:r>
        <w:rPr>
          <w:rFonts w:ascii="Calibri" w:hAnsi="Calibri" w:eastAsia="Calibri" w:cs="Calibri"/>
          <w:sz w:val="22"/>
          <w:szCs w:val="22"/>
          <w:lang w:val="en-US"/>
        </w:rPr>
        <w:t xml:space="preserve">obtaining a rough overview about the topic, the realization that we would never be able to cover the whole conflict came to us quickly. We instead decided to focus our investigation on the Good-Friday Agreement and the developments immediately prior to it.</w:t>
      </w:r>
      <w:r>
        <w:rPr>
          <w:rFonts w:ascii="Calibri" w:hAnsi="Calibri" w:eastAsia="Calibri" w:cs="Calibri"/>
          <w:sz w:val="22"/>
          <w:szCs w:val="22"/>
        </w:rPr>
      </w:r>
      <w:r>
        <w:rPr>
          <w:rFonts w:ascii="Calibri" w:hAnsi="Calibri" w:cs="Calibri"/>
          <w:sz w:val="22"/>
          <w:szCs w:val="22"/>
        </w:rPr>
      </w:r>
    </w:p>
    <w:p w14:paraId="71FE6036">
      <w:pPr>
        <w:pStyle w:val="1064"/>
        <w:pBdr/>
        <w:spacing w:after="0" w:line="358" w:lineRule="auto"/>
        <w:ind/>
        <w:jc w:val="both"/>
        <w:rPr>
          <w:rFonts w:ascii="Calibri" w:hAnsi="Calibri" w:cs="Calibri"/>
          <w:sz w:val="22"/>
          <w:szCs w:val="22"/>
        </w:rPr>
      </w:pPr>
      <w:r>
        <w:rPr>
          <w:rFonts w:ascii="Calibri" w:hAnsi="Calibri" w:eastAsia="Calibri" w:cs="Calibri"/>
          <w:sz w:val="22"/>
          <w:szCs w:val="22"/>
          <w:lang w:val="en-US"/>
        </w:rPr>
        <w:t xml:space="preserve">Origin of the Conflict
</w:t>
      </w:r>
      <w:r>
        <w:rPr>
          <w:rFonts w:ascii="Calibri" w:hAnsi="Calibri" w:eastAsia="Calibri" w:cs="Calibri"/>
          <w:sz w:val="22"/>
          <w:szCs w:val="22"/>
        </w:rPr>
      </w:r>
      <w:r>
        <w:rPr>
          <w:rFonts w:ascii="Calibri" w:hAnsi="Calibri" w:cs="Calibri"/>
          <w:sz w:val="22"/>
          <w:szCs w:val="22"/>
        </w:rPr>
      </w:r>
    </w:p>
    <w:p w14:paraId="475EE8D5">
      <w:pPr>
        <w:pBdr/>
        <w:spacing w:line="358" w:lineRule="auto"/>
        <w:ind/>
        <w:jc w:val="both"/>
        <w:rPr>
          <w:rFonts w:ascii="Calibri" w:hAnsi="Calibri" w:eastAsia="Calibri" w:cs="Calibri"/>
          <w:sz w:val="22"/>
          <w:szCs w:val="22"/>
        </w:rPr>
      </w:pPr>
      <w:r>
        <w:rPr>
          <w:rFonts w:ascii="Calibri" w:hAnsi="Calibri" w:eastAsia="Calibri" w:cs="Calibri"/>
          <w:sz w:val="22"/>
          <w:szCs w:val="22"/>
          <w:lang w:val="en-US"/>
        </w:rPr>
        <w:t xml:space="preserve">In 1921 the Isle of Ireland was split into two parts. The southern part, which formed the </w:t>
      </w:r>
      <w:r>
        <w:rPr>
          <w:rFonts w:ascii="Calibri" w:hAnsi="Calibri" w:eastAsia="Calibri" w:cs="Calibri"/>
          <w:sz w:val="22"/>
          <w:szCs w:val="22"/>
        </w:rPr>
        <w:t xml:space="preserve">independent ‘Republic of Ireland’, and the northern part which stayed part of the United Kingdom under the name ‘Northern Ireland’. From the beginning on, Northern Ireland wa</w:t>
      </w:r>
      <w:r>
        <w:rPr>
          <w:rFonts w:ascii="Calibri" w:hAnsi="Calibri" w:eastAsia="Calibri" w:cs="Calibri"/>
          <w:sz w:val="22"/>
          <w:szCs w:val="22"/>
        </w:rPr>
        <w:t xml:space="preserve">s inhabited by two different groups of people, Nationalists (mostly Catholics) and Unionists (mostly Protestants), with the Unionists advocating for staying a part of the United Kingdom, and the Nationalists for becoming a part of the Republic of Ireland</w:t>
      </w:r>
      <w:r>
        <w:rPr>
          <w:rStyle w:val="1087"/>
          <w:rFonts w:ascii="Calibri" w:hAnsi="Calibri" w:eastAsia="Calibri" w:cs="Calibri"/>
          <w:sz w:val="22"/>
          <w:szCs w:val="22"/>
        </w:rPr>
        <w:endnoteReference w:id="2"/>
      </w:r>
      <w:r>
        <w:rPr>
          <w:rFonts w:ascii="Calibri" w:hAnsi="Calibri" w:eastAsia="Calibri" w:cs="Calibri"/>
          <w:sz w:val="22"/>
          <w:szCs w:val="22"/>
        </w:rPr>
        <w:t xml:space="preserve">.</w:t>
      </w:r>
      <w:r>
        <w:rPr>
          <w:rFonts w:ascii="Calibri" w:hAnsi="Calibri" w:eastAsia="Calibri" w:cs="Calibri"/>
          <w:sz w:val="22"/>
          <w:szCs w:val="22"/>
        </w:rPr>
      </w:r>
      <w:r>
        <w:rPr>
          <w:rFonts w:ascii="Calibri" w:hAnsi="Calibri" w:eastAsia="Calibri" w:cs="Calibri"/>
          <w:sz w:val="22"/>
          <w:szCs w:val="22"/>
        </w:rPr>
      </w:r>
    </w:p>
    <w:p w14:paraId="2D3085D2">
      <w:pPr>
        <w:pBdr/>
        <w:spacing w:line="358" w:lineRule="auto"/>
        <w:ind/>
        <w:jc w:val="both"/>
        <w:rPr>
          <w:rFonts w:ascii="Calibri" w:hAnsi="Calibri" w:eastAsia="Calibri" w:cs="Calibri"/>
          <w:sz w:val="22"/>
          <w:szCs w:val="22"/>
        </w:rPr>
      </w:pPr>
      <w:r>
        <w:rPr>
          <w:rFonts w:ascii="Calibri" w:hAnsi="Calibri" w:eastAsia="Calibri" w:cs="Calibri"/>
          <w:sz w:val="22"/>
          <w:szCs w:val="22"/>
        </w:rPr>
      </w:r>
      <w:r>
        <w:rPr>
          <w:rFonts w:ascii="Calibri" w:hAnsi="Calibri" w:eastAsia="Calibri" w:cs="Calibri"/>
          <w:sz w:val="22"/>
          <w:szCs w:val="22"/>
        </w:rPr>
        <w:t xml:space="preserve">Because Northern Ireland was designed to have a</w:t>
      </w:r>
      <w:r>
        <w:rPr>
          <w:rFonts w:ascii="Calibri" w:hAnsi="Calibri" w:eastAsia="Calibri" w:cs="Calibri"/>
          <w:sz w:val="22"/>
          <w:szCs w:val="22"/>
        </w:rPr>
        <w:t xml:space="preserve"> permanent Unionist majority, the government system became heavily biased. For decades, the Catholic minority faced systemic discrimination in multiple areas, mainly in voting, housing and jobs. Many employers openly refused to hire Catholics</w:t>
      </w:r>
      <w:r>
        <w:rPr>
          <w:rStyle w:val="1087"/>
          <w:rFonts w:ascii="Calibri" w:hAnsi="Calibri" w:eastAsia="Calibri" w:cs="Calibri"/>
          <w:sz w:val="22"/>
          <w:szCs w:val="22"/>
        </w:rPr>
        <w:endnoteReference w:id="3"/>
      </w:r>
      <w:r>
        <w:rPr>
          <w:rFonts w:ascii="Calibri" w:hAnsi="Calibri" w:eastAsia="Calibri" w:cs="Calibri"/>
          <w:sz w:val="22"/>
          <w:szCs w:val="22"/>
        </w:rPr>
        <w:t xml:space="preserve">, leading to b</w:t>
      </w:r>
      <w:r>
        <w:rPr>
          <w:rFonts w:ascii="Calibri" w:hAnsi="Calibri" w:eastAsia="Calibri" w:cs="Calibri"/>
          <w:sz w:val="22"/>
          <w:szCs w:val="22"/>
        </w:rPr>
        <w:t xml:space="preserve">ig gap in wealth between the Nationalist and Unionist population. This poverty prevented many Catholics from owning houses, which was required to be eligible to vote in national elections, thus manipulating the election results in favor of the Unionists.</w:t>
      </w:r>
      <w:r>
        <w:rPr>
          <w:rFonts w:ascii="Calibri" w:hAnsi="Calibri" w:eastAsia="Calibri" w:cs="Calibri"/>
          <w:sz w:val="22"/>
          <w:szCs w:val="22"/>
        </w:rPr>
        <w:t xml:space="preserve"> </w:t>
      </w:r>
      <w:r>
        <w:rPr>
          <w:rFonts w:ascii="Calibri" w:hAnsi="Calibri" w:eastAsia="Calibri" w:cs="Calibri"/>
          <w:sz w:val="22"/>
          <w:szCs w:val="22"/>
        </w:rPr>
      </w:r>
      <w:r>
        <w:rPr>
          <w:rFonts w:ascii="Calibri" w:hAnsi="Calibri" w:eastAsia="Calibri" w:cs="Calibri"/>
          <w:sz w:val="22"/>
          <w:szCs w:val="22"/>
        </w:rPr>
      </w:r>
    </w:p>
    <w:p w14:paraId="6311297A">
      <w:pPr>
        <w:pBdr/>
        <w:spacing w:line="358" w:lineRule="auto"/>
        <w:ind/>
        <w:jc w:val="both"/>
        <w:rPr>
          <w:rFonts w:ascii="Calibri" w:hAnsi="Calibri" w:cs="Calibri"/>
          <w:sz w:val="22"/>
          <w:szCs w:val="22"/>
          <w:highlight w:val="none"/>
        </w:rPr>
      </w:pPr>
      <w:r>
        <w:rPr>
          <w:rFonts w:ascii="Calibri" w:hAnsi="Calibri" w:eastAsia="Calibri" w:cs="Calibri"/>
          <w:sz w:val="22"/>
          <w:szCs w:val="22"/>
          <w:highlight w:val="none"/>
        </w:rPr>
        <w:t xml:space="preserve">These circumstances eventually lead to the formation of the ‘Northern Ireland Civil Rights Association’ (NICRA) April 1967 in Belfast, an organization tha</w:t>
      </w:r>
      <w:r>
        <w:rPr>
          <w:rFonts w:ascii="Calibri" w:hAnsi="Calibri" w:eastAsia="Calibri" w:cs="Calibri"/>
          <w:sz w:val="22"/>
          <w:szCs w:val="22"/>
          <w:highlight w:val="none"/>
        </w:rPr>
        <w:t xml:space="preserve">t organized mostly peaceful protests, advocating for a new ‘One man, one vote’-law, meaning that everyone, not just property owners should be allowed to vote, and less discrimination across all areas. These mostly peaceful protests were met by disproportio</w:t>
      </w:r>
      <w:r>
        <w:rPr>
          <w:rFonts w:ascii="Calibri" w:hAnsi="Calibri" w:eastAsia="Calibri" w:cs="Calibri"/>
          <w:sz w:val="22"/>
          <w:szCs w:val="22"/>
          <w:highlight w:val="none"/>
        </w:rPr>
        <w:t xml:space="preserve">n</w:t>
      </w:r>
      <w:r>
        <w:rPr>
          <w:rFonts w:ascii="Calibri" w:hAnsi="Calibri" w:eastAsia="Calibri" w:cs="Calibri"/>
          <w:sz w:val="22"/>
          <w:szCs w:val="22"/>
          <w:highlight w:val="none"/>
        </w:rPr>
        <w:t xml:space="preserve">ate police violence. This lead to the peaceful protests quickly spiraling into more violent street battles, eventually resulting in the famous armed conflict between the British army and paramilitary groups, such as the IRA, commonly called ‘The Troubles’.</w:t>
      </w:r>
      <w:r>
        <w:rPr>
          <w:rFonts w:ascii="Calibri" w:hAnsi="Calibri" w:eastAsia="Calibri" w:cs="Calibri"/>
          <w:sz w:val="22"/>
          <w:szCs w:val="22"/>
          <w:highlight w:val="none"/>
        </w:rPr>
      </w:r>
      <w:r>
        <w:rPr>
          <w:rFonts w:ascii="Calibri" w:hAnsi="Calibri" w:cs="Calibri"/>
          <w:sz w:val="22"/>
          <w:szCs w:val="22"/>
          <w:highlight w:val="none"/>
        </w:rPr>
      </w:r>
    </w:p>
    <w:p w14:paraId="4BC4562C">
      <w:pPr>
        <w:pBdr/>
        <w:spacing w:line="358" w:lineRule="auto"/>
        <w:ind/>
        <w:jc w:val="both"/>
        <w:rPr>
          <w:rFonts w:ascii="Calibri" w:hAnsi="Calibri" w:cs="Calibri"/>
          <w:sz w:val="22"/>
          <w:szCs w:val="22"/>
        </w:rPr>
      </w:pPr>
      <w:r>
        <w:rPr>
          <w:rFonts w:ascii="Calibri" w:hAnsi="Calibri" w:eastAsia="Calibri" w:cs="Calibri"/>
          <w:sz w:val="22"/>
          <w:szCs w:val="22"/>
        </w:rPr>
        <w:t xml:space="preserve">This conflict was eventually ended by an agreement referred to as the ‘Good Friday Agreement’ or ‘Belfast Agreement’, signed on April 10, 1998.</w:t>
      </w:r>
      <w:r>
        <w:rPr>
          <w:rFonts w:ascii="Calibri" w:hAnsi="Calibri" w:eastAsia="Calibri" w:cs="Calibri"/>
          <w:sz w:val="22"/>
          <w:szCs w:val="22"/>
        </w:rPr>
      </w:r>
      <w:r>
        <w:rPr>
          <w:rFonts w:ascii="Calibri" w:hAnsi="Calibri" w:cs="Calibri"/>
          <w:sz w:val="22"/>
          <w:szCs w:val="22"/>
        </w:rPr>
      </w:r>
    </w:p>
    <w:p w14:paraId="29AAC010">
      <w:pPr>
        <w:pStyle w:val="1064"/>
        <w:pBdr/>
        <w:spacing w:after="0" w:line="358" w:lineRule="auto"/>
        <w:ind/>
        <w:rPr>
          <w:rFonts w:ascii="Calibri" w:hAnsi="Calibri" w:cs="Calibri"/>
          <w:sz w:val="22"/>
          <w:szCs w:val="22"/>
        </w:rPr>
      </w:pPr>
      <w:r>
        <w:rPr>
          <w:rFonts w:ascii="Calibri" w:hAnsi="Calibri" w:eastAsia="Calibri" w:cs="Calibri"/>
          <w:sz w:val="22"/>
          <w:szCs w:val="22"/>
        </w:rPr>
        <w:t xml:space="preserve">Scope of the study </w:t>
      </w:r>
      <w:r>
        <w:rPr>
          <w:rFonts w:ascii="Calibri" w:hAnsi="Calibri" w:eastAsia="Calibri" w:cs="Calibri"/>
          <w:sz w:val="22"/>
          <w:szCs w:val="22"/>
        </w:rPr>
      </w:r>
      <w:r>
        <w:rPr>
          <w:rFonts w:ascii="Calibri" w:hAnsi="Calibri" w:cs="Calibri"/>
          <w:sz w:val="22"/>
          <w:szCs w:val="22"/>
        </w:rPr>
      </w:r>
    </w:p>
    <w:p w14:paraId="306C13FF">
      <w:pPr>
        <w:pBdr/>
        <w:tabs>
          <w:tab w:val="left" w:leader="none" w:pos="5830"/>
        </w:tabs>
        <w:spacing w:line="358" w:lineRule="auto"/>
        <w:ind/>
        <w:jc w:val="both"/>
        <w:rPr>
          <w:rFonts w:ascii="Calibri" w:hAnsi="Calibri" w:cs="Calibri"/>
          <w:sz w:val="22"/>
          <w:szCs w:val="22"/>
        </w:rPr>
      </w:pPr>
      <w:r>
        <w:rPr>
          <w:rFonts w:ascii="Calibri" w:hAnsi="Calibri" w:eastAsia="Calibri" w:cs="Calibri"/>
          <w:sz w:val="22"/>
          <w:szCs w:val="22"/>
          <w:highlight w:val="none"/>
          <w:lang w:val="en-US" w:bidi="en-US"/>
        </w:rPr>
      </w:r>
      <w:r>
        <w:rPr>
          <w:rFonts w:ascii="Calibri" w:hAnsi="Calibri" w:eastAsia="Calibri" w:cs="Calibri"/>
          <w:sz w:val="22"/>
          <w:szCs w:val="22"/>
          <w:lang w:val="en-US"/>
        </w:rPr>
        <w:t xml:space="preserve">T</w:t>
      </w:r>
      <w:r>
        <w:rPr>
          <w:rFonts w:ascii="Calibri" w:hAnsi="Calibri" w:eastAsia="Calibri" w:cs="Calibri"/>
          <w:sz w:val="22"/>
          <w:szCs w:val="22"/>
          <w:lang w:val="en-US"/>
        </w:rPr>
        <w:t xml:space="preserve">he central research interest of this study lies in deter</w:t>
      </w:r>
      <w:r>
        <w:rPr>
          <w:rFonts w:ascii="Calibri" w:hAnsi="Calibri" w:eastAsia="Calibri" w:cs="Calibri"/>
          <w:sz w:val="22"/>
          <w:szCs w:val="22"/>
          <w:lang w:val="en-US"/>
        </w:rPr>
        <w:t xml:space="preserve">mi</w:t>
      </w:r>
      <w:r>
        <w:rPr>
          <w:rFonts w:ascii="Calibri" w:hAnsi="Calibri" w:eastAsia="Calibri" w:cs="Calibri"/>
          <w:sz w:val="22"/>
          <w:szCs w:val="22"/>
          <w:lang w:val="en-US"/>
        </w:rPr>
        <w:t xml:space="preserve">ning whether the Good Friday Agreement represents a lasting peace or merely a temporary solution. In line with this interest, the leading question ‘The Good Friday Agreement – sustainable peace or temporary solution?’ was chosen. </w:t>
      </w:r>
      <w:r>
        <w:rPr>
          <w:rFonts w:ascii="Calibri" w:hAnsi="Calibri" w:eastAsia="Calibri" w:cs="Calibri"/>
          <w:sz w:val="22"/>
          <w:szCs w:val="22"/>
        </w:rPr>
      </w:r>
      <w:r>
        <w:rPr>
          <w:rFonts w:ascii="Calibri" w:hAnsi="Calibri" w:cs="Calibri"/>
          <w:sz w:val="22"/>
          <w:szCs w:val="22"/>
        </w:rPr>
      </w:r>
    </w:p>
    <w:p w14:paraId="7216BC98">
      <w:pPr>
        <w:pBdr/>
        <w:tabs>
          <w:tab w:val="left" w:leader="none" w:pos="5830"/>
        </w:tabs>
        <w:spacing w:line="358" w:lineRule="auto"/>
        <w:ind/>
        <w:jc w:val="both"/>
        <w:rPr>
          <w:rFonts w:ascii="Calibri" w:hAnsi="Calibri" w:cs="Calibri"/>
          <w:sz w:val="22"/>
          <w:szCs w:val="22"/>
          <w:highlight w:val="none"/>
        </w:rPr>
      </w:pPr>
      <w:r>
        <w:rPr>
          <w:rFonts w:ascii="Calibri" w:hAnsi="Calibri" w:eastAsia="Calibri" w:cs="Calibri"/>
          <w:sz w:val="22"/>
          <w:szCs w:val="22"/>
          <w:lang w:val="en-US"/>
        </w:rPr>
        <w:t xml:space="preserve">In order to maintain a strict historical focus and meet the requirements of a 5.PK-</w:t>
      </w:r>
      <w:r>
        <w:rPr>
          <w:rFonts w:ascii="Calibri" w:hAnsi="Calibri" w:eastAsia="Calibri" w:cs="Calibri"/>
          <w:sz w:val="22"/>
          <w:szCs w:val="22"/>
          <w:lang w:val="en-US"/>
        </w:rPr>
        <w:t xml:space="preserve">presentation, the main topic is strictly limited to developments immediately prior to the 1998 agreement, with the historical background of the ‘Troubles’ serving as necessary background informa</w:t>
      </w:r>
      <w:r>
        <w:rPr>
          <w:rFonts w:ascii="Calibri" w:hAnsi="Calibri" w:eastAsia="Calibri" w:cs="Calibri"/>
          <w:sz w:val="22"/>
          <w:szCs w:val="22"/>
          <w:lang w:val="en-US"/>
        </w:rPr>
        <w:t xml:space="preserve">tion. This specific focus was chosen to cover the most controversial turning point of the English-Irish Conflict, while not facilitation the problem of possible justification of politically motivated violence. Developments after the signing are used exclus</w:t>
      </w:r>
      <w:r>
        <w:rPr>
          <w:rFonts w:ascii="Calibri" w:hAnsi="Calibri" w:eastAsia="Calibri" w:cs="Calibri"/>
          <w:sz w:val="22"/>
          <w:szCs w:val="22"/>
          <w:lang w:val="en-US"/>
        </w:rPr>
        <w:t xml:space="preserve">i</w:t>
      </w:r>
      <w:r>
        <w:rPr>
          <w:rFonts w:ascii="Calibri" w:hAnsi="Calibri" w:eastAsia="Calibri" w:cs="Calibri"/>
          <w:sz w:val="22"/>
          <w:szCs w:val="22"/>
          <w:lang w:val="en-US"/>
        </w:rPr>
        <w:t xml:space="preserve">vely to test the existing thesis, ensuring that the analysis (AFB II) focuses on the structural integrity of the agreement itself and does not drift off into political commentary. This ensures that the study is able to meet standards of all of the requir</w:t>
      </w:r>
      <w:r>
        <w:rPr>
          <w:rFonts w:ascii="Calibri" w:hAnsi="Calibri" w:eastAsia="Calibri" w:cs="Calibri"/>
          <w:sz w:val="22"/>
          <w:szCs w:val="22"/>
          <w:lang w:val="en-US"/>
        </w:rPr>
        <w:t xml:space="preserve">ement areas by avoiding a simple timeline/list of historical events and instead focusing on a criteria-oriented analysis of the historical turning</w:t>
      </w:r>
      <w:r>
        <w:rPr>
          <w:rFonts w:ascii="Calibri" w:hAnsi="Calibri" w:eastAsia="Calibri" w:cs="Calibri"/>
          <w:sz w:val="22"/>
          <w:szCs w:val="22"/>
          <w:lang w:val="en-US"/>
        </w:rPr>
        <w:t xml:space="preserve"> </w:t>
      </w:r>
      <w:r>
        <w:rPr>
          <w:rFonts w:ascii="Calibri" w:hAnsi="Calibri" w:eastAsia="Calibri" w:cs="Calibri"/>
          <w:sz w:val="22"/>
          <w:szCs w:val="22"/>
          <w:lang w:val="en-US"/>
        </w:rPr>
        <w:t xml:space="preserve">point.</w:t>
      </w:r>
      <w:r>
        <w:rPr>
          <w:rFonts w:ascii="Calibri" w:hAnsi="Calibri" w:eastAsia="Calibri" w:cs="Calibri"/>
          <w:sz w:val="22"/>
          <w:szCs w:val="22"/>
          <w:lang w:val="en-US"/>
        </w:rPr>
        <w:t xml:space="preserve"> </w:t>
      </w:r>
      <w:r>
        <w:rPr>
          <w:rFonts w:ascii="Calibri" w:hAnsi="Calibri" w:eastAsia="Calibri" w:cs="Calibri"/>
          <w:sz w:val="22"/>
          <w:szCs w:val="22"/>
          <w:highlight w:val="none"/>
        </w:rPr>
      </w:r>
      <w:r>
        <w:rPr>
          <w:rFonts w:ascii="Calibri" w:hAnsi="Calibri" w:cs="Calibri"/>
          <w:sz w:val="22"/>
          <w:szCs w:val="22"/>
          <w:highlight w:val="none"/>
        </w:rPr>
      </w:r>
    </w:p>
    <w:p w14:paraId="1786C9F9">
      <w:pPr>
        <w:pStyle w:val="1064"/>
        <w:pBdr/>
        <w:spacing w:after="0" w:line="358" w:lineRule="auto"/>
        <w:ind/>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eastAsia="Calibri" w:cs="Calibri"/>
          <w:sz w:val="22"/>
          <w:szCs w:val="22"/>
          <w:highlight w:val="none"/>
          <w:lang w:val="en-US"/>
        </w:rPr>
        <w:t xml:space="preserve">Approach of the Study</w:t>
      </w:r>
      <w:r>
        <w:rPr>
          <w:rFonts w:ascii="Calibri" w:hAnsi="Calibri" w:eastAsia="Calibri" w:cs="Calibri"/>
          <w:sz w:val="22"/>
          <w:szCs w:val="22"/>
          <w:highlight w:val="none"/>
        </w:rPr>
      </w:r>
      <w:r>
        <w:rPr>
          <w:rFonts w:ascii="Calibri" w:hAnsi="Calibri" w:cs="Calibri"/>
          <w:sz w:val="22"/>
          <w:szCs w:val="22"/>
          <w:highlight w:val="none"/>
        </w:rPr>
      </w:r>
    </w:p>
    <w:p w14:paraId="5F6CA52D">
      <w:pPr>
        <w:pBdr/>
        <w:shd w:val="clear" w:color="ffffff" w:themeColor="background1" w:fill="ffffff" w:themeFill="background1"/>
        <w:tabs>
          <w:tab w:val="left" w:leader="none" w:pos="5830"/>
        </w:tabs>
        <w:spacing w:line="358" w:lineRule="auto"/>
        <w:ind/>
        <w:jc w:val="both"/>
        <w:rPr>
          <w:rFonts w:ascii="Calibri" w:hAnsi="Calibri" w:eastAsia="Calibri" w:cs="Calibri"/>
          <w:sz w:val="22"/>
          <w:szCs w:val="22"/>
          <w:highlight w:val="none"/>
          <w:lang w:val="en-US"/>
        </w:rPr>
      </w:pPr>
      <w:r>
        <w:rPr>
          <w:rFonts w:ascii="Calibri" w:hAnsi="Calibri" w:eastAsia="Calibri" w:cs="Calibri"/>
          <w:sz w:val="22"/>
          <w:szCs w:val="22"/>
          <w:highlight w:val="none"/>
          <w:lang w:val="en-US" w:bidi="en-US"/>
        </w:rPr>
      </w:r>
      <w:r>
        <w:rPr>
          <w:rFonts w:ascii="Calibri" w:hAnsi="Calibri" w:eastAsia="Calibri" w:cs="Calibri"/>
          <w:sz w:val="22"/>
          <w:szCs w:val="22"/>
          <w:highlight w:val="none"/>
          <w:lang w:val="en-US" w:bidi="en-IE"/>
        </w:rPr>
        <w:t xml:space="preserve">The study uses a multi-perspective approach by examining the conflict from both a historical and social standpoint. This results in the analysis of the primary tension during the negotiation process: the urgent need to end immediate violence versus</w:t>
      </w:r>
      <w:r>
        <w:rPr>
          <w:rFonts w:ascii="Calibri" w:hAnsi="Calibri" w:eastAsia="Calibri" w:cs="Calibri"/>
          <w:sz w:val="22"/>
          <w:szCs w:val="22"/>
          <w:highlight w:val="none"/>
          <w:lang w:val="en-US" w:bidi="en-IE"/>
        </w:rPr>
        <w:t xml:space="preserve"> </w:t>
      </w:r>
      <w:r>
        <w:rPr>
          <w:rFonts w:ascii="Calibri" w:hAnsi="Calibri" w:eastAsia="Calibri" w:cs="Calibri"/>
          <w:sz w:val="22"/>
          <w:szCs w:val="22"/>
          <w:highlight w:val="none"/>
          <w:lang w:val="en-US" w:bidi="en-IE"/>
        </w:rPr>
        <w:t xml:space="preserve">the resulting compromise of long-term social and political stability. By focusing on not only one one, but both of these categories, the study explores why the agreement successfully halted military aggression but failed to resolve the deep-seated social c</w:t>
      </w:r>
      <w:r>
        <w:rPr>
          <w:rFonts w:ascii="Calibri" w:hAnsi="Calibri" w:eastAsia="Calibri" w:cs="Calibri"/>
          <w:sz w:val="22"/>
          <w:szCs w:val="22"/>
          <w:highlight w:val="none"/>
          <w:lang w:val="en-US" w:bidi="en-IE"/>
        </w:rPr>
        <w:t xml:space="preserve">onflict and distrust between the Irish and English populations. This multi-layered analysis is essential for reaching a differentiated evaluation that moves beyond a linear reproduction of facts.</w:t>
      </w:r>
      <w:r>
        <w:rPr>
          <w:rFonts w:ascii="Calibri" w:hAnsi="Calibri" w:cs="Calibri"/>
          <w:sz w:val="22"/>
          <w:szCs w:val="22"/>
          <w:highlight w:val="none"/>
        </w:rPr>
      </w:r>
      <w:r>
        <w:rPr>
          <w:rFonts w:ascii="Calibri" w:hAnsi="Calibri" w:eastAsia="Calibri" w:cs="Calibri"/>
          <w:sz w:val="22"/>
          <w:szCs w:val="22"/>
          <w:highlight w:val="none"/>
          <w:lang w:val="en-US"/>
        </w:rPr>
      </w:r>
    </w:p>
    <w:p w14:paraId="44F8E26C">
      <w:pPr>
        <w:pStyle w:val="1064"/>
        <w:pBdr/>
        <w:spacing w:after="0" w:line="358" w:lineRule="auto"/>
        <w:ind/>
        <w:rPr>
          <w:rFonts w:ascii="Calibri" w:hAnsi="Calibri" w:cs="Calibri"/>
          <w:sz w:val="22"/>
          <w:szCs w:val="22"/>
          <w:highlight w:val="none"/>
        </w:rPr>
      </w:pPr>
      <w:r>
        <w:rPr>
          <w:rFonts w:ascii="Calibri" w:hAnsi="Calibri" w:eastAsia="Calibri" w:cs="Calibri"/>
          <w:sz w:val="22"/>
          <w:szCs w:val="22"/>
          <w:highlight w:val="none"/>
          <w:lang w:val="en-US"/>
        </w:rPr>
        <w:t xml:space="preserve">Selection of the Reference Subject</w:t>
      </w:r>
      <w:r>
        <w:rPr>
          <w:rFonts w:ascii="Calibri" w:hAnsi="Calibri" w:eastAsia="Calibri" w:cs="Calibri"/>
          <w:sz w:val="22"/>
          <w:szCs w:val="22"/>
          <w:highlight w:val="none"/>
          <w:lang w:val="en-US"/>
        </w:rPr>
      </w:r>
      <w:r>
        <w:rPr>
          <w:rFonts w:ascii="Calibri" w:hAnsi="Calibri" w:cs="Calibri"/>
          <w:sz w:val="22"/>
          <w:szCs w:val="22"/>
          <w:highlight w:val="none"/>
        </w:rPr>
      </w:r>
    </w:p>
    <w:p w14:paraId="622842C6">
      <w:pPr>
        <w:pBdr/>
        <w:shd w:val="clear" w:color="ffffff" w:themeColor="background1" w:fill="ffffff" w:themeFill="background1"/>
        <w:tabs>
          <w:tab w:val="left" w:leader="none" w:pos="5830"/>
        </w:tabs>
        <w:spacing w:line="358" w:lineRule="auto"/>
        <w:ind/>
        <w:jc w:val="both"/>
        <w:rPr>
          <w:rFonts w:ascii="Calibri" w:hAnsi="Calibri" w:eastAsia="Calibri" w:cs="Calibri"/>
          <w:sz w:val="22"/>
          <w:szCs w:val="22"/>
          <w:highlight w:val="none"/>
          <w:lang w:val="en-US"/>
        </w:rPr>
      </w:pPr>
      <w:r>
        <w:rPr>
          <w:rFonts w:ascii="Calibri" w:hAnsi="Calibri" w:eastAsia="Calibri" w:cs="Calibri"/>
          <w:sz w:val="22"/>
          <w:szCs w:val="22"/>
          <w:highlight w:val="none"/>
          <w:lang w:val="en-US" w:bidi="en-IE"/>
        </w:rPr>
        <w:t xml:space="preserve">T</w:t>
      </w:r>
      <w:r>
        <w:rPr>
          <w:rFonts w:ascii="Calibri" w:hAnsi="Calibri" w:eastAsia="Calibri" w:cs="Calibri"/>
          <w:sz w:val="22"/>
          <w:szCs w:val="22"/>
          <w:highlight w:val="none"/>
          <w:lang w:val="en-US" w:bidi="en-IE"/>
        </w:rPr>
        <w:t xml:space="preserve">he selection of English as a reference subject was an easy decision, as it enables the direct examination of primary sources and historical documents in their original language. Working in English prevents the loss of information that can occur in translat</w:t>
      </w:r>
      <w:r>
        <w:rPr>
          <w:rFonts w:ascii="Calibri" w:hAnsi="Calibri" w:eastAsia="Calibri" w:cs="Calibri"/>
          <w:sz w:val="22"/>
          <w:szCs w:val="22"/>
          <w:highlight w:val="none"/>
          <w:lang w:val="en-US" w:bidi="en-IE"/>
        </w:rPr>
        <w:t xml:space="preserve">ion and allows access to a wider range of source material, including specialized scientific analyses, press reports and interviews that may not be available in other languages. </w:t>
      </w:r>
      <w:r>
        <w:rPr>
          <w:rFonts w:ascii="Calibri" w:hAnsi="Calibri" w:eastAsia="Calibri" w:cs="Calibri"/>
          <w:sz w:val="22"/>
          <w:szCs w:val="22"/>
          <w:highlight w:val="none"/>
          <w:lang w:val="en-US" w:bidi="en-IE"/>
        </w:rPr>
        <w:t xml:space="preserve">T</w:t>
      </w:r>
      <w:r>
        <w:rPr>
          <w:rFonts w:ascii="Calibri" w:hAnsi="Calibri" w:eastAsia="Calibri" w:cs="Calibri"/>
          <w:sz w:val="22"/>
          <w:szCs w:val="22"/>
          <w:highlight w:val="none"/>
          <w:lang w:val="en-US" w:bidi="en-IE"/>
        </w:rPr>
        <w:t xml:space="preserve">he selection of English also allows for precise linguistic analysis of the specific wording of the agreement, as well as the reactions of key stakeholders, which is essential for understanding how negotiation tactics like 'constructive ambiguity' were used</w:t>
      </w:r>
      <w:r>
        <w:rPr>
          <w:rFonts w:ascii="Calibri" w:hAnsi="Calibri" w:eastAsia="Calibri" w:cs="Calibri"/>
          <w:sz w:val="22"/>
          <w:szCs w:val="22"/>
          <w:highlight w:val="none"/>
          <w:lang w:val="en-US" w:bidi="en-IE"/>
        </w:rPr>
        <w:t xml:space="preserve"> to achieve an agreement between opposing groups of people with fundamentally different interests and perspectives. </w:t>
      </w:r>
      <w:r>
        <w:rPr>
          <w:rFonts w:ascii="Calibri" w:hAnsi="Calibri" w:cs="Calibri"/>
          <w:sz w:val="22"/>
          <w:szCs w:val="22"/>
          <w:highlight w:val="none"/>
        </w:rPr>
      </w:r>
      <w:r>
        <w:rPr>
          <w:rFonts w:ascii="Calibri" w:hAnsi="Calibri" w:eastAsia="Calibri" w:cs="Calibri"/>
          <w:sz w:val="22"/>
          <w:szCs w:val="22"/>
          <w:highlight w:val="none"/>
          <w:lang w:val="en-US"/>
        </w:rPr>
      </w:r>
    </w:p>
    <w:p w14:paraId="2D832FF7">
      <w:pPr>
        <w:pStyle w:val="1064"/>
        <w:pBdr/>
        <w:spacing w:after="0" w:line="358" w:lineRule="auto"/>
        <w:ind/>
        <w:rPr>
          <w:rFonts w:ascii="Calibri" w:hAnsi="Calibri" w:cs="Calibri"/>
          <w:sz w:val="22"/>
          <w:szCs w:val="22"/>
          <w:highlight w:val="none"/>
        </w:rPr>
      </w:pPr>
      <w:r>
        <w:rPr>
          <w:rFonts w:ascii="Calibri" w:hAnsi="Calibri" w:eastAsia="Calibri" w:cs="Calibri"/>
          <w:sz w:val="22"/>
          <w:szCs w:val="22"/>
          <w:highlight w:val="none"/>
          <w:lang w:val="en-US"/>
        </w:rPr>
        <w:t xml:space="preserve">Main Arguments</w:t>
      </w:r>
      <w:r>
        <w:rPr>
          <w:rFonts w:ascii="Calibri" w:hAnsi="Calibri" w:eastAsia="Calibri" w:cs="Calibri"/>
          <w:sz w:val="22"/>
          <w:szCs w:val="22"/>
          <w:highlight w:val="none"/>
          <w:lang w:val="en-US"/>
        </w:rPr>
      </w:r>
      <w:r>
        <w:rPr>
          <w:rFonts w:ascii="Calibri" w:hAnsi="Calibri" w:cs="Calibri"/>
          <w:sz w:val="22"/>
          <w:szCs w:val="22"/>
          <w:highlight w:val="none"/>
        </w:rPr>
      </w:r>
    </w:p>
    <w:p w14:paraId="22EFEE19">
      <w:pPr>
        <w:pBdr/>
        <w:shd w:val="clear" w:color="ffffff" w:themeColor="background1" w:fill="ffffff" w:themeFill="background1"/>
        <w:tabs>
          <w:tab w:val="left" w:leader="none" w:pos="1292"/>
          <w:tab w:val="left" w:leader="none" w:pos="5830"/>
        </w:tabs>
        <w:spacing w:line="358" w:lineRule="auto"/>
        <w:ind/>
        <w:jc w:val="both"/>
        <w:rPr>
          <w:rFonts w:ascii="Calibri" w:hAnsi="Calibri" w:eastAsia="Calibri" w:cs="Calibri"/>
          <w:sz w:val="22"/>
          <w:szCs w:val="22"/>
          <w:highlight w:val="none"/>
          <w:lang w:val="en-US" w:bidi="en-IE"/>
        </w:rPr>
      </w:pPr>
      <w:r>
        <w:rPr>
          <w:rFonts w:ascii="Calibri" w:hAnsi="Calibri" w:eastAsia="Calibri" w:cs="Calibri"/>
          <w:sz w:val="22"/>
          <w:szCs w:val="22"/>
          <w:highlight w:val="none"/>
          <w:lang w:val="en-US" w:bidi="en-IE"/>
        </w:rPr>
        <w:t xml:space="preserve">After thoroughly analyzing both the agreement as well as the reactions, we settled on four main arguments. </w:t>
      </w:r>
      <w:r>
        <w:rPr>
          <w:rFonts w:ascii="Calibri" w:hAnsi="Calibri" w:eastAsia="Calibri" w:cs="Calibri"/>
          <w:sz w:val="22"/>
          <w:szCs w:val="22"/>
          <w:highlight w:val="none"/>
          <w:lang w:val="en-US" w:bidi="en-IE"/>
        </w:rPr>
      </w:r>
      <w:r>
        <w:rPr>
          <w:rFonts w:ascii="Calibri" w:hAnsi="Calibri" w:eastAsia="Calibri" w:cs="Calibri"/>
          <w:sz w:val="22"/>
          <w:szCs w:val="22"/>
          <w:highlight w:val="none"/>
          <w:lang w:val="en-US" w:bidi="en-IE"/>
        </w:rPr>
        <w:tab/>
      </w:r>
      <w:r>
        <w:rPr>
          <w:rFonts w:ascii="Calibri" w:hAnsi="Calibri" w:eastAsia="Calibri" w:cs="Calibri"/>
          <w:sz w:val="22"/>
          <w:szCs w:val="22"/>
          <w:highlight w:val="none"/>
          <w:lang w:val="en-US" w:bidi="en-IE"/>
        </w:rPr>
      </w:r>
    </w:p>
    <w:p w14:paraId="5827DCF1">
      <w:pPr>
        <w:pBdr/>
        <w:shd w:val="clear" w:color="ffffff" w:themeColor="background1" w:fill="ffffff" w:themeFill="background1"/>
        <w:tabs>
          <w:tab w:val="left" w:leader="none" w:pos="5830"/>
        </w:tabs>
        <w:spacing w:line="358" w:lineRule="auto"/>
        <w:ind/>
        <w:jc w:val="both"/>
        <w:rPr>
          <w:rFonts w:ascii="Calibri" w:hAnsi="Calibri" w:eastAsia="Calibri" w:cs="Calibri"/>
          <w:sz w:val="22"/>
          <w:szCs w:val="22"/>
          <w:highlight w:val="none"/>
          <w:lang w:val="en-US" w:bidi="en-IE"/>
        </w:rPr>
      </w:pPr>
      <w:r>
        <w:rPr>
          <w:rFonts w:ascii="Calibri" w:hAnsi="Calibri" w:eastAsia="Calibri" w:cs="Calibri"/>
          <w:sz w:val="22"/>
          <w:szCs w:val="22"/>
          <w:highlight w:val="none"/>
          <w:lang w:val="en-US" w:bidi="en-IE"/>
        </w:rPr>
        <w:t xml:space="preserve">Our first argument, advocating for the side of a sustainable peace is that </w:t>
      </w:r>
      <w:r>
        <w:rPr>
          <w:rFonts w:ascii="Calibri" w:hAnsi="Calibri" w:eastAsia="Calibri" w:cs="Calibri"/>
          <w:sz w:val="22"/>
          <w:szCs w:val="22"/>
          <w:highlight w:val="none"/>
          <w:lang w:val="en-US" w:bidi="en-IE"/>
        </w:rPr>
        <w:t xml:space="preserve">violent paramilitary organizations such as the IRA were effectively dismantled after the agreement</w:t>
      </w:r>
      <w:r>
        <w:rPr>
          <w:rFonts w:ascii="Calibri" w:hAnsi="Calibri" w:eastAsia="Calibri" w:cs="Calibri"/>
          <w:sz w:val="22"/>
          <w:szCs w:val="22"/>
          <w:highlight w:val="none"/>
          <w:lang w:val="en-US" w:bidi="en-IE"/>
        </w:rPr>
        <w:t xml:space="preserve">, allowing the violence that took place during the ‘Troubles’ to finally come to an end. This happened roughly seven years after the agreement in July 2005, suggesting that the region was finally ready to move on from violent conflicts</w:t>
      </w:r>
      <w:r>
        <w:rPr>
          <w:rStyle w:val="1087"/>
          <w:rFonts w:ascii="Calibri" w:hAnsi="Calibri" w:eastAsia="Calibri" w:cs="Calibri"/>
          <w:sz w:val="22"/>
          <w:szCs w:val="22"/>
          <w:highlight w:val="none"/>
          <w:lang w:val="en-US" w:bidi="en-IE"/>
        </w:rPr>
        <w:endnoteReference w:id="4"/>
      </w:r>
      <w:r>
        <w:rPr>
          <w:rStyle w:val="1084"/>
          <w:rFonts w:ascii="Calibri" w:hAnsi="Calibri" w:eastAsia="Calibri" w:cs="Calibri"/>
          <w:sz w:val="22"/>
          <w:szCs w:val="22"/>
          <w:highlight w:val="none"/>
          <w:vertAlign w:val="baseline"/>
          <w:lang w:val="en-US" w:bidi="en-IE"/>
        </w:rPr>
        <w:t xml:space="preserve">.</w:t>
      </w:r>
      <w:r>
        <w:rPr>
          <w:rFonts w:ascii="Calibri" w:hAnsi="Calibri" w:cs="Calibri"/>
          <w:sz w:val="22"/>
          <w:szCs w:val="22"/>
          <w:highlight w:val="none"/>
        </w:rPr>
      </w:r>
      <w:r>
        <w:rPr>
          <w:rFonts w:ascii="Calibri" w:hAnsi="Calibri" w:eastAsia="Calibri" w:cs="Calibri"/>
          <w:sz w:val="22"/>
          <w:szCs w:val="22"/>
          <w:highlight w:val="none"/>
          <w:lang w:val="en-US" w:bidi="en-IE"/>
        </w:rPr>
      </w:r>
    </w:p>
    <w:p w14:paraId="0AD4A879">
      <w:pPr>
        <w:pBdr/>
        <w:shd w:val="clear" w:color="ffffff" w:themeColor="background1" w:fill="ffffff" w:themeFill="background1"/>
        <w:tabs>
          <w:tab w:val="left" w:leader="none" w:pos="5830"/>
        </w:tabs>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bidi="en-IE"/>
        </w:rPr>
        <w:t xml:space="preserve">Nonetheless , our second argument, this time in favor of the position of a temporary solution, consists of the fact that the Good Friday Agreement produced a state commonly </w:t>
      </w:r>
      <w:r>
        <w:rPr>
          <w:rFonts w:ascii="Calibri" w:hAnsi="Calibri" w:eastAsia="Calibri" w:cs="Calibri"/>
          <w:sz w:val="22"/>
          <w:szCs w:val="22"/>
          <w:highlight w:val="none"/>
          <w:lang w:val="en-US" w:bidi="en-IE"/>
        </w:rPr>
        <w:t xml:space="preserve">referred to as ‘Negative Peace’</w:t>
      </w:r>
      <w:r>
        <w:rPr>
          <w:rStyle w:val="1087"/>
          <w:rFonts w:ascii="Calibri" w:hAnsi="Calibri" w:eastAsia="Calibri" w:cs="Calibri"/>
          <w:sz w:val="22"/>
          <w:szCs w:val="22"/>
          <w:highlight w:val="none"/>
          <w:lang w:val="en-US" w:bidi="en-IE"/>
        </w:rPr>
        <w:endnoteReference w:id="5"/>
      </w:r>
      <w:r>
        <w:rPr>
          <w:rStyle w:val="1084"/>
          <w:rFonts w:ascii="Calibri" w:hAnsi="Calibri" w:eastAsia="Calibri" w:cs="Calibri"/>
          <w:sz w:val="22"/>
          <w:szCs w:val="22"/>
          <w:highlight w:val="none"/>
          <w:vertAlign w:val="baseline"/>
          <w:lang w:val="en-US" w:bidi="en-IE"/>
        </w:rPr>
        <w:t xml:space="preserve"> by experts. This refers to the absence of direct violence in an otherwise divided and mainly dysfunctional society. </w:t>
      </w:r>
      <w:r>
        <w:rPr>
          <w:rFonts w:ascii="Calibri" w:hAnsi="Calibri" w:eastAsia="Calibri" w:cs="Calibri"/>
          <w:sz w:val="22"/>
          <w:szCs w:val="22"/>
          <w:highlight w:val="none"/>
          <w:lang w:val="en-US" w:bidi="en-IE"/>
        </w:rPr>
        <w:t xml:space="preserve">Northern Ireland after the Good Friday Agreement is a prime example of this phenomenon, as the old patterns that initially fueled the violent conflict, such as schools being separated or neighborhoods being physically split </w:t>
      </w:r>
      <w:r>
        <w:rPr>
          <w:rFonts w:ascii="Calibri" w:hAnsi="Calibri" w:eastAsia="Calibri" w:cs="Calibri"/>
          <w:sz w:val="22"/>
          <w:szCs w:val="22"/>
          <w:highlight w:val="none"/>
          <w:lang w:val="en-US" w:bidi="en-IE"/>
        </w:rPr>
        <w:t xml:space="preserve">in catholic and protestant</w:t>
      </w:r>
      <w:r>
        <w:rPr>
          <w:rFonts w:ascii="Calibri" w:hAnsi="Calibri" w:eastAsia="Calibri" w:cs="Calibri"/>
          <w:sz w:val="22"/>
          <w:szCs w:val="22"/>
          <w:highlight w:val="none"/>
          <w:lang w:val="en-US" w:bidi="en-IE"/>
        </w:rPr>
        <w:t xml:space="preserve">  are allowed to continue, with the agreement just preventing the spark that initially ignited the violence. </w:t>
      </w:r>
      <w:r>
        <w:rPr>
          <w:rFonts w:ascii="Calibri" w:hAnsi="Calibri" w:cs="Calibri"/>
          <w:sz w:val="22"/>
          <w:szCs w:val="22"/>
          <w:highlight w:val="none"/>
        </w:rPr>
      </w:r>
      <w:r>
        <w:rPr>
          <w:rFonts w:ascii="Calibri" w:hAnsi="Calibri" w:cs="Calibri"/>
          <w:sz w:val="22"/>
          <w:szCs w:val="22"/>
          <w:highlight w:val="none"/>
        </w:rPr>
      </w:r>
    </w:p>
    <w:p w14:paraId="5E0B404D">
      <w:pPr>
        <w:pBdr/>
        <w:shd w:val="clear" w:color="ffffff" w:themeColor="background1" w:fill="ffffff" w:themeFill="background1"/>
        <w:tabs>
          <w:tab w:val="left" w:leader="none" w:pos="5830"/>
        </w:tabs>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bidi="en-IE"/>
        </w:rPr>
        <w:t xml:space="preserve">As a third argument, the fact this outcome wasn’t just random, but </w:t>
      </w:r>
      <w:r>
        <w:rPr>
          <w:rFonts w:ascii="Calibri" w:hAnsi="Calibri" w:eastAsia="Calibri" w:cs="Calibri"/>
          <w:sz w:val="22"/>
          <w:szCs w:val="22"/>
          <w:highlight w:val="none"/>
          <w:lang w:val="en-US" w:bidi="en-IE"/>
        </w:rPr>
        <w:t xml:space="preserve">rather </w:t>
      </w:r>
      <w:r>
        <w:rPr>
          <w:rFonts w:ascii="Calibri" w:hAnsi="Calibri" w:eastAsia="Calibri" w:cs="Calibri"/>
          <w:sz w:val="22"/>
          <w:szCs w:val="22"/>
          <w:highlight w:val="none"/>
          <w:lang w:val="en-US" w:bidi="en-IE"/>
        </w:rPr>
        <w:t xml:space="preserve">the most lik</w:t>
      </w:r>
      <w:r>
        <w:rPr>
          <w:rFonts w:ascii="Calibri" w:hAnsi="Calibri" w:eastAsia="Calibri" w:cs="Calibri"/>
          <w:sz w:val="22"/>
          <w:szCs w:val="22"/>
          <w:highlight w:val="none"/>
          <w:lang w:val="en-US" w:bidi="en-IE"/>
        </w:rPr>
        <w:t xml:space="preserve">ely one, was chosen, which can be seen by looking at the text of the agreement</w:t>
      </w:r>
      <w:r>
        <w:rPr>
          <w:rStyle w:val="1087"/>
          <w:rFonts w:ascii="Calibri" w:hAnsi="Calibri" w:eastAsia="Calibri" w:cs="Calibri"/>
          <w:sz w:val="22"/>
          <w:szCs w:val="22"/>
          <w:highlight w:val="none"/>
          <w:lang w:val="en-US" w:bidi="en-IE"/>
        </w:rPr>
        <w:endnoteReference w:id="6"/>
      </w:r>
      <w:r>
        <w:rPr>
          <w:rFonts w:ascii="Calibri" w:hAnsi="Calibri" w:eastAsia="Calibri" w:cs="Calibri"/>
          <w:sz w:val="22"/>
          <w:szCs w:val="22"/>
          <w:highlight w:val="none"/>
          <w:lang w:val="en-US" w:bidi="en-IE"/>
        </w:rPr>
        <w:t xml:space="preserve"> itself. This is caused by the agreements focus on institutional prevention of violence, rather that resolution of the actual conflict. Especially the reforms described in the se</w:t>
      </w:r>
      <w:r>
        <w:rPr>
          <w:rFonts w:ascii="Calibri" w:hAnsi="Calibri" w:eastAsia="Calibri" w:cs="Calibri"/>
          <w:sz w:val="22"/>
          <w:szCs w:val="22"/>
          <w:highlight w:val="none"/>
          <w:lang w:val="en-US" w:bidi="en-IE"/>
        </w:rPr>
        <w:t xml:space="preserve">ction ‘Right, Safeguards and Equality of Opportunity’ of the agreement were written to be intentionally vague, allowing enough space for interpretation that all stakeholders were satisfied with their interpretation of the content. Especially phrases like ‘</w:t>
      </w:r>
      <w:r>
        <w:rPr>
          <w:rFonts w:ascii="Calibri" w:hAnsi="Calibri" w:eastAsia="Calibri" w:cs="Calibri"/>
          <w:sz w:val="22"/>
          <w:szCs w:val="22"/>
          <w:highlight w:val="none"/>
          <w:lang w:val="en-US" w:bidi="en-IE"/>
        </w:rPr>
        <w:t xml:space="preserve">Subject to the public consultation currently under way, the British </w:t>
      </w:r>
      <w:r>
        <w:rPr>
          <w:rFonts w:ascii="Calibri" w:hAnsi="Calibri" w:eastAsia="Calibri" w:cs="Calibri"/>
          <w:sz w:val="22"/>
          <w:szCs w:val="22"/>
          <w:highlight w:val="none"/>
          <w:lang w:val="en-US" w:bidi="en-IE"/>
        </w:rPr>
        <w:t xml:space="preserve">Government will make rapid progress with [...] </w:t>
      </w:r>
      <w:r>
        <w:rPr>
          <w:rFonts w:ascii="Calibri" w:hAnsi="Calibri" w:eastAsia="Calibri" w:cs="Calibri"/>
          <w:sz w:val="22"/>
          <w:szCs w:val="22"/>
          <w:highlight w:val="none"/>
          <w:lang w:val="en-US" w:bidi="en-IE"/>
        </w:rPr>
        <w:t xml:space="preserve">a new regional development strategy for Northern Ireland</w:t>
      </w:r>
      <w:r>
        <w:rPr>
          <w:rFonts w:ascii="Calibri" w:hAnsi="Calibri" w:eastAsia="Calibri" w:cs="Calibri"/>
          <w:sz w:val="22"/>
          <w:szCs w:val="22"/>
          <w:highlight w:val="none"/>
          <w:lang w:val="en-US" w:bidi="en-IE"/>
        </w:rPr>
        <w:t xml:space="preserve">’ are designed to create agreement in both Unionist and Nationalist actors by being just vague enough to sound promising, but just detailed enough not to sound too unreasonable or unprofessional. </w:t>
      </w:r>
      <w:r>
        <w:rPr>
          <w:rFonts w:ascii="Calibri" w:hAnsi="Calibri" w:eastAsia="Calibri" w:cs="Calibri"/>
          <w:sz w:val="22"/>
          <w:szCs w:val="22"/>
          <w:highlight w:val="none"/>
        </w:rPr>
      </w:r>
      <w:r>
        <w:rPr>
          <w:rFonts w:ascii="Calibri" w:hAnsi="Calibri" w:cs="Calibri"/>
          <w:sz w:val="22"/>
          <w:szCs w:val="22"/>
          <w:highlight w:val="none"/>
        </w:rPr>
      </w:r>
    </w:p>
    <w:p w14:paraId="32A5FED3">
      <w:pPr>
        <w:pBdr/>
        <w:shd w:val="clear" w:color="ffffff" w:themeColor="background1" w:fill="ffffff" w:themeFill="background1"/>
        <w:tabs>
          <w:tab w:val="left" w:leader="none" w:pos="5830"/>
        </w:tabs>
        <w:spacing w:line="358" w:lineRule="auto"/>
        <w:ind/>
        <w:jc w:val="both"/>
        <w:rPr>
          <w:rFonts w:ascii="Calibri" w:hAnsi="Calibri" w:eastAsia="Calibri" w:cs="Calibri"/>
          <w:sz w:val="22"/>
          <w:szCs w:val="22"/>
          <w:highlight w:val="none"/>
        </w:rPr>
      </w:pPr>
      <w:r>
        <w:rPr>
          <w:rFonts w:ascii="Calibri" w:hAnsi="Calibri" w:eastAsia="Calibri" w:cs="Calibri"/>
          <w:sz w:val="22"/>
          <w:szCs w:val="22"/>
          <w:lang w:val="en-US"/>
        </w:rPr>
        <w:t xml:space="preserve">Our  fourth and final main argument is that although reactions regarding the agreement from different political actors and parties were mixed</w:t>
      </w:r>
      <w:r>
        <w:rPr>
          <w:rStyle w:val="1087"/>
          <w:rFonts w:ascii="Calibri" w:hAnsi="Calibri" w:eastAsia="Calibri" w:cs="Calibri"/>
          <w:sz w:val="22"/>
          <w:szCs w:val="22"/>
          <w:lang w:val="en-US"/>
        </w:rPr>
        <w:endnoteReference w:id="7"/>
      </w:r>
      <w:r>
        <w:rPr>
          <w:rFonts w:ascii="Calibri" w:hAnsi="Calibri" w:eastAsia="Calibri" w:cs="Calibri"/>
          <w:sz w:val="22"/>
          <w:szCs w:val="22"/>
          <w:lang w:val="en-US"/>
        </w:rPr>
        <w:t xml:space="preserve">, the normal people, those who suffered the consequences of the violent years of the ‘Troubles’ most,  took news of the agreement incredibly well, as it provided them with a much safer day-to-day life</w:t>
      </w:r>
      <w:r>
        <w:rPr>
          <w:rStyle w:val="1087"/>
          <w:rFonts w:ascii="Calibri" w:hAnsi="Calibri" w:eastAsia="Calibri" w:cs="Calibri"/>
          <w:sz w:val="22"/>
          <w:szCs w:val="22"/>
          <w:lang w:val="en-US"/>
        </w:rPr>
        <w:endnoteReference w:id="8"/>
      </w:r>
      <w:r>
        <w:rPr>
          <w:rFonts w:ascii="Calibri" w:hAnsi="Calibri" w:eastAsia="Calibri" w:cs="Calibri"/>
          <w:sz w:val="22"/>
          <w:szCs w:val="22"/>
          <w:lang w:val="en-US"/>
        </w:rPr>
        <w:t xml:space="preserve">, and improved on (at least some of) the initial problems, that caused the ‘Troubles’. </w:t>
      </w:r>
      <w:r>
        <w:rPr>
          <w:rFonts w:ascii="Calibri" w:hAnsi="Calibri" w:eastAsia="Calibri" w:cs="Calibri"/>
          <w:sz w:val="22"/>
          <w:szCs w:val="22"/>
        </w:rPr>
      </w:r>
      <w:r>
        <w:rPr>
          <w:rFonts w:ascii="Calibri" w:hAnsi="Calibri" w:cs="Calibri"/>
          <w:sz w:val="22"/>
          <w:szCs w:val="22"/>
        </w:rPr>
      </w:r>
    </w:p>
    <w:p w14:paraId="1CA03C17">
      <w:pPr>
        <w:pStyle w:val="1064"/>
        <w:pBdr/>
        <w:spacing w:after="0" w:line="358" w:lineRule="auto"/>
        <w:ind/>
        <w:rPr>
          <w:rFonts w:ascii="Calibri" w:hAnsi="Calibri" w:eastAsia="Calibri" w:cs="Calibri"/>
          <w:sz w:val="22"/>
          <w:szCs w:val="22"/>
          <w:highlight w:val="none"/>
        </w:rPr>
      </w:pPr>
      <w:r>
        <w:rPr>
          <w:rFonts w:ascii="Calibri" w:hAnsi="Calibri" w:eastAsia="Calibri" w:cs="Calibri"/>
          <w:sz w:val="22"/>
          <w:szCs w:val="22"/>
          <w:highlight w:val="none"/>
        </w:rPr>
        <w:t xml:space="preserve">Conclusion</w:t>
      </w:r>
      <w:r>
        <w:rPr>
          <w:rFonts w:ascii="Calibri" w:hAnsi="Calibri" w:cs="Calibri"/>
          <w:sz w:val="22"/>
          <w:szCs w:val="22"/>
        </w:rPr>
      </w:r>
    </w:p>
    <w:p w14:paraId="673C109A">
      <w:pPr>
        <w:pBdr/>
        <w:shd w:val="clear" w:color="ffffff" w:themeColor="background1" w:fill="ffffff" w:themeFill="background1"/>
        <w:tabs>
          <w:tab w:val="left" w:leader="none" w:pos="5830"/>
        </w:tabs>
        <w:spacing w:line="358" w:lineRule="auto"/>
        <w:ind/>
        <w:jc w:val="both"/>
        <w:rPr>
          <w:rFonts w:ascii="Calibri" w:hAnsi="Calibri" w:eastAsia="Calibri" w:cs="Calibri"/>
          <w:sz w:val="22"/>
          <w:szCs w:val="22"/>
          <w:highlight w:val="none"/>
        </w:rPr>
      </w:pPr>
      <w:r>
        <w:rPr>
          <w:rFonts w:ascii="Calibri" w:hAnsi="Calibri" w:eastAsia="Calibri" w:cs="Calibri"/>
          <w:sz w:val="22"/>
          <w:szCs w:val="22"/>
          <w:highlight w:val="none"/>
        </w:rPr>
      </w:r>
      <w:r>
        <w:rPr>
          <w:rFonts w:ascii="Calibri" w:hAnsi="Calibri" w:eastAsia="Calibri" w:cs="Calibri"/>
          <w:sz w:val="22"/>
          <w:szCs w:val="22"/>
          <w:highlight w:val="none"/>
        </w:rPr>
        <w:t xml:space="preserve">After carefully evaluating all of the main arguments, we hope to determine the central flaws in the Good Friday Agreement and come up with possible reforms or solutions.</w:t>
      </w: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14:paraId="0830931A">
      <w:pPr>
        <w:pStyle w:val="1064"/>
        <w:pBdr/>
        <w:spacing w:after="0" w:line="358" w:lineRule="auto"/>
        <w:ind/>
        <w:rPr>
          <w:rFonts w:ascii="Calibri" w:hAnsi="Calibri" w:cs="Calibri"/>
          <w:sz w:val="22"/>
          <w:szCs w:val="22"/>
        </w:rPr>
      </w:pPr>
      <w:r>
        <w:rPr>
          <w:rFonts w:ascii="Calibri" w:hAnsi="Calibri" w:eastAsia="Calibri" w:cs="Calibri"/>
          <w:sz w:val="22"/>
          <w:szCs w:val="22"/>
          <w:highlight w:val="none"/>
          <w:lang w:val="en-GB"/>
        </w:rPr>
        <w:t xml:space="preserve">Reflection on the Process</w:t>
      </w:r>
      <w:r>
        <w:rPr>
          <w:rFonts w:ascii="Calibri" w:hAnsi="Calibri" w:eastAsia="Calibri" w:cs="Calibri"/>
          <w:sz w:val="22"/>
          <w:szCs w:val="22"/>
          <w:highlight w:val="none"/>
          <w:lang w:val="en-GB"/>
        </w:rPr>
      </w:r>
      <w:r>
        <w:rPr>
          <w:rFonts w:ascii="Calibri" w:hAnsi="Calibri" w:eastAsia="Calibri" w:cs="Calibri"/>
          <w:sz w:val="22"/>
          <w:szCs w:val="22"/>
          <w:highlight w:val="none"/>
          <w:lang w:val="en-GB"/>
        </w:rPr>
      </w:r>
    </w:p>
    <w:p w14:paraId="7AF11F22">
      <w:pPr>
        <w:pBdr/>
        <w:spacing w:line="358" w:lineRule="auto"/>
        <w:ind/>
        <w:jc w:val="both"/>
        <w:rPr>
          <w:rFonts w:ascii="Calibri" w:hAnsi="Calibri" w:cs="Calibri"/>
          <w:highlight w:val="none"/>
        </w:rPr>
      </w:pPr>
      <w:r>
        <w:rPr>
          <w:rFonts w:ascii="Calibri" w:hAnsi="Calibri" w:eastAsia="Calibri" w:cs="Calibri"/>
          <w:lang w:val="en-GB"/>
        </w:rPr>
        <w:t xml:space="preserve">After initial difficulties with finding a fitting leading question</w:t>
      </w:r>
      <w:r>
        <w:rPr>
          <w:rFonts w:ascii="Calibri" w:hAnsi="Calibri" w:eastAsia="Calibri" w:cs="Calibri"/>
          <w:lang w:val="en-GB"/>
        </w:rPr>
        <w:t xml:space="preserve">, it</w:t>
      </w:r>
      <w:r>
        <w:rPr>
          <w:rFonts w:ascii="Calibri" w:hAnsi="Calibri" w:eastAsia="Calibri" w:cs="Calibri"/>
          <w:lang w:val="en-GB"/>
        </w:rPr>
        <w:t xml:space="preserve"> was time to </w:t>
      </w:r>
      <w:r>
        <w:rPr>
          <w:rFonts w:ascii="Calibri" w:hAnsi="Calibri" w:eastAsia="Calibri" w:cs="Calibri"/>
          <w:lang w:val="en-GB"/>
        </w:rPr>
        <w:t xml:space="preserve">create a table of contents. It was important to us that the reasons for the start of the Troubles are understandable and why the violence </w:t>
      </w:r>
      <w:r>
        <w:rPr>
          <w:rFonts w:ascii="Calibri" w:hAnsi="Calibri" w:eastAsia="Calibri" w:cs="Calibri"/>
          <w:lang w:val="en-GB"/>
        </w:rPr>
        <w:t xml:space="preserve">of it was so severe that a peace -making agreement was much needed. Then we wanted to look more into</w:t>
      </w:r>
      <w:r>
        <w:rPr>
          <w:rFonts w:ascii="Calibri" w:hAnsi="Calibri" w:eastAsia="Calibri" w:cs="Calibri"/>
          <w:lang w:val="en-GB"/>
        </w:rPr>
        <w:t xml:space="preserve"> </w:t>
      </w:r>
      <w:r>
        <w:rPr>
          <w:rFonts w:ascii="Calibri" w:hAnsi="Calibri" w:eastAsia="Calibri" w:cs="Calibri"/>
          <w:lang w:val="en-GB"/>
        </w:rPr>
        <w:t xml:space="preserve">such an agreement: </w:t>
      </w:r>
      <w:r>
        <w:rPr>
          <w:rFonts w:ascii="Calibri" w:hAnsi="Calibri" w:eastAsia="Calibri" w:cs="Calibri"/>
          <w:lang w:val="en-GB"/>
        </w:rPr>
        <w:t xml:space="preserve">The</w:t>
      </w:r>
      <w:r>
        <w:rPr>
          <w:rFonts w:ascii="Calibri" w:hAnsi="Calibri" w:eastAsia="Calibri" w:cs="Calibri"/>
          <w:lang w:val="en-GB"/>
        </w:rPr>
        <w:t xml:space="preserve"> Good Friday Agreement or Belfast Agreement. We searched for its core provisions,</w:t>
      </w:r>
      <w:r>
        <w:rPr>
          <w:rFonts w:ascii="Calibri" w:hAnsi="Calibri" w:eastAsia="Calibri" w:cs="Calibri"/>
          <w:lang w:val="en-GB"/>
        </w:rPr>
        <w:t xml:space="preserve"> its predecessors who failed and why, </w:t>
      </w:r>
      <w:r>
        <w:rPr>
          <w:rFonts w:ascii="Calibri" w:hAnsi="Calibri" w:eastAsia="Calibri" w:cs="Calibri"/>
          <w:lang w:val="en-GB"/>
        </w:rPr>
        <w:t xml:space="preserve">who wrote it</w:t>
      </w:r>
      <w:r>
        <w:rPr>
          <w:rFonts w:ascii="Calibri" w:hAnsi="Calibri" w:eastAsia="Calibri" w:cs="Calibri"/>
          <w:lang w:val="en-GB"/>
        </w:rPr>
        <w:t xml:space="preserve"> and </w:t>
      </w:r>
      <w:r>
        <w:rPr>
          <w:rFonts w:ascii="Calibri" w:hAnsi="Calibri" w:eastAsia="Calibri" w:cs="Calibri"/>
          <w:lang w:val="en-GB"/>
        </w:rPr>
        <w:t xml:space="preserve">what </w:t>
      </w:r>
      <w:r>
        <w:rPr>
          <w:rFonts w:ascii="Calibri" w:hAnsi="Calibri" w:eastAsia="Calibri" w:cs="Calibri"/>
          <w:lang w:val="en-GB"/>
        </w:rPr>
        <w:t xml:space="preserve">problems of the Troubles were addressed.</w:t>
      </w:r>
      <w:r>
        <w:rPr>
          <w:rFonts w:ascii="Calibri" w:hAnsi="Calibri" w:eastAsia="Calibri" w:cs="Calibri"/>
          <w:lang w:val="en-GB"/>
        </w:rPr>
        <w:t xml:space="preserve"> </w:t>
      </w:r>
      <w:r>
        <w:rPr>
          <w:rFonts w:ascii="Calibri" w:hAnsi="Calibri" w:eastAsia="Calibri" w:cs="Calibri"/>
          <w:lang w:val="en-GB"/>
        </w:rPr>
        <w:t xml:space="preserve">For </w:t>
      </w:r>
      <w:r>
        <w:rPr>
          <w:rFonts w:ascii="Calibri" w:hAnsi="Calibri" w:eastAsia="Calibri" w:cs="Calibri"/>
          <w:lang w:val="en-GB"/>
        </w:rPr>
        <w:t xml:space="preserve">getting a</w:t>
      </w:r>
      <w:r>
        <w:rPr>
          <w:rFonts w:ascii="Calibri" w:hAnsi="Calibri" w:eastAsia="Calibri" w:cs="Calibri"/>
          <w:lang w:val="en-GB"/>
        </w:rPr>
        <w:t xml:space="preserve"> summary </w:t>
      </w:r>
      <w:r>
        <w:rPr>
          <w:rFonts w:ascii="Calibri" w:hAnsi="Calibri" w:eastAsia="Calibri" w:cs="Calibri"/>
          <w:lang w:val="en-GB"/>
        </w:rPr>
        <w:t xml:space="preserve">of the Troubles</w:t>
      </w:r>
      <w:r>
        <w:rPr>
          <w:rFonts w:ascii="Calibri" w:hAnsi="Calibri" w:eastAsia="Calibri" w:cs="Calibri"/>
          <w:lang w:val="en-GB"/>
        </w:rPr>
        <w:t xml:space="preserve">, w</w:t>
      </w:r>
      <w:r>
        <w:rPr>
          <w:rFonts w:ascii="Calibri" w:hAnsi="Calibri" w:eastAsia="Calibri" w:cs="Calibri"/>
          <w:lang w:val="en-GB"/>
        </w:rPr>
        <w:t xml:space="preserve">e searched for timelines specifically</w:t>
      </w:r>
      <w:r>
        <w:rPr>
          <w:rFonts w:ascii="Calibri" w:hAnsi="Calibri" w:eastAsia="Calibri" w:cs="Calibri"/>
          <w:lang w:val="en-GB"/>
        </w:rPr>
        <w:t xml:space="preserve"> because they provide a brief overview of all key events and actors. Afterwards and most importantly we looked at t</w:t>
      </w:r>
      <w:r>
        <w:rPr>
          <w:rFonts w:ascii="Calibri" w:hAnsi="Calibri" w:eastAsia="Calibri" w:cs="Calibri"/>
          <w:lang w:val="en-GB"/>
        </w:rPr>
        <w:t xml:space="preserve">he </w:t>
      </w:r>
      <w:r>
        <w:rPr>
          <w:rFonts w:ascii="Calibri" w:hAnsi="Calibri" w:eastAsia="Calibri" w:cs="Calibri"/>
          <w:lang w:val="en-GB"/>
        </w:rPr>
        <w:t xml:space="preserve">Good Friday A</w:t>
      </w:r>
      <w:r>
        <w:rPr>
          <w:rFonts w:ascii="Calibri" w:hAnsi="Calibri" w:eastAsia="Calibri" w:cs="Calibri"/>
          <w:lang w:val="en-GB"/>
        </w:rPr>
        <w:t xml:space="preserve">greement</w:t>
      </w:r>
      <w:r>
        <w:rPr>
          <w:rFonts w:ascii="Calibri" w:hAnsi="Calibri" w:eastAsia="Calibri" w:cs="Calibri"/>
          <w:lang w:val="en-GB"/>
        </w:rPr>
        <w:t xml:space="preserve"> itself and</w:t>
      </w:r>
      <w:r>
        <w:rPr>
          <w:rFonts w:ascii="Calibri" w:hAnsi="Calibri" w:eastAsia="Calibri" w:cs="Calibri"/>
          <w:lang w:val="en-GB"/>
        </w:rPr>
        <w:t xml:space="preserve"> jotted down the main aspects we looked for</w:t>
      </w:r>
      <w:r>
        <w:rPr>
          <w:rFonts w:ascii="Calibri" w:hAnsi="Calibri" w:eastAsia="Calibri" w:cs="Calibri"/>
          <w:lang w:val="en-GB"/>
        </w:rPr>
        <w:t xml:space="preserve">. We looked at many different opinions </w:t>
      </w:r>
      <w:r>
        <w:rPr>
          <w:rFonts w:ascii="Calibri" w:hAnsi="Calibri" w:eastAsia="Calibri" w:cs="Calibri"/>
          <w:lang w:val="en-GB"/>
        </w:rPr>
        <w:t xml:space="preserve">on </w:t>
      </w:r>
      <w:r>
        <w:rPr>
          <w:rFonts w:ascii="Calibri" w:hAnsi="Calibri" w:eastAsia="Calibri" w:cs="Calibri"/>
          <w:lang w:val="en-GB"/>
        </w:rPr>
        <w:t xml:space="preserve">the </w:t>
      </w:r>
      <w:r>
        <w:rPr>
          <w:rFonts w:ascii="Calibri" w:hAnsi="Calibri" w:eastAsia="Calibri" w:cs="Calibri"/>
          <w:lang w:val="en-GB"/>
        </w:rPr>
        <w:t xml:space="preserve">Good Friday A</w:t>
      </w:r>
      <w:r>
        <w:rPr>
          <w:rFonts w:ascii="Calibri" w:hAnsi="Calibri" w:eastAsia="Calibri" w:cs="Calibri"/>
          <w:lang w:val="en-GB"/>
        </w:rPr>
        <w:t xml:space="preserve">greement</w:t>
      </w:r>
      <w:r/>
      <w:r>
        <w:rPr>
          <w:rFonts w:ascii="Calibri" w:hAnsi="Calibri" w:eastAsia="Calibri" w:cs="Calibri"/>
          <w:lang w:val="en-GB"/>
        </w:rPr>
        <w:t xml:space="preserve">, including ones from parties at that time, political scientists, lawyers and citizens. We structured all that information, gathered arguments that speak for and against the agreement</w:t>
      </w:r>
      <w:r>
        <w:rPr>
          <w:rFonts w:ascii="Calibri" w:hAnsi="Calibri" w:eastAsia="Calibri" w:cs="Calibri"/>
          <w:lang w:val="en-GB"/>
        </w:rPr>
        <w:t xml:space="preserve"> </w:t>
      </w:r>
      <w:r>
        <w:rPr>
          <w:rFonts w:ascii="Calibri" w:hAnsi="Calibri" w:eastAsia="Calibri" w:cs="Calibri"/>
          <w:lang w:val="en-GB"/>
        </w:rPr>
        <w:t xml:space="preserve">as a sustainable peace</w:t>
      </w:r>
      <w:r>
        <w:rPr>
          <w:rFonts w:ascii="Calibri" w:hAnsi="Calibri" w:eastAsia="Calibri" w:cs="Calibri"/>
          <w:lang w:val="en-GB"/>
        </w:rPr>
        <w:t xml:space="preserve">.</w:t>
      </w:r>
      <w:r>
        <w:rPr>
          <w:rFonts w:ascii="Calibri" w:hAnsi="Calibri" w:eastAsia="Calibri" w:cs="Calibri"/>
          <w:lang w:val="en-GB"/>
        </w:rPr>
        <w:t xml:space="preserve"> These sources offer a multi-perspective view on our leading question and are therefore essential for this presentation. </w:t>
      </w:r>
      <w:r>
        <w:rPr>
          <w:rFonts w:ascii="Calibri" w:hAnsi="Calibri" w:eastAsia="Calibri" w:cs="Calibri"/>
          <w:lang w:val="en-GB"/>
        </w:rPr>
        <w:t xml:space="preserve">So,</w:t>
      </w:r>
      <w:r>
        <w:rPr>
          <w:rFonts w:ascii="Calibri" w:hAnsi="Calibri" w:eastAsia="Calibri" w:cs="Calibri"/>
          <w:lang w:val="en-GB"/>
        </w:rPr>
        <w:t xml:space="preserve"> after gathering </w:t>
      </w:r>
      <w:r>
        <w:rPr>
          <w:rFonts w:ascii="Calibri" w:hAnsi="Calibri" w:eastAsia="Calibri" w:cs="Calibri"/>
          <w:lang w:val="en-GB"/>
        </w:rPr>
        <w:t xml:space="preserve">and </w:t>
      </w:r>
      <w:r>
        <w:rPr>
          <w:rFonts w:ascii="Calibri" w:hAnsi="Calibri" w:eastAsia="Calibri" w:cs="Calibri"/>
          <w:lang w:val="en-GB"/>
        </w:rPr>
        <w:t xml:space="preserve">structuring all </w:t>
      </w:r>
      <w:r>
        <w:rPr>
          <w:rFonts w:ascii="Calibri" w:hAnsi="Calibri" w:eastAsia="Calibri" w:cs="Calibri"/>
          <w:lang w:val="en-GB"/>
        </w:rPr>
        <w:t xml:space="preserve">the information</w:t>
      </w:r>
      <w:r>
        <w:rPr>
          <w:rFonts w:ascii="Calibri" w:hAnsi="Calibri" w:eastAsia="Calibri" w:cs="Calibri"/>
          <w:lang w:val="en-GB"/>
        </w:rPr>
        <w:t xml:space="preserve">, we </w:t>
      </w:r>
      <w:r>
        <w:rPr>
          <w:rFonts w:ascii="Calibri" w:hAnsi="Calibri" w:eastAsia="Calibri" w:cs="Calibri"/>
          <w:lang w:val="en-GB"/>
        </w:rPr>
        <w:t xml:space="preserve">continued to designing our presentation. We agreed on a rather neutral and minimalistic </w:t>
      </w:r>
      <w:r>
        <w:rPr>
          <w:rFonts w:ascii="Calibri" w:hAnsi="Calibri" w:eastAsia="Calibri" w:cs="Calibri"/>
          <w:lang w:val="en-GB"/>
        </w:rPr>
        <w:t xml:space="preserve">design that allows us to convey all of our information, while not being visually overwhelming.</w:t>
      </w:r>
      <w:r>
        <w:rPr>
          <w:rFonts w:ascii="Calibri" w:hAnsi="Calibri" w:cs="Calibri"/>
        </w:rPr>
      </w:r>
      <w:r>
        <w:rPr>
          <w:rFonts w:ascii="Calibri" w:hAnsi="Calibri" w:eastAsia="Calibri" w:cs="Calibri"/>
          <w:highlight w:val="none"/>
          <w:lang w:val="en-GB"/>
        </w:rPr>
      </w:r>
    </w:p>
    <w:p w14:paraId="2E16C3C4">
      <w:pPr>
        <w:pStyle w:val="1064"/>
        <w:pBdr/>
        <w:spacing w:after="0" w:line="358" w:lineRule="auto"/>
        <w:ind/>
        <w:rPr>
          <w:rFonts w:ascii="Calibri" w:hAnsi="Calibri" w:eastAsia="Calibri" w:cs="Calibri"/>
          <w:sz w:val="22"/>
          <w:szCs w:val="22"/>
          <w:highlight w:val="none"/>
        </w:rPr>
      </w:pPr>
      <w:r>
        <w:rPr>
          <w:rFonts w:ascii="Calibri" w:hAnsi="Calibri" w:cs="Calibri"/>
          <w:sz w:val="22"/>
          <w:szCs w:val="22"/>
          <w:highlight w:val="none"/>
          <w:lang w:val="en-GB" w:bidi="en-GB"/>
        </w:rPr>
        <w:t xml:space="preserve">Difficulties and Solutions</w:t>
      </w:r>
      <w:r>
        <w:rPr>
          <w:rFonts w:ascii="Calibri" w:hAnsi="Calibri" w:cs="Calibri"/>
          <w:sz w:val="22"/>
          <w:szCs w:val="22"/>
          <w:highlight w:val="none"/>
          <w:lang w:val="en-GB"/>
        </w:rPr>
      </w:r>
    </w:p>
    <w:p w14:paraId="4C043FA0">
      <w:pPr>
        <w:pBdr/>
        <w:spacing w:line="358" w:lineRule="auto"/>
        <w:ind/>
        <w:jc w:val="both"/>
        <w:rPr>
          <w:rFonts w:ascii="Calibri" w:hAnsi="Calibri" w:eastAsia="Calibri" w:cs="Calibri"/>
          <w:lang w:val="en-GB"/>
        </w:rPr>
      </w:pPr>
      <w:r>
        <w:rPr>
          <w:rFonts w:ascii="Calibri" w:hAnsi="Calibri" w:eastAsia="Calibri" w:cs="Calibri"/>
          <w:lang w:val="en-GB"/>
        </w:rPr>
        <w:t xml:space="preserve">It has proven to be a difficulty to find a suitable leading question due to the depth of this topic and the already mentioned fine line between history and politics. But, t</w:t>
      </w:r>
      <w:r>
        <w:rPr>
          <w:rFonts w:ascii="Calibri" w:hAnsi="Calibri" w:eastAsia="Calibri" w:cs="Calibri"/>
          <w:lang w:val="en-GB"/>
        </w:rPr>
        <w:t xml:space="preserve">here was another problem</w:t>
      </w:r>
      <w:r>
        <w:rPr>
          <w:rFonts w:ascii="Calibri" w:hAnsi="Calibri" w:eastAsia="Calibri" w:cs="Calibri"/>
          <w:lang w:val="en-GB"/>
        </w:rPr>
        <w:t xml:space="preserve"> that has to do with the current leading question</w:t>
      </w:r>
      <w:r>
        <w:rPr>
          <w:rFonts w:ascii="Calibri" w:hAnsi="Calibri" w:eastAsia="Calibri" w:cs="Calibri"/>
          <w:lang w:val="en-GB"/>
        </w:rPr>
        <w:t xml:space="preserve">: there were lots of statements from politicians, political scientists and lawyers</w:t>
      </w:r>
      <w:r>
        <w:rPr>
          <w:rFonts w:ascii="Calibri" w:hAnsi="Calibri" w:eastAsia="Calibri" w:cs="Calibri"/>
          <w:lang w:val="en-GB"/>
        </w:rPr>
        <w:t xml:space="preserve">, </w:t>
      </w:r>
      <w:r>
        <w:rPr>
          <w:rFonts w:ascii="Calibri" w:hAnsi="Calibri" w:eastAsia="Calibri" w:cs="Calibri"/>
          <w:lang w:val="en-GB"/>
        </w:rPr>
        <w:t xml:space="preserve">which </w:t>
      </w:r>
      <w:r>
        <w:rPr>
          <w:rFonts w:ascii="Calibri" w:hAnsi="Calibri" w:eastAsia="Calibri" w:cs="Calibri"/>
          <w:lang w:val="en-GB"/>
        </w:rPr>
        <w:t xml:space="preserve">sounds like a good thing in the first place but quickly rose to be a serious complication. T</w:t>
      </w:r>
      <w:r>
        <w:rPr>
          <w:rFonts w:ascii="Calibri" w:hAnsi="Calibri" w:eastAsia="Calibri" w:cs="Calibri"/>
          <w:lang w:val="en-GB"/>
        </w:rPr>
        <w:t xml:space="preserve">here weren’t many </w:t>
      </w:r>
      <w:r>
        <w:rPr>
          <w:rFonts w:ascii="Calibri" w:hAnsi="Calibri" w:eastAsia="Calibri" w:cs="Calibri"/>
          <w:lang w:val="en-GB"/>
        </w:rPr>
        <w:t xml:space="preserve">opinions or articles from</w:t>
      </w:r>
      <w:r>
        <w:rPr>
          <w:rFonts w:ascii="Calibri" w:hAnsi="Calibri" w:eastAsia="Calibri" w:cs="Calibri"/>
          <w:lang w:val="en-GB"/>
        </w:rPr>
        <w:t xml:space="preserve"> ordinary people </w:t>
      </w:r>
      <w:r>
        <w:rPr>
          <w:rFonts w:ascii="Calibri" w:hAnsi="Calibri" w:eastAsia="Calibri" w:cs="Calibri"/>
          <w:lang w:val="en-GB"/>
        </w:rPr>
        <w:t xml:space="preserve">at </w:t>
      </w:r>
      <w:r>
        <w:rPr>
          <w:rFonts w:ascii="Calibri" w:hAnsi="Calibri" w:eastAsia="Calibri" w:cs="Calibri"/>
          <w:lang w:val="en-GB"/>
        </w:rPr>
        <w:t xml:space="preserve">that time whether catholic or protestant. Though it is almost most important, as the main group affected by the </w:t>
      </w:r>
      <w:r>
        <w:rPr>
          <w:rFonts w:ascii="Calibri" w:hAnsi="Calibri" w:eastAsia="Calibri" w:cs="Calibri"/>
          <w:lang w:val="en-GB"/>
        </w:rPr>
        <w:t xml:space="preserve">Good Friday A</w:t>
      </w:r>
      <w:r>
        <w:rPr>
          <w:rFonts w:ascii="Calibri" w:hAnsi="Calibri" w:eastAsia="Calibri" w:cs="Calibri"/>
          <w:lang w:val="en-GB"/>
        </w:rPr>
        <w:t xml:space="preserve">greement</w:t>
      </w:r>
      <w:r>
        <w:rPr>
          <w:rFonts w:ascii="Calibri" w:hAnsi="Calibri" w:eastAsia="Calibri" w:cs="Calibri"/>
          <w:lang w:val="en-GB"/>
        </w:rPr>
        <w:t xml:space="preserve"> were </w:t>
      </w:r>
      <w:r>
        <w:rPr>
          <w:rFonts w:ascii="Calibri" w:hAnsi="Calibri" w:eastAsia="Calibri" w:cs="Calibri"/>
          <w:lang w:val="en-GB"/>
        </w:rPr>
        <w:t xml:space="preserve">the </w:t>
      </w:r>
      <w:r>
        <w:rPr>
          <w:rFonts w:ascii="Calibri" w:hAnsi="Calibri" w:eastAsia="Calibri" w:cs="Calibri"/>
          <w:lang w:val="en-GB"/>
        </w:rPr>
        <w:t xml:space="preserve">“normal” people. Most of the public opinion we found was at the 25th anniversary of agreement and their main argument was the political instability that shaped the years after its founding</w:t>
      </w:r>
      <w:r>
        <w:rPr>
          <w:rFonts w:ascii="Calibri" w:hAnsi="Calibri" w:eastAsia="Calibri" w:cs="Calibri"/>
          <w:lang w:val="en-GB"/>
        </w:rPr>
        <w:t xml:space="preserve">. There we arrived at the main problem again. At least these kinds of opinions can be included into our final judgement. Given the fact that we are </w:t>
      </w:r>
      <w:r>
        <w:rPr>
          <w:rFonts w:ascii="Calibri" w:hAnsi="Calibri" w:eastAsia="Calibri" w:cs="Calibri"/>
          <w:lang w:val="en-GB"/>
        </w:rPr>
        <w:t xml:space="preserve">two people working on the presentation the coordination is rather difficult. Especially the technical planning e.g. working on the same presentation from two different computers and communication of who’s doing what wasn’t easy. In </w:t>
      </w:r>
      <w:r>
        <w:rPr>
          <w:rFonts w:ascii="Calibri" w:hAnsi="Calibri" w:eastAsia="Calibri" w:cs="Calibri"/>
          <w:lang w:val="en-GB"/>
        </w:rPr>
        <w:t xml:space="preserve">the </w:t>
      </w:r>
      <w:r>
        <w:rPr>
          <w:rFonts w:ascii="Calibri" w:hAnsi="Calibri" w:eastAsia="Calibri" w:cs="Calibri"/>
          <w:lang w:val="en-GB"/>
        </w:rPr>
        <w:t xml:space="preserve">future we should definitely determine the division </w:t>
      </w:r>
      <w:r>
        <w:rPr>
          <w:rFonts w:ascii="Calibri" w:hAnsi="Calibri" w:eastAsia="Calibri" w:cs="Calibri"/>
          <w:lang w:val="en-GB"/>
        </w:rPr>
        <w:t xml:space="preserve">of tasks in advance. The search of the most important sources is also something that should happen when both are present.</w:t>
      </w:r>
      <w:r>
        <w:rPr>
          <w:rFonts w:ascii="Calibri" w:hAnsi="Calibri" w:cs="Calibri"/>
          <w:highlight w:val="none"/>
        </w:rPr>
      </w:r>
    </w:p>
    <w:p w14:paraId="635E76A1">
      <w:pPr>
        <w:pStyle w:val="1064"/>
        <w:pBdr/>
        <w:spacing w:after="0" w:line="358" w:lineRule="auto"/>
        <w:ind/>
        <w:rPr>
          <w:rFonts w:ascii="Calibri" w:hAnsi="Calibri" w:cs="Calibri"/>
          <w:highlight w:val="none"/>
        </w:rPr>
      </w:pPr>
      <w:r>
        <w:rPr>
          <w:rFonts w:ascii="Calibri" w:hAnsi="Calibri" w:eastAsia="Calibri" w:cs="Calibri"/>
          <w:lang w:val="en-GB"/>
        </w:rPr>
      </w:r>
      <w:r>
        <w:rPr>
          <w:rFonts w:ascii="Calibri" w:hAnsi="Calibri" w:cs="Calibri"/>
          <w:sz w:val="22"/>
          <w:szCs w:val="22"/>
          <w:highlight w:val="none"/>
        </w:rPr>
        <w:t xml:space="preserve">Methodology</w:t>
      </w:r>
      <w:r>
        <w:rPr>
          <w:rFonts w:ascii="Calibri" w:hAnsi="Calibri" w:cs="Calibri"/>
          <w:highlight w:val="none"/>
        </w:rPr>
      </w:r>
      <w:r/>
    </w:p>
    <w:p w14:paraId="55D5E6C6">
      <w:pPr>
        <w:pBdr/>
        <w:spacing w:line="358" w:lineRule="auto"/>
        <w:ind/>
        <w:jc w:val="both"/>
        <w:rPr>
          <w:rFonts w:ascii="Calibri" w:hAnsi="Calibri" w:cs="Calibri"/>
        </w:rPr>
      </w:pPr>
      <w:r>
        <w:rPr>
          <w:rFonts w:ascii="Calibri" w:hAnsi="Calibri" w:eastAsia="Calibri" w:cs="Calibri"/>
          <w:lang w:val="en-GB"/>
        </w:rPr>
        <w:t xml:space="preserve">Our investigation strategy was mainly the internet and the scientific articles. Its proven to be a very effective way of getting lots of information e.g. from universities on one specific topic. </w:t>
      </w:r>
      <w:r>
        <w:rPr>
          <w:rFonts w:ascii="Calibri" w:hAnsi="Calibri" w:eastAsia="Calibri" w:cs="Calibri"/>
          <w:lang w:val="en-GB"/>
        </w:rPr>
        <w:t xml:space="preserve">Nevertheless,</w:t>
      </w:r>
      <w:r>
        <w:rPr>
          <w:rFonts w:ascii="Calibri" w:hAnsi="Calibri" w:eastAsia="Calibri" w:cs="Calibri"/>
          <w:lang w:val="en-GB"/>
        </w:rPr>
        <w:t xml:space="preserve"> it takes more time to gather all the information you need and further you have </w:t>
      </w:r>
      <w:r>
        <w:rPr>
          <w:rFonts w:ascii="Calibri" w:hAnsi="Calibri" w:eastAsia="Calibri" w:cs="Calibri"/>
          <w:lang w:val="en-GB"/>
        </w:rPr>
        <w:t xml:space="preserve">to decide which sources you want to use finally. There is a broad offer of information we had to filter to fit our subject and again stay rather historical.</w:t>
      </w:r>
      <w:r>
        <w:rPr>
          <w:rFonts w:ascii="Calibri" w:hAnsi="Calibri" w:cs="Calibri"/>
        </w:rPr>
      </w:r>
      <w:r>
        <w:rPr>
          <w:rFonts w:ascii="Calibri" w:hAnsi="Calibri" w:cs="Calibri"/>
        </w:rPr>
      </w:r>
    </w:p>
    <w:p w14:paraId="221FDA77">
      <w:pPr>
        <w:pBdr/>
        <w:spacing w:line="358" w:lineRule="auto"/>
        <w:ind/>
        <w:jc w:val="both"/>
        <w:rPr>
          <w:rFonts w:ascii="Calibri" w:hAnsi="Calibri" w:cs="Calibri"/>
          <w:highlight w:val="none"/>
        </w:rPr>
      </w:pPr>
      <w:r>
        <w:rPr>
          <w:rFonts w:ascii="Calibri" w:hAnsi="Calibri" w:eastAsia="Calibri" w:cs="Calibri"/>
          <w:lang w:val="en-GB"/>
        </w:rPr>
        <w:t xml:space="preserve">Since English is our second subject, the evaluation is not only based on historical accuracy of our </w:t>
      </w:r>
      <w:r>
        <w:rPr>
          <w:rFonts w:ascii="Calibri" w:hAnsi="Calibri" w:eastAsia="Calibri" w:cs="Calibri"/>
          <w:lang w:val="en-GB"/>
        </w:rPr>
        <w:t xml:space="preserve">arguments</w:t>
      </w:r>
      <w:r>
        <w:rPr>
          <w:rFonts w:ascii="Calibri" w:hAnsi="Calibri" w:eastAsia="Calibri" w:cs="Calibri"/>
          <w:lang w:val="en-GB"/>
        </w:rPr>
        <w:t xml:space="preserve"> but also on linguistic competence. That also means analysing </w:t>
      </w:r>
      <w:r>
        <w:rPr>
          <w:rFonts w:ascii="Calibri" w:hAnsi="Calibri" w:eastAsia="Calibri" w:cs="Calibri"/>
          <w:lang w:val="en-GB"/>
        </w:rPr>
        <w:t xml:space="preserve">English</w:t>
      </w:r>
      <w:r>
        <w:rPr>
          <w:rFonts w:ascii="Calibri" w:hAnsi="Calibri" w:eastAsia="Calibri" w:cs="Calibri"/>
          <w:lang w:val="en-GB"/>
        </w:rPr>
        <w:t xml:space="preserve"> written articles and comments. The ability to express complex ideas fluently and precisely in English demonstrates a deeper understanding of the subject matter and strengthens the overall performance.</w:t>
      </w:r>
      <w:r>
        <w:rPr>
          <w:rFonts w:ascii="Calibri" w:hAnsi="Calibri" w:cs="Calibri"/>
        </w:rPr>
      </w:r>
      <w:r>
        <w:rPr>
          <w:rFonts w:ascii="Calibri" w:hAnsi="Calibri" w:cs="Calibri"/>
        </w:rPr>
      </w:r>
    </w:p>
    <w:p w14:paraId="1F60ACD9">
      <w:pPr>
        <w:pStyle w:val="1064"/>
        <w:pBdr/>
        <w:spacing w:line="358" w:lineRule="auto"/>
        <w:ind/>
        <w:rPr>
          <w:rFonts w:ascii="Calibri" w:hAnsi="Calibri" w:cs="Calibri"/>
          <w:sz w:val="22"/>
          <w:szCs w:val="22"/>
        </w:rPr>
      </w:pPr>
      <w:r>
        <w:rPr>
          <w:rFonts w:ascii="Calibri" w:hAnsi="Calibri" w:cs="Calibri"/>
          <w:sz w:val="22"/>
          <w:szCs w:val="22"/>
          <w:highlight w:val="none"/>
        </w:rPr>
        <w:t xml:space="preserve">Reflection on Sources</w:t>
      </w:r>
      <w:r>
        <w:rPr>
          <w:rFonts w:ascii="Calibri" w:hAnsi="Calibri" w:cs="Calibri"/>
          <w:sz w:val="22"/>
          <w:szCs w:val="22"/>
          <w:highlight w:val="none"/>
        </w:rPr>
      </w:r>
      <w:r>
        <w:rPr>
          <w:rFonts w:ascii="Calibri" w:hAnsi="Calibri" w:cs="Calibri"/>
          <w:sz w:val="22"/>
          <w:szCs w:val="22"/>
          <w:highlight w:val="none"/>
        </w:rPr>
      </w:r>
    </w:p>
    <w:p w14:paraId="110071CD">
      <w:pPr>
        <w:pBdr/>
        <w:spacing w:line="358" w:lineRule="auto"/>
        <w:ind/>
        <w:jc w:val="both"/>
        <w:rPr>
          <w:rFonts w:ascii="Calibri" w:hAnsi="Calibri" w:cs="Calibri"/>
        </w:rPr>
      </w:pPr>
      <w:r>
        <w:rPr>
          <w:rFonts w:ascii="Calibri" w:hAnsi="Calibri" w:eastAsia="Calibri" w:cs="Calibri"/>
          <w:lang w:val="en-GB"/>
        </w:rPr>
        <w:t xml:space="preserve">A source that was very conclusive </w:t>
      </w:r>
      <w:r>
        <w:rPr>
          <w:rFonts w:ascii="Calibri" w:hAnsi="Calibri" w:eastAsia="Calibri" w:cs="Calibri"/>
          <w:lang w:val="en-GB"/>
        </w:rPr>
        <w:t xml:space="preserve">was the one from Britannica about the Troubles</w:t>
      </w:r>
      <w:r>
        <w:rPr>
          <w:rStyle w:val="1087"/>
          <w:rFonts w:ascii="Calibri" w:hAnsi="Calibri" w:eastAsia="Calibri" w:cs="Calibri"/>
          <w:lang w:val="en-GB"/>
        </w:rPr>
        <w:endnoteReference w:id="9"/>
      </w:r>
      <w:r>
        <w:rPr>
          <w:rFonts w:ascii="Calibri" w:hAnsi="Calibri" w:eastAsia="Calibri" w:cs="Calibri"/>
          <w:lang w:val="en-GB"/>
        </w:rPr>
        <w:t xml:space="preserve">. It provided a broad overview of the Troubles</w:t>
      </w:r>
      <w:r>
        <w:rPr>
          <w:rFonts w:ascii="Calibri" w:hAnsi="Calibri" w:eastAsia="Calibri" w:cs="Calibri"/>
          <w:lang w:val="en-GB"/>
        </w:rPr>
        <w:t xml:space="preserve">, being very helpful for </w:t>
      </w:r>
      <w:r>
        <w:rPr>
          <w:rFonts w:ascii="Calibri" w:hAnsi="Calibri" w:eastAsia="Calibri" w:cs="Calibri"/>
          <w:lang w:val="en-GB"/>
        </w:rPr>
        <w:t xml:space="preserve">presenting</w:t>
      </w:r>
      <w:r>
        <w:rPr>
          <w:rFonts w:ascii="Calibri" w:hAnsi="Calibri" w:eastAsia="Calibri" w:cs="Calibri"/>
          <w:lang w:val="en-GB"/>
        </w:rPr>
        <w:t xml:space="preserve"> the historical background.  </w:t>
      </w:r>
      <w:r>
        <w:rPr>
          <w:rFonts w:ascii="Calibri" w:hAnsi="Calibri" w:eastAsia="Calibri" w:cs="Calibri"/>
          <w:lang w:val="en-GB"/>
        </w:rPr>
        <w:t xml:space="preserve">It r</w:t>
      </w:r>
      <w:r>
        <w:rPr>
          <w:rFonts w:ascii="Calibri" w:hAnsi="Calibri" w:eastAsia="Calibri" w:cs="Calibri"/>
          <w:lang w:val="en-GB"/>
        </w:rPr>
        <w:t xml:space="preserve">eaches far back to the origins of it</w:t>
      </w:r>
      <w:r>
        <w:rPr>
          <w:rFonts w:ascii="Calibri" w:hAnsi="Calibri" w:eastAsia="Calibri" w:cs="Calibri"/>
          <w:lang w:val="en-GB"/>
        </w:rPr>
        <w:t xml:space="preserve">, which allows a more precise view on the actual roots of this conflict. This source also helped with keeping on the historical track. </w:t>
      </w:r>
      <w:r>
        <w:rPr>
          <w:rFonts w:ascii="Calibri" w:hAnsi="Calibri" w:eastAsia="Calibri" w:cs="Calibri"/>
          <w:lang w:val="en-GB"/>
        </w:rPr>
        <w:t xml:space="preserve">In this manner</w:t>
      </w:r>
      <w:r>
        <w:rPr>
          <w:rFonts w:ascii="Calibri" w:hAnsi="Calibri" w:eastAsia="Calibri" w:cs="Calibri"/>
          <w:lang w:val="en-GB"/>
        </w:rPr>
        <w:t xml:space="preserve">,</w:t>
      </w:r>
      <w:r>
        <w:rPr>
          <w:rFonts w:ascii="Calibri" w:hAnsi="Calibri" w:eastAsia="Calibri" w:cs="Calibri"/>
          <w:lang w:val="en-GB"/>
        </w:rPr>
        <w:t xml:space="preserve"> also</w:t>
      </w:r>
      <w:r>
        <w:rPr>
          <w:rFonts w:ascii="Calibri" w:hAnsi="Calibri" w:eastAsia="Calibri" w:cs="Calibri"/>
          <w:lang w:val="en-GB"/>
        </w:rPr>
        <w:t xml:space="preserve"> </w:t>
      </w:r>
      <w:r>
        <w:rPr>
          <w:rFonts w:ascii="Calibri" w:hAnsi="Calibri" w:eastAsia="Calibri" w:cs="Calibri"/>
          <w:lang w:val="en-GB"/>
        </w:rPr>
        <w:t xml:space="preserve">the predecessor</w:t>
      </w:r>
      <w:r>
        <w:rPr>
          <w:rFonts w:ascii="Calibri" w:hAnsi="Calibri" w:eastAsia="Calibri" w:cs="Calibri"/>
          <w:lang w:val="en-GB"/>
        </w:rPr>
        <w:t xml:space="preserve">s get thematised</w:t>
      </w:r>
      <w:r>
        <w:rPr>
          <w:rFonts w:ascii="Calibri" w:hAnsi="Calibri" w:eastAsia="Calibri" w:cs="Calibri"/>
          <w:lang w:val="en-GB"/>
        </w:rPr>
        <w:t xml:space="preserve"> and why they failed and why the </w:t>
      </w:r>
      <w:r>
        <w:rPr>
          <w:rFonts w:ascii="Calibri" w:hAnsi="Calibri" w:eastAsia="Calibri" w:cs="Calibri"/>
          <w:lang w:val="en-GB"/>
        </w:rPr>
        <w:t xml:space="preserve">Good Friday A</w:t>
      </w:r>
      <w:r>
        <w:rPr>
          <w:rFonts w:ascii="Calibri" w:hAnsi="Calibri" w:eastAsia="Calibri" w:cs="Calibri"/>
          <w:lang w:val="en-GB"/>
        </w:rPr>
        <w:t xml:space="preserve">greement</w:t>
      </w:r>
      <w:r>
        <w:rPr>
          <w:rFonts w:ascii="Calibri" w:hAnsi="Calibri" w:eastAsia="Calibri" w:cs="Calibri"/>
          <w:lang w:val="en-GB"/>
        </w:rPr>
        <w:t xml:space="preserve"> </w:t>
      </w:r>
      <w:r/>
      <w:r>
        <w:rPr>
          <w:rFonts w:ascii="Calibri" w:hAnsi="Calibri" w:eastAsia="Calibri" w:cs="Calibri"/>
          <w:lang w:val="en-GB"/>
        </w:rPr>
        <w:t xml:space="preserve">was the document to solve it.</w:t>
      </w:r>
      <w:bookmarkStart w:id="0" w:name="_GoBack"/>
      <w:r>
        <w:rPr>
          <w:rFonts w:ascii="Calibri" w:hAnsi="Calibri" w:eastAsia="Calibri" w:cs="Calibri"/>
        </w:rPr>
      </w:r>
      <w:bookmarkEnd w:id="0"/>
      <w:r>
        <w:rPr>
          <w:rFonts w:ascii="Calibri" w:hAnsi="Calibri" w:cs="Calibri"/>
        </w:rPr>
      </w:r>
      <w:r>
        <w:rPr>
          <w:rFonts w:ascii="Calibri" w:hAnsi="Calibri" w:cs="Calibri"/>
        </w:rPr>
      </w:r>
    </w:p>
    <w:p w14:paraId="0E3BCE58">
      <w:pPr>
        <w:pBdr/>
        <w:spacing w:line="358" w:lineRule="auto"/>
        <w:ind/>
        <w:jc w:val="both"/>
        <w:rPr>
          <w:rFonts w:ascii="Calibri" w:hAnsi="Calibri" w:cs="Calibri"/>
        </w:rPr>
      </w:pPr>
      <w:r>
        <w:rPr>
          <w:rFonts w:ascii="Calibri" w:hAnsi="Calibri" w:eastAsia="Calibri" w:cs="Calibri"/>
          <w:lang w:val="en-GB"/>
        </w:rPr>
        <w:t xml:space="preserve">The Good Friday Agreement</w:t>
      </w:r>
      <w:r>
        <w:rPr>
          <w:rFonts w:ascii="Calibri" w:hAnsi="Calibri" w:eastAsia="Calibri" w:cs="Calibri"/>
          <w:vertAlign w:val="superscript"/>
          <w:lang w:val="en-GB"/>
        </w:rPr>
        <w:t xml:space="preserve">5</w:t>
      </w:r>
      <w:r>
        <w:rPr>
          <w:rFonts w:ascii="Calibri" w:hAnsi="Calibri" w:eastAsia="Calibri" w:cs="Calibri"/>
          <w:lang w:val="en-GB"/>
        </w:rPr>
        <w:t xml:space="preserve"> represents</w:t>
      </w:r>
      <w:r>
        <w:rPr>
          <w:rFonts w:ascii="Calibri" w:hAnsi="Calibri" w:eastAsia="Calibri" w:cs="Calibri"/>
          <w:lang w:val="en-GB"/>
        </w:rPr>
        <w:t xml:space="preserve"> </w:t>
      </w:r>
      <w:r>
        <w:rPr>
          <w:rFonts w:ascii="Calibri" w:hAnsi="Calibri" w:eastAsia="Calibri" w:cs="Calibri"/>
          <w:lang w:val="en-GB"/>
        </w:rPr>
        <w:t xml:space="preserve">the official ending of the Troubles. Therefore, it is our </w:t>
      </w:r>
      <w:r>
        <w:rPr>
          <w:rFonts w:ascii="Calibri" w:hAnsi="Calibri" w:eastAsia="Calibri" w:cs="Calibri"/>
          <w:lang w:val="en-GB"/>
        </w:rPr>
        <w:t xml:space="preserve">central, primary source in our investigation</w:t>
      </w:r>
      <w:r>
        <w:rPr>
          <w:rFonts w:ascii="Calibri" w:hAnsi="Calibri" w:eastAsia="Calibri" w:cs="Calibri"/>
          <w:lang w:val="en-GB"/>
        </w:rPr>
        <w:t xml:space="preserve">, </w:t>
      </w:r>
      <w:r>
        <w:rPr>
          <w:rFonts w:ascii="Calibri" w:hAnsi="Calibri" w:eastAsia="Calibri" w:cs="Calibri"/>
          <w:lang w:val="en-GB"/>
        </w:rPr>
        <w:t xml:space="preserve">contain</w:t>
      </w:r>
      <w:r>
        <w:rPr>
          <w:rFonts w:ascii="Calibri" w:hAnsi="Calibri" w:eastAsia="Calibri" w:cs="Calibri"/>
          <w:lang w:val="en-GB"/>
        </w:rPr>
        <w:t xml:space="preserve">ing</w:t>
      </w:r>
      <w:r>
        <w:rPr>
          <w:rFonts w:ascii="Calibri" w:hAnsi="Calibri" w:eastAsia="Calibri" w:cs="Calibri"/>
          <w:lang w:val="en-GB"/>
        </w:rPr>
        <w:t xml:space="preserve"> all the </w:t>
      </w:r>
      <w:r>
        <w:rPr>
          <w:rFonts w:ascii="Calibri" w:hAnsi="Calibri" w:eastAsia="Calibri" w:cs="Calibri"/>
          <w:lang w:val="en-GB"/>
        </w:rPr>
        <w:t xml:space="preserve">important </w:t>
      </w:r>
      <w:r>
        <w:rPr>
          <w:rFonts w:ascii="Calibri" w:hAnsi="Calibri" w:eastAsia="Calibri" w:cs="Calibri"/>
          <w:lang w:val="en-GB"/>
        </w:rPr>
        <w:t xml:space="preserve">information about </w:t>
      </w:r>
      <w:r>
        <w:rPr>
          <w:rFonts w:ascii="Calibri" w:hAnsi="Calibri" w:eastAsia="Calibri" w:cs="Calibri"/>
          <w:lang w:val="en-GB"/>
        </w:rPr>
        <w:t xml:space="preserve">the causes of the </w:t>
      </w:r>
      <w:r>
        <w:rPr>
          <w:rFonts w:ascii="Calibri" w:hAnsi="Calibri" w:eastAsia="Calibri" w:cs="Calibri"/>
          <w:lang w:val="en-GB"/>
        </w:rPr>
        <w:t xml:space="preserve">Northern Ireland conflict and the addressing of its core problems.</w:t>
      </w:r>
      <w:r>
        <w:rPr>
          <w:rFonts w:ascii="Calibri" w:hAnsi="Calibri" w:cs="Calibri"/>
        </w:rPr>
      </w:r>
      <w:r>
        <w:rPr>
          <w:rFonts w:ascii="Calibri" w:hAnsi="Calibri" w:cs="Calibri"/>
        </w:rPr>
      </w:r>
    </w:p>
    <w:p w14:paraId="2AFB253D">
      <w:pPr>
        <w:pBdr/>
        <w:spacing w:line="358" w:lineRule="auto"/>
        <w:ind/>
        <w:jc w:val="both"/>
        <w:rPr>
          <w:rFonts w:ascii="Calibri" w:hAnsi="Calibri" w:cs="Calibri"/>
        </w:rPr>
      </w:pPr>
      <w:r>
        <w:rPr>
          <w:rFonts w:ascii="Calibri" w:hAnsi="Calibri" w:eastAsia="Calibri" w:cs="Calibri"/>
          <w:lang w:val="en-GB"/>
        </w:rPr>
        <w:t xml:space="preserve">A disappointing source was the article about the Northern Ireland peace process</w:t>
      </w:r>
      <w:r>
        <w:rPr>
          <w:rStyle w:val="1087"/>
          <w:rFonts w:ascii="Calibri" w:hAnsi="Calibri" w:eastAsia="Calibri" w:cs="Calibri"/>
          <w:lang w:val="en-GB"/>
        </w:rPr>
        <w:endnoteReference w:id="10"/>
      </w:r>
      <w:r>
        <w:rPr>
          <w:rFonts w:ascii="Calibri" w:hAnsi="Calibri" w:eastAsia="Calibri" w:cs="Calibri"/>
          <w:lang w:val="en-GB"/>
        </w:rPr>
        <w:t xml:space="preserve">. </w:t>
      </w:r>
      <w:r>
        <w:rPr>
          <w:rFonts w:ascii="Calibri" w:hAnsi="Calibri" w:eastAsia="Calibri" w:cs="Calibri"/>
          <w:lang w:val="en-GB"/>
        </w:rPr>
        <w:t xml:space="preserve">The title promised us an explanation of how the violence of Troubles w</w:t>
      </w:r>
      <w:r>
        <w:rPr>
          <w:rFonts w:ascii="Calibri" w:hAnsi="Calibri" w:eastAsia="Calibri" w:cs="Calibri"/>
          <w:lang w:val="en-GB"/>
        </w:rPr>
        <w:t xml:space="preserve">as solved in a targeted manner and</w:t>
      </w:r>
      <w:r>
        <w:rPr>
          <w:rFonts w:ascii="Calibri" w:hAnsi="Calibri" w:eastAsia="Calibri" w:cs="Calibri"/>
          <w:lang w:val="en-GB"/>
        </w:rPr>
        <w:t xml:space="preserve"> how the political actors like the British- and Irish government fought together against one enemy, the terrorism even though they had opposing opinions</w:t>
      </w:r>
      <w:r>
        <w:rPr>
          <w:rFonts w:ascii="Calibri" w:hAnsi="Calibri" w:eastAsia="Calibri" w:cs="Calibri"/>
          <w:lang w:val="en-GB"/>
        </w:rPr>
        <w:t xml:space="preserve">. However, the scientific article is mainly focusing on ty</w:t>
      </w:r>
      <w:r>
        <w:rPr>
          <w:rFonts w:ascii="Calibri" w:hAnsi="Calibri" w:eastAsia="Calibri" w:cs="Calibri"/>
          <w:lang w:val="en-GB"/>
        </w:rPr>
        <w:t xml:space="preserve">pes of anti-terror-approaches and how the UK’s approaches in Northern Ireland were contradictory to those against the 11 September 2001 attacks. In the end, it didn’t help to further understand the agreements attempts to stop the aggression of the Troubles</w:t>
      </w:r>
      <w:r>
        <w:rPr>
          <w:rFonts w:ascii="Calibri" w:hAnsi="Calibri" w:eastAsia="Calibri" w:cs="Calibri"/>
          <w:lang w:val="en-GB"/>
        </w:rPr>
        <w:t xml:space="preserve">.</w:t>
      </w:r>
      <w:r>
        <w:rPr>
          <w:rFonts w:ascii="Calibri" w:hAnsi="Calibri" w:cs="Calibri"/>
        </w:rPr>
      </w:r>
      <w:r>
        <w:rPr>
          <w:rFonts w:ascii="Calibri" w:hAnsi="Calibri" w:cs="Calibri"/>
        </w:rPr>
      </w:r>
    </w:p>
    <w:p w14:paraId="7B6BFAEE">
      <w:pPr>
        <w:pBdr/>
        <w:spacing w:line="358" w:lineRule="auto"/>
        <w:ind/>
        <w:jc w:val="both"/>
        <w:rPr>
          <w:rFonts w:ascii="Calibri" w:hAnsi="Calibri" w:eastAsia="Calibri" w:cs="Calibri"/>
          <w:sz w:val="22"/>
          <w:szCs w:val="22"/>
          <w:highlight w:val="none"/>
        </w:rPr>
      </w:pPr>
      <w:r>
        <w:rPr>
          <w:rFonts w:ascii="Calibri" w:hAnsi="Calibri" w:eastAsia="Calibri" w:cs="Calibri"/>
          <w:lang w:val="en-GB"/>
        </w:rPr>
        <w:t xml:space="preserve">Another very helpful source was one that provides different perspectives on the </w:t>
      </w:r>
      <w:r>
        <w:rPr>
          <w:rFonts w:ascii="Calibri" w:hAnsi="Calibri" w:eastAsia="Calibri" w:cs="Calibri"/>
          <w:lang w:val="en-GB"/>
        </w:rPr>
        <w:t xml:space="preserve">Good Friday A</w:t>
      </w:r>
      <w:r>
        <w:rPr>
          <w:rFonts w:ascii="Calibri" w:hAnsi="Calibri" w:eastAsia="Calibri" w:cs="Calibri"/>
          <w:lang w:val="en-GB"/>
        </w:rPr>
        <w:t xml:space="preserve">greement</w:t>
      </w:r>
      <w:r/>
      <w:r>
        <w:rPr>
          <w:rStyle w:val="1087"/>
          <w:rFonts w:ascii="Calibri" w:hAnsi="Calibri" w:eastAsia="Calibri" w:cs="Calibri"/>
          <w:lang w:val="en-GB"/>
        </w:rPr>
        <w:endnoteReference w:id="11"/>
      </w:r>
      <w:r>
        <w:rPr>
          <w:rFonts w:ascii="Calibri" w:hAnsi="Calibri" w:eastAsia="Calibri" w:cs="Calibri"/>
          <w:lang w:val="en-GB"/>
        </w:rPr>
        <w:t xml:space="preserve">. </w:t>
      </w:r>
      <w:r>
        <w:rPr>
          <w:rFonts w:ascii="Calibri" w:hAnsi="Calibri" w:eastAsia="Calibri" w:cs="Calibri"/>
          <w:lang w:val="en-GB"/>
        </w:rPr>
        <w:t xml:space="preserve">Firstly,</w:t>
      </w:r>
      <w:r>
        <w:rPr>
          <w:rFonts w:ascii="Calibri" w:hAnsi="Calibri" w:eastAsia="Calibri" w:cs="Calibri"/>
          <w:lang w:val="en-GB"/>
        </w:rPr>
        <w:t xml:space="preserve"> this source was great for getting another overview of the agreement and its implementation. It provide</w:t>
      </w:r>
      <w:r>
        <w:rPr>
          <w:rFonts w:ascii="Calibri" w:hAnsi="Calibri" w:eastAsia="Calibri" w:cs="Calibri"/>
          <w:lang w:val="en-GB"/>
        </w:rPr>
        <w:t xml:space="preserve">s</w:t>
      </w:r>
      <w:r>
        <w:rPr>
          <w:rFonts w:ascii="Calibri" w:hAnsi="Calibri" w:eastAsia="Calibri" w:cs="Calibri"/>
          <w:lang w:val="en-GB"/>
        </w:rPr>
        <w:t xml:space="preserve"> </w:t>
      </w:r>
      <w:r>
        <w:rPr>
          <w:rFonts w:ascii="Calibri" w:hAnsi="Calibri" w:eastAsia="Calibri" w:cs="Calibri"/>
          <w:lang w:val="en-GB"/>
        </w:rPr>
        <w:t xml:space="preserve">information on key parties that </w:t>
      </w:r>
      <w:r>
        <w:rPr>
          <w:rFonts w:ascii="Calibri" w:hAnsi="Calibri" w:eastAsia="Calibri" w:cs="Calibri"/>
          <w:lang w:val="en-GB"/>
        </w:rPr>
        <w:t xml:space="preserve">were</w:t>
      </w:r>
      <w:r>
        <w:rPr>
          <w:rFonts w:ascii="Calibri" w:hAnsi="Calibri" w:eastAsia="Calibri" w:cs="Calibri"/>
          <w:lang w:val="en-GB"/>
        </w:rPr>
        <w:t xml:space="preserve"> designing the agreement and</w:t>
      </w:r>
      <w:r>
        <w:rPr>
          <w:rFonts w:ascii="Calibri" w:hAnsi="Calibri" w:eastAsia="Calibri" w:cs="Calibri"/>
          <w:lang w:val="en-GB"/>
        </w:rPr>
        <w:t xml:space="preserve"> </w:t>
      </w:r>
      <w:r>
        <w:rPr>
          <w:rFonts w:ascii="Calibri" w:hAnsi="Calibri" w:eastAsia="Calibri" w:cs="Calibri"/>
          <w:lang w:val="en-GB"/>
        </w:rPr>
        <w:t xml:space="preserve">it presents major achievements and problems the </w:t>
      </w:r>
      <w:r>
        <w:rPr>
          <w:rFonts w:ascii="Calibri" w:hAnsi="Calibri" w:eastAsia="Calibri" w:cs="Calibri"/>
          <w:lang w:val="en-GB"/>
        </w:rPr>
        <w:t xml:space="preserve">Good Friday A</w:t>
      </w:r>
      <w:r>
        <w:rPr>
          <w:rFonts w:ascii="Calibri" w:hAnsi="Calibri" w:eastAsia="Calibri" w:cs="Calibri"/>
          <w:lang w:val="en-GB"/>
        </w:rPr>
        <w:t xml:space="preserve">greement</w:t>
      </w:r>
      <w:r>
        <w:rPr>
          <w:rFonts w:ascii="Calibri" w:hAnsi="Calibri" w:eastAsia="Calibri" w:cs="Calibri"/>
          <w:lang w:val="en-GB"/>
        </w:rPr>
        <w:t xml:space="preserve"> </w:t>
      </w:r>
      <w:r/>
      <w:r>
        <w:rPr>
          <w:rFonts w:ascii="Calibri" w:hAnsi="Calibri" w:eastAsia="Calibri" w:cs="Calibri"/>
          <w:lang w:val="en-GB"/>
        </w:rPr>
        <w:t xml:space="preserve">faced which can be helpful to draw a conclusion</w:t>
      </w:r>
      <w:r>
        <w:rPr>
          <w:rFonts w:ascii="Calibri" w:hAnsi="Calibri" w:eastAsia="Calibri" w:cs="Calibri"/>
          <w:lang w:val="en-GB"/>
        </w:rPr>
        <w:t xml:space="preserve">.</w:t>
      </w:r>
      <w:r>
        <w:rPr>
          <w:rFonts w:ascii="Calibri" w:hAnsi="Calibri" w:eastAsia="Calibri" w:cs="Calibri"/>
          <w:lang w:val="en-GB"/>
        </w:rPr>
        <w:t xml:space="preserve"> Secondly, f</w:t>
      </w:r>
      <w:r>
        <w:rPr>
          <w:rFonts w:ascii="Calibri" w:hAnsi="Calibri" w:eastAsia="Calibri" w:cs="Calibri"/>
          <w:lang w:val="en-GB"/>
        </w:rPr>
        <w:t xml:space="preserve">or a </w:t>
      </w:r>
      <w:r>
        <w:rPr>
          <w:rFonts w:ascii="Calibri" w:hAnsi="Calibri" w:eastAsia="Calibri" w:cs="Calibri"/>
          <w:lang w:val="en-GB"/>
        </w:rPr>
        <w:t xml:space="preserve">balanced judgement multifaceted opinion</w:t>
      </w:r>
      <w:r>
        <w:rPr>
          <w:rFonts w:ascii="Calibri" w:hAnsi="Calibri" w:eastAsia="Calibri" w:cs="Calibri"/>
          <w:lang w:val="en-GB"/>
        </w:rPr>
        <w:t xml:space="preserve"> are necessary</w:t>
      </w:r>
      <w:r>
        <w:rPr>
          <w:rFonts w:ascii="Calibri" w:hAnsi="Calibri" w:eastAsia="Calibri" w:cs="Calibri"/>
          <w:lang w:val="en-GB"/>
        </w:rPr>
        <w:t xml:space="preserve">. This source delivers </w:t>
      </w:r>
      <w:r>
        <w:rPr>
          <w:rFonts w:ascii="Calibri" w:hAnsi="Calibri" w:eastAsia="Calibri" w:cs="Calibri"/>
          <w:lang w:val="en-GB"/>
        </w:rPr>
        <w:t xml:space="preserve">many perspectives from different times.</w:t>
      </w:r>
      <w:r>
        <w:rPr>
          <w:rFonts w:ascii="Calibri" w:hAnsi="Calibri" w:eastAsia="Calibri" w:cs="Calibri"/>
          <w:lang w:val="en-GB"/>
        </w:rPr>
        <w:t xml:space="preserve"> L</w:t>
      </w:r>
      <w:r>
        <w:rPr>
          <w:rFonts w:ascii="Calibri" w:hAnsi="Calibri" w:eastAsia="Calibri" w:cs="Calibri"/>
          <w:lang w:val="en-GB"/>
        </w:rPr>
        <w:t xml:space="preserve">ooking back on </w:t>
      </w:r>
      <w:r>
        <w:rPr>
          <w:rFonts w:ascii="Calibri" w:hAnsi="Calibri" w:eastAsia="Calibri" w:cs="Calibri"/>
          <w:lang w:val="en-GB"/>
        </w:rPr>
        <w:t xml:space="preserve">the Good Friday Agreement</w:t>
      </w:r>
      <w:r>
        <w:rPr>
          <w:rFonts w:ascii="Calibri" w:hAnsi="Calibri" w:eastAsia="Calibri" w:cs="Calibri"/>
          <w:lang w:val="en-GB"/>
        </w:rPr>
        <w:t xml:space="preserve"> and at th</w:t>
      </w:r>
      <w:r>
        <w:rPr>
          <w:rFonts w:ascii="Calibri" w:hAnsi="Calibri" w:eastAsia="Calibri" w:cs="Calibri"/>
          <w:lang w:val="en-GB"/>
        </w:rPr>
        <w:t xml:space="preserve">e</w:t>
      </w:r>
      <w:r>
        <w:rPr>
          <w:rFonts w:ascii="Calibri" w:hAnsi="Calibri" w:eastAsia="Calibri" w:cs="Calibri"/>
          <w:lang w:val="en-GB"/>
        </w:rPr>
        <w:t xml:space="preserve"> time</w:t>
      </w:r>
      <w:r>
        <w:rPr>
          <w:rFonts w:ascii="Calibri" w:hAnsi="Calibri" w:eastAsia="Calibri" w:cs="Calibri"/>
          <w:lang w:val="en-GB"/>
        </w:rPr>
        <w:t xml:space="preserve"> it was created. </w:t>
      </w:r>
      <w:r>
        <w:rPr>
          <w:rFonts w:ascii="Calibri" w:hAnsi="Calibri" w:eastAsia="Calibri" w:cs="Calibri"/>
          <w:lang w:val="en-GB"/>
        </w:rPr>
        <w:t xml:space="preserve"> </w:t>
      </w:r>
      <w:r>
        <w:rPr>
          <w:rFonts w:ascii="Calibri" w:hAnsi="Calibri" w:cs="Calibri"/>
        </w:rPr>
      </w:r>
      <w:r>
        <w:rPr>
          <w:rFonts w:ascii="Calibri" w:hAnsi="Calibri" w:cs="Calibri"/>
        </w:rPr>
      </w: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cs="Calibri"/>
        </w:rPr>
      </w: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14:paraId="0D14EBE5">
      <w:pPr>
        <w:pBdr/>
        <w:spacing w:line="358" w:lineRule="auto"/>
        <w:ind/>
        <w:jc w:val="both"/>
        <w:rPr>
          <w:rFonts w:ascii="Calibri" w:hAnsi="Calibri" w:eastAsia="Calibri" w:cs="Calibri"/>
          <w:sz w:val="22"/>
          <w:szCs w:val="22"/>
          <w:highlight w:val="none"/>
        </w:rPr>
      </w:pP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14:paraId="08F33532">
      <w:pPr>
        <w:pBdr/>
        <w:spacing w:line="358" w:lineRule="auto"/>
        <w:ind/>
        <w:jc w:val="both"/>
        <w:rPr>
          <w:rFonts w:ascii="Calibri" w:hAnsi="Calibri" w:eastAsia="Calibri" w:cs="Calibri"/>
          <w:sz w:val="22"/>
          <w:szCs w:val="22"/>
          <w:highlight w:val="none"/>
        </w:rPr>
      </w:pP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14:paraId="5990CFB8">
      <w:pPr>
        <w:pBdr/>
        <w:spacing w:line="358" w:lineRule="auto"/>
        <w:ind/>
        <w:jc w:val="both"/>
        <w:rPr>
          <w:rFonts w:ascii="Calibri" w:hAnsi="Calibri" w:eastAsia="Calibri" w:cs="Calibri"/>
          <w:sz w:val="22"/>
          <w:szCs w:val="22"/>
          <w:highlight w:val="none"/>
        </w:rPr>
      </w:pP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14:paraId="7CBBC45B">
      <w:pPr>
        <w:pBdr/>
        <w:spacing w:line="358" w:lineRule="auto"/>
        <w:ind/>
        <w:jc w:val="both"/>
        <w:rPr>
          <w:rFonts w:ascii="Calibri" w:hAnsi="Calibri" w:eastAsia="Calibri" w:cs="Calibri"/>
          <w:sz w:val="22"/>
          <w:szCs w:val="22"/>
          <w:highlight w:val="none"/>
        </w:rPr>
      </w:pP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14:paraId="1CE50142">
      <w:pPr>
        <w:pBdr/>
        <w:spacing w:line="358" w:lineRule="auto"/>
        <w:ind/>
        <w:jc w:val="both"/>
        <w:rPr>
          <w:rFonts w:ascii="Calibri" w:hAnsi="Calibri" w:eastAsia="Calibri" w:cs="Calibri"/>
          <w:sz w:val="22"/>
          <w:szCs w:val="22"/>
          <w:highlight w:val="none"/>
        </w:rPr>
      </w:pP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sectPr>
      <w:headerReference w:type="default" r:id="rId9"/>
      <w:headerReference w:type="first" r:id="rId10"/>
      <w:footerReference w:type="default" r:id="rId11"/>
      <w:footerReference w:type="first" r:id="rId12"/>
      <w:footnotePr/>
      <w:endnotePr>
        <w:numFmt w:val="decimal"/>
        <w:numRestart w:val="continuous"/>
        <w:numStart w:val="1"/>
      </w:endnotePr>
      <w:type w:val="nextPage"/>
      <w:pgSz w:h="16838" w:orient="portrait" w:w="11906"/>
      <w:pgMar w:top="1440" w:right="1440" w:bottom="1440" w:left="1440" w:header="504"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 w:id="2">
    <w:p w14:paraId="6189D189">
      <w:pPr>
        <w:pStyle w:val="1085"/>
        <w:pBdr/>
        <w:spacing/>
        <w:ind/>
        <w:rPr>
          <w:rFonts w:ascii="Calibri" w:hAnsi="Calibri" w:cs="Calibri"/>
        </w:rPr>
      </w:pPr>
      <w:r>
        <w:rPr>
          <w:rStyle w:val="1087"/>
        </w:rPr>
        <w:endnoteRef/>
      </w:r>
      <w:r>
        <w:t xml:space="preserve"> </w:t>
      </w:r>
      <w:r>
        <w:rPr>
          <w:rFonts w:ascii="Calibri" w:hAnsi="Calibri" w:eastAsia="Calibri" w:cs="Calibri"/>
        </w:rPr>
        <w:t xml:space="preserve">John Coakley (2002): Religion, National Identity and Political Change in Modern Ireland,</w:t>
      </w:r>
      <w:r>
        <w:rPr>
          <w:rFonts w:ascii="Calibri" w:hAnsi="Calibri" w:eastAsia="Calibri" w:cs="Calibri"/>
        </w:rPr>
      </w:r>
      <w:r>
        <w:rPr>
          <w:rFonts w:ascii="Calibri" w:hAnsi="Calibri" w:cs="Calibri"/>
        </w:rPr>
      </w:r>
    </w:p>
    <w:p w14:paraId="41530D51">
      <w:pPr>
        <w:pStyle w:val="1085"/>
        <w:pBdr/>
        <w:spacing/>
        <w:ind/>
        <w:rPr>
          <w:rFonts w:ascii="Calibri" w:hAnsi="Calibri" w:cs="Calibri"/>
        </w:rPr>
      </w:pPr>
      <w:r>
        <w:rPr>
          <w:rFonts w:ascii="Calibri" w:hAnsi="Calibri" w:eastAsia="Calibri" w:cs="Calibri"/>
        </w:rPr>
        <w:t xml:space="preserve">Irish Political Studies, 17:1, 4-28, DOI:</w:t>
      </w:r>
      <w:hyperlink r:id="rId1" w:tooltip="https://doi.org/10.1080/714003140" w:history="1">
        <w:r>
          <w:rPr>
            <w:rStyle w:val="1088"/>
            <w:rFonts w:ascii="Calibri" w:hAnsi="Calibri" w:eastAsia="Calibri" w:cs="Calibri"/>
          </w:rPr>
          <w:t xml:space="preserve">https://doi.org/10.1080/714003140</w:t>
        </w:r>
      </w:hyperlink>
      <w:r>
        <w:rPr>
          <w:rFonts w:ascii="Calibri" w:hAnsi="Calibri" w:eastAsia="Calibri" w:cs="Calibri"/>
        </w:rPr>
        <w:t xml:space="preserve">. Last Accessed 11 Mar. 2026.</w:t>
      </w:r>
      <w:r>
        <w:rPr>
          <w:rFonts w:ascii="Calibri" w:hAnsi="Calibri" w:eastAsia="Calibri" w:cs="Calibri"/>
        </w:rPr>
      </w:r>
      <w:r>
        <w:rPr>
          <w:rFonts w:ascii="Calibri" w:hAnsi="Calibri" w:cs="Calibri"/>
        </w:rPr>
      </w:r>
    </w:p>
  </w:endnote>
  <w:endnote w:id="3">
    <w:p w14:paraId="787074D9">
      <w:pPr>
        <w:pStyle w:val="1085"/>
        <w:pBdr/>
        <w:spacing/>
        <w:ind/>
        <w:rPr/>
      </w:pPr>
      <w:r>
        <w:rPr>
          <w:rStyle w:val="1087"/>
        </w:rPr>
        <w:endnoteRef/>
      </w:r>
      <w:r>
        <w:t xml:space="preserve"> </w:t>
      </w:r>
      <w:r>
        <w:rPr>
          <w:rFonts w:ascii="Calibri" w:hAnsi="Calibri" w:eastAsia="Calibri" w:cs="Calibri"/>
        </w:rPr>
        <w:t xml:space="preserve">Cradden, Terry, and Paul Teague. “Labour Market Discrimination and Fair Employment in Northern Ireland: An Introduction.” International Journal of Manpower, vol. 13, no. 6, June 1992, pp. 3–15, </w:t>
      </w:r>
      <w:hyperlink r:id="rId2" w:tooltip="https://doi.org/10.1108/eum0000000000906" w:history="1">
        <w:r>
          <w:rPr>
            <w:rStyle w:val="1088"/>
            <w:rFonts w:ascii="Calibri" w:hAnsi="Calibri" w:eastAsia="Calibri" w:cs="Calibri"/>
          </w:rPr>
          <w:t xml:space="preserve">https://doi.org/10.1108/eum0000000000906</w:t>
        </w:r>
      </w:hyperlink>
      <w:r>
        <w:rPr>
          <w:rFonts w:ascii="Calibri" w:hAnsi="Calibri" w:eastAsia="Calibri" w:cs="Calibri"/>
        </w:rPr>
        <w:t xml:space="preserve">.</w:t>
      </w:r>
      <w:r>
        <w:rPr>
          <w:rFonts w:ascii="Calibri" w:hAnsi="Calibri" w:eastAsia="Calibri" w:cs="Calibri"/>
        </w:rPr>
        <w:t xml:space="preserve"> Last Accessed 11 Mar. 2026</w:t>
      </w:r>
      <w:r/>
    </w:p>
  </w:endnote>
  <w:endnote w:id="4">
    <w:p w14:paraId="1FADA383">
      <w:pPr>
        <w:pStyle w:val="1085"/>
        <w:pBdr/>
        <w:spacing/>
        <w:ind/>
        <w:rPr>
          <w:lang w:val="en-IE"/>
        </w:rPr>
      </w:pPr>
      <w:r>
        <w:rPr>
          <w:rStyle w:val="1087"/>
          <w:lang w:val="en-IE"/>
        </w:rPr>
        <w:endnoteRef/>
      </w:r>
      <w:r>
        <w:rPr>
          <w:lang w:val="en-IE"/>
        </w:rPr>
        <w:t xml:space="preserve"> </w:t>
      </w:r>
      <w:r>
        <w:rPr>
          <w:rStyle w:val="1086"/>
          <w:rFonts w:ascii="Calibri" w:hAnsi="Calibri" w:eastAsia="Calibri" w:cs="Calibri"/>
          <w:lang w:val="en-IE"/>
        </w:rPr>
        <w:t xml:space="preserve">Melaugh, M. “CAIN: Irish Republican Army (IRA) Statement on the Ending of the Armed Campaign, (28 July 2005).” </w:t>
      </w:r>
      <w:r>
        <w:rPr>
          <w:rStyle w:val="1086"/>
          <w:rFonts w:ascii="Calibri" w:hAnsi="Calibri" w:eastAsia="Calibri" w:cs="Calibri"/>
          <w:i/>
          <w:iCs/>
          <w:lang w:val="en-IE"/>
        </w:rPr>
        <w:t xml:space="preserve">Ulster University</w:t>
      </w:r>
      <w:r>
        <w:rPr>
          <w:rStyle w:val="1086"/>
          <w:rFonts w:ascii="Calibri" w:hAnsi="Calibri" w:eastAsia="Calibri" w:cs="Calibri"/>
          <w:lang w:val="en-IE"/>
        </w:rPr>
        <w:t xml:space="preserve">, 28 July 2005, </w:t>
      </w:r>
      <w:hyperlink r:id="rId3" w:tooltip="https://cain.ulster.ac.uk/othelem/organ/ira/ira280705.htm" w:history="1">
        <w:r>
          <w:rPr>
            <w:rStyle w:val="1088"/>
            <w:rFonts w:ascii="Calibri" w:hAnsi="Calibri" w:eastAsia="Calibri" w:cs="Calibri"/>
            <w:lang w:val="en-IE"/>
          </w:rPr>
          <w:t xml:space="preserve">https://cain.ulster.ac.uk/othelem/organ/ira/ira280705.htm</w:t>
        </w:r>
        <w:r>
          <w:rPr>
            <w:rStyle w:val="1088"/>
            <w:rFonts w:ascii="Calibri" w:hAnsi="Calibri" w:eastAsia="Calibri" w:cs="Calibri"/>
            <w:lang w:val="en-IE" w:bidi="en-IE"/>
          </w:rPr>
        </w:r>
        <w:r>
          <w:rPr>
            <w:rStyle w:val="1088"/>
            <w:lang w:val="en-IE" w:bidi="en-IE"/>
          </w:rPr>
        </w:r>
      </w:hyperlink>
      <w:r>
        <w:rPr>
          <w:lang w:val="en-IE"/>
        </w:rPr>
        <w:t xml:space="preserve">. </w:t>
      </w:r>
      <w:r>
        <w:rPr>
          <w:rFonts w:ascii="Calibri" w:hAnsi="Calibri" w:eastAsia="Calibri" w:cs="Calibri"/>
          <w:lang w:val="en-IE"/>
        </w:rPr>
        <w:t xml:space="preserve">Last Accessed 11 Mar. 2026.</w:t>
      </w:r>
      <w:r>
        <w:rPr>
          <w:lang w:val="en-IE"/>
        </w:rPr>
      </w:r>
      <w:r>
        <w:rPr>
          <w:lang w:val="en-IE"/>
        </w:rPr>
      </w:r>
    </w:p>
  </w:endnote>
  <w:endnote w:id="5">
    <w:p w14:paraId="0434D6F0">
      <w:pPr>
        <w:pStyle w:val="1085"/>
        <w:pBdr/>
        <w:spacing/>
        <w:ind/>
        <w:jc w:val="both"/>
        <w:rPr>
          <w:rFonts w:ascii="Calibri" w:hAnsi="Calibri" w:eastAsia="Calibri" w:cs="Calibri"/>
          <w:color w:val="000000"/>
          <w:sz w:val="22"/>
          <w:szCs w:val="22"/>
          <w:lang w:val="en-IE"/>
        </w:rPr>
      </w:pPr>
      <w:r>
        <w:rPr>
          <w:rStyle w:val="1087"/>
          <w:lang w:val="en-IE"/>
        </w:rPr>
        <w:endnoteRef/>
      </w:r>
      <w:r>
        <w:rPr>
          <w:lang w:val="en-IE"/>
        </w:rPr>
        <w:t xml:space="preserve"> </w:t>
      </w:r>
      <w:r>
        <w:rPr>
          <w:rFonts w:ascii="Calibri" w:hAnsi="Calibri" w:eastAsia="Calibri" w:cs="Calibri"/>
          <w:color w:val="000000"/>
          <w:sz w:val="20"/>
          <w:szCs w:val="20"/>
          <w:lang w:val="en-IE"/>
        </w:rPr>
        <w:t xml:space="preserve">Hall, A., (2018) “Incomplete Peace and Social Stagnation: Shortcomings of the Good Friday</w:t>
      </w:r>
      <w:r>
        <w:rPr>
          <w:rFonts w:ascii="Calibri" w:hAnsi="Calibri" w:eastAsia="Calibri" w:cs="Calibri"/>
          <w:color w:val="000000"/>
          <w:sz w:val="20"/>
          <w:szCs w:val="20"/>
          <w:lang w:val="en-IE"/>
        </w:rPr>
        <w:t xml:space="preserve"> </w:t>
      </w:r>
      <w:r>
        <w:rPr>
          <w:rFonts w:ascii="Calibri" w:hAnsi="Calibri" w:eastAsia="Calibri" w:cs="Calibri"/>
          <w:color w:val="000000"/>
          <w:sz w:val="20"/>
          <w:szCs w:val="20"/>
          <w:lang w:val="en-IE"/>
        </w:rPr>
        <w:t xml:space="preserve">Agreement”, </w:t>
      </w:r>
      <w:r>
        <w:rPr>
          <w:rFonts w:ascii="Calibri" w:hAnsi="Calibri" w:eastAsia="Calibri" w:cs="Calibri"/>
          <w:i/>
          <w:color w:val="000000"/>
          <w:sz w:val="20"/>
          <w:szCs w:val="20"/>
          <w:lang w:val="en-IE"/>
        </w:rPr>
        <w:t xml:space="preserve">Open Library of Humanities</w:t>
      </w:r>
      <w:r>
        <w:rPr>
          <w:rFonts w:ascii="Calibri" w:hAnsi="Calibri" w:eastAsia="Calibri" w:cs="Calibri"/>
          <w:color w:val="000000"/>
          <w:sz w:val="20"/>
          <w:szCs w:val="20"/>
          <w:lang w:val="en-IE"/>
        </w:rPr>
        <w:t xml:space="preserve"> 4(2), 7. doi: </w:t>
      </w:r>
      <w:hyperlink r:id="rId4" w:tooltip="https://doi.org/10.16995/olh.251" w:history="1">
        <w:r>
          <w:rPr>
            <w:rStyle w:val="1088"/>
            <w:rFonts w:ascii="Calibri" w:hAnsi="Calibri" w:eastAsia="Calibri" w:cs="Calibri"/>
            <w:color w:val="0000ee"/>
            <w:sz w:val="20"/>
            <w:szCs w:val="20"/>
            <w:u w:val="single"/>
            <w:lang w:val="en-IE"/>
          </w:rPr>
          <w:t xml:space="preserve">https://doi.org/10.16995/olh.251</w:t>
        </w:r>
      </w:hyperlink>
      <w:r>
        <w:rPr>
          <w:rFonts w:ascii="Calibri" w:hAnsi="Calibri" w:eastAsia="Calibri" w:cs="Calibri"/>
          <w:color w:val="000000"/>
          <w:sz w:val="22"/>
          <w:szCs w:val="22"/>
          <w:lang w:val="en-IE"/>
        </w:rPr>
        <w:t xml:space="preserve"> </w:t>
      </w:r>
      <w:r>
        <w:rPr>
          <w:rFonts w:ascii="Calibri" w:hAnsi="Calibri" w:eastAsia="Calibri" w:cs="Calibri"/>
          <w:lang w:val="en-IE"/>
        </w:rPr>
        <w:t xml:space="preserve">Last Accessed 11 Mar. 2026.</w:t>
      </w:r>
      <w:r>
        <w:rPr>
          <w:rFonts w:ascii="Calibri" w:hAnsi="Calibri" w:eastAsia="Calibri" w:cs="Calibri"/>
          <w:color w:val="000000"/>
          <w:sz w:val="22"/>
          <w:szCs w:val="22"/>
          <w:lang w:val="en-IE"/>
        </w:rPr>
      </w:r>
      <w:r>
        <w:rPr>
          <w:rFonts w:ascii="Calibri" w:hAnsi="Calibri" w:eastAsia="Calibri" w:cs="Calibri"/>
          <w:color w:val="000000"/>
          <w:sz w:val="22"/>
          <w:szCs w:val="22"/>
          <w:lang w:val="en-IE"/>
        </w:rPr>
      </w:r>
    </w:p>
  </w:endnote>
  <w:endnote w:id="6">
    <w:p w14:paraId="00D60FE7">
      <w:pPr>
        <w:pStyle w:val="1085"/>
        <w:pBdr/>
        <w:spacing/>
        <w:ind/>
        <w:rPr>
          <w:lang w:val="en-IE"/>
        </w:rPr>
      </w:pPr>
      <w:r>
        <w:rPr>
          <w:rStyle w:val="1087"/>
          <w:lang w:val="en-IE"/>
        </w:rPr>
        <w:endnoteRef/>
      </w:r>
      <w:r>
        <w:rPr>
          <w:lang w:val="en-IE"/>
        </w:rPr>
        <w:t xml:space="preserve"> </w:t>
      </w:r>
      <w:r>
        <w:rPr>
          <w:lang w:val="en-IE"/>
        </w:rPr>
        <w:t xml:space="preserve">“</w:t>
      </w:r>
      <w:r>
        <w:rPr>
          <w:rFonts w:ascii="Calibri" w:hAnsi="Calibri" w:eastAsia="Calibri" w:cs="Calibri"/>
          <w:lang w:val="en-IE"/>
        </w:rPr>
        <w:t xml:space="preserve">Agreement Reached in Multi-Party Negotiations.” </w:t>
      </w:r>
      <w:r>
        <w:rPr>
          <w:rFonts w:ascii="Calibri" w:hAnsi="Calibri" w:eastAsia="Calibri" w:cs="Calibri"/>
          <w:i/>
          <w:iCs/>
          <w:lang w:val="en-IE"/>
        </w:rPr>
        <w:t xml:space="preserve">Government of Ireland</w:t>
      </w:r>
      <w:r>
        <w:rPr>
          <w:rFonts w:ascii="Calibri" w:hAnsi="Calibri" w:eastAsia="Calibri" w:cs="Calibri"/>
          <w:lang w:val="en-IE"/>
        </w:rPr>
        <w:t xml:space="preserve">, 10 April 1998, </w:t>
      </w:r>
      <w:hyperlink r:id="rId5" w:tooltip="https://assets.ireland.ie/documents/good-friday-agreement.pdf" w:history="1">
        <w:r>
          <w:rPr>
            <w:rStyle w:val="1088"/>
            <w:rFonts w:ascii="Calibri" w:hAnsi="Calibri" w:eastAsia="Calibri" w:cs="Calibri"/>
            <w:lang w:val="en-IE"/>
          </w:rPr>
          <w:t xml:space="preserve">https://assets.ireland.ie/documents/good-friday-agreement.pdf</w:t>
        </w:r>
      </w:hyperlink>
      <w:r>
        <w:rPr>
          <w:rFonts w:ascii="Calibri" w:hAnsi="Calibri" w:eastAsia="Calibri" w:cs="Calibri"/>
          <w:lang w:val="en-IE"/>
        </w:rPr>
        <w:t xml:space="preserve">. </w:t>
      </w:r>
      <w:r>
        <w:rPr>
          <w:rFonts w:ascii="Calibri" w:hAnsi="Calibri" w:eastAsia="Calibri" w:cs="Calibri"/>
          <w:lang w:val="en-IE"/>
        </w:rPr>
        <w:t xml:space="preserve">Last Accessed 11 Mar. 2026.</w:t>
      </w:r>
      <w:r>
        <w:rPr>
          <w:lang w:val="en-IE"/>
        </w:rPr>
      </w:r>
      <w:r>
        <w:rPr>
          <w:lang w:val="en-IE"/>
        </w:rPr>
      </w:r>
    </w:p>
  </w:endnote>
  <w:endnote w:id="7">
    <w:p w14:paraId="2E19D077">
      <w:pPr>
        <w:pStyle w:val="1085"/>
        <w:pBdr/>
        <w:spacing/>
        <w:ind/>
        <w:rPr>
          <w:lang w:val="en-IE"/>
        </w:rPr>
      </w:pPr>
      <w:r>
        <w:rPr>
          <w:rStyle w:val="1087"/>
          <w:lang w:val="en-IE"/>
        </w:rPr>
        <w:endnoteRef/>
      </w:r>
      <w:r>
        <w:rPr>
          <w:lang w:val="en-IE"/>
        </w:rPr>
        <w:t xml:space="preserve"> </w:t>
      </w:r>
      <w:r>
        <w:rPr>
          <w:rFonts w:ascii="Calibri" w:hAnsi="Calibri" w:eastAsia="Calibri" w:cs="Calibri"/>
          <w:lang w:val="en-IE"/>
        </w:rPr>
        <w:t xml:space="preserve">Walker, Alex. “Unionism and the Belfast/Good Friday Agreement.” UK in a Changing Europe, 13 Apr. 2023, </w:t>
      </w:r>
      <w:hyperlink r:id="rId6" w:tooltip="https;//ukandeu.ac.uk/unionism-and-the-belfast-good-friday-agreement/" w:history="1">
        <w:r>
          <w:rPr>
            <w:rStyle w:val="1088"/>
            <w:rFonts w:ascii="Calibri" w:hAnsi="Calibri" w:eastAsia="Calibri" w:cs="Calibri"/>
            <w:lang w:val="en-IE"/>
          </w:rPr>
          <w:t xml:space="preserve">https;//ukandeu.ac.uk/unionism-and-the-belfast-good-friday-agreement/</w:t>
        </w:r>
      </w:hyperlink>
      <w:r>
        <w:rPr>
          <w:rFonts w:ascii="Calibri" w:hAnsi="Calibri" w:eastAsia="Calibri" w:cs="Calibri"/>
          <w:lang w:val="en-IE"/>
        </w:rPr>
        <w:t xml:space="preserve">. Last Accessed 11 Mar. 2026.</w:t>
      </w:r>
      <w:r>
        <w:rPr>
          <w:lang w:val="en-IE"/>
        </w:rPr>
      </w:r>
      <w:r>
        <w:rPr>
          <w:lang w:val="en-IE"/>
        </w:rPr>
      </w:r>
    </w:p>
  </w:endnote>
  <w:endnote w:id="8">
    <w:p w14:paraId="78001722">
      <w:pPr>
        <w:pStyle w:val="1085"/>
        <w:pBdr/>
        <w:spacing/>
        <w:ind/>
        <w:rPr>
          <w:rFonts w:ascii="Calibri" w:hAnsi="Calibri" w:cs="Calibri"/>
        </w:rPr>
      </w:pPr>
      <w:r>
        <w:rPr>
          <w:rStyle w:val="1087"/>
          <w:lang w:val="en-IE"/>
        </w:rPr>
        <w:endnoteRef/>
      </w:r>
      <w:r>
        <w:rPr>
          <w:lang w:val="en-IE"/>
        </w:rPr>
        <w:t xml:space="preserve"> </w:t>
      </w:r>
      <w:r>
        <w:rPr>
          <w:rFonts w:ascii="Calibri" w:hAnsi="Calibri" w:eastAsia="Calibri" w:cs="Calibri"/>
          <w:lang w:val="en-IE"/>
        </w:rPr>
        <w:t xml:space="preserve">Haire, Siobhan. “Building a Lasting Peace: 25 Years of the Good Friday Agreement.” Quakers, 2020, </w:t>
      </w:r>
      <w:hyperlink r:id="rId7" w:tooltip="https://www.quaker.org.uk/blog/25-years-since-the-good-friday-agreement-reflections-from-a-quaker" w:history="1">
        <w:r>
          <w:rPr>
            <w:rStyle w:val="1088"/>
            <w:rFonts w:ascii="Calibri" w:hAnsi="Calibri" w:eastAsia="Calibri" w:cs="Calibri"/>
            <w:lang w:val="en-IE"/>
          </w:rPr>
          <w:t xml:space="preserve">https://www.quaker.org.uk/blog/25-years-since-the-good-friday-agreement-reflections-from-a-quaker</w:t>
        </w:r>
      </w:hyperlink>
      <w:r>
        <w:rPr>
          <w:rFonts w:ascii="Calibri" w:hAnsi="Calibri" w:eastAsia="Calibri" w:cs="Calibri"/>
          <w:lang w:val="en-IE"/>
        </w:rPr>
        <w:t xml:space="preserve">. Last </w:t>
      </w:r>
      <w:r>
        <w:rPr>
          <w:rFonts w:ascii="Calibri" w:hAnsi="Calibri" w:eastAsia="Calibri" w:cs="Calibri"/>
        </w:rPr>
        <w:t xml:space="preserve">Accessed 11 Mar. 2026.</w:t>
      </w:r>
      <w:r>
        <w:rPr>
          <w:rFonts w:ascii="Calibri" w:hAnsi="Calibri" w:eastAsia="Calibri" w:cs="Calibri"/>
        </w:rPr>
      </w:r>
      <w:r>
        <w:rPr>
          <w:rFonts w:ascii="Calibri" w:hAnsi="Calibri" w:cs="Calibri"/>
        </w:rPr>
      </w:r>
    </w:p>
  </w:endnote>
  <w:endnote w:id="9">
    <w:p w14:paraId="0DECDF66">
      <w:pPr>
        <w:pStyle w:val="1085"/>
        <w:pBdr/>
        <w:spacing/>
        <w:ind/>
        <w:rPr>
          <w:lang w:val="en-US"/>
        </w:rPr>
      </w:pPr>
      <w:r>
        <w:rPr>
          <w:rStyle w:val="1087"/>
        </w:rPr>
        <w:endnoteRef/>
      </w:r>
      <w:r>
        <w:rPr>
          <w:lang w:val="en-US"/>
        </w:rPr>
        <w:t xml:space="preserve"> </w:t>
      </w:r>
      <w:r>
        <w:rPr>
          <w:rFonts w:ascii="Calibri" w:hAnsi="Calibri" w:eastAsia="Calibri" w:cs="Calibri"/>
        </w:rPr>
        <w:t xml:space="preserve">Wallenfeldt, Jeff. “The Troubles.” Encyclopedia Britannica, 14 May 2019, </w:t>
      </w:r>
      <w:hyperlink r:id="rId8" w:tooltip="https://www.britannica.com/event/The-Troubles-Northern-Ireland-history" w:history="1">
        <w:r>
          <w:rPr>
            <w:rStyle w:val="1088"/>
            <w:rFonts w:ascii="Calibri" w:hAnsi="Calibri" w:eastAsia="Calibri" w:cs="Calibri"/>
          </w:rPr>
          <w:t xml:space="preserve">https://www.britannica.com/event/The-Troubles-Northern-Ireland-history</w:t>
        </w:r>
      </w:hyperlink>
      <w:r>
        <w:rPr>
          <w:rFonts w:ascii="Calibri" w:hAnsi="Calibri" w:eastAsia="Calibri" w:cs="Calibri"/>
        </w:rPr>
        <w:t xml:space="preserve">. Last Accessed 11 Mar. 2026.</w:t>
      </w:r>
      <w:r>
        <w:rPr>
          <w:lang w:val="en-US"/>
        </w:rPr>
      </w:r>
      <w:r>
        <w:rPr>
          <w:lang w:val="en-US"/>
        </w:rPr>
      </w:r>
    </w:p>
  </w:endnote>
  <w:endnote w:id="10">
    <w:p w14:paraId="5F58FB4D">
      <w:pPr>
        <w:pStyle w:val="1085"/>
        <w:pBdr/>
        <w:spacing/>
        <w:ind/>
        <w:rPr>
          <w:lang w:val="en-US"/>
        </w:rPr>
      </w:pPr>
      <w:r>
        <w:rPr>
          <w:rStyle w:val="1087"/>
        </w:rPr>
        <w:endnoteRef/>
      </w:r>
      <w:r>
        <w:rPr>
          <w:lang w:val="en-US"/>
        </w:rPr>
        <w:t xml:space="preserve"> </w:t>
      </w:r>
      <w:r>
        <w:rPr>
          <w:rFonts w:ascii="Calibri" w:hAnsi="Calibri" w:eastAsia="Calibri" w:cs="Calibri"/>
        </w:rPr>
        <w:t xml:space="preserve">Guelke, Adrian. “The Northern Ireland Peace Process and the War against Terrorism: Conflicting Conceptions?” Government and Opposition, vol. 42, no. 3, 2007, pp. 272–291, </w:t>
      </w:r>
      <w:hyperlink r:id="rId9" w:tooltip="https://doi.org/10.1111/j.1477-7053.2007.00224.x" w:history="1">
        <w:r>
          <w:rPr>
            <w:rStyle w:val="1088"/>
            <w:rFonts w:ascii="Calibri" w:hAnsi="Calibri" w:eastAsia="Calibri" w:cs="Calibri"/>
          </w:rPr>
          <w:t xml:space="preserve">https://doi.org/10.1111/j.1477-7053.2007.00224.x</w:t>
        </w:r>
      </w:hyperlink>
      <w:r>
        <w:rPr>
          <w:rFonts w:ascii="Calibri" w:hAnsi="Calibri" w:eastAsia="Calibri" w:cs="Calibri"/>
        </w:rPr>
        <w:t xml:space="preserve">. Last Accessed 11 Mar. 2026.</w:t>
      </w:r>
      <w:r>
        <w:rPr>
          <w:rFonts w:ascii="Calibri" w:hAnsi="Calibri" w:eastAsia="Calibri" w:cs="Calibri"/>
          <w:lang w:val="en-US"/>
        </w:rPr>
      </w:r>
      <w:r>
        <w:rPr>
          <w:lang w:val="en-US"/>
        </w:rPr>
      </w:r>
    </w:p>
  </w:endnote>
  <w:endnote w:id="11">
    <w:p w14:paraId="4D85E9C1">
      <w:pPr>
        <w:pStyle w:val="1085"/>
        <w:pBdr/>
        <w:spacing/>
        <w:ind/>
        <w:rPr>
          <w:rFonts w:ascii="Calibri" w:hAnsi="Calibri" w:cs="Calibri"/>
        </w:rPr>
      </w:pPr>
      <w:r>
        <w:rPr>
          <w:rStyle w:val="1087"/>
        </w:rPr>
        <w:endnoteRef/>
      </w:r>
      <w:r>
        <w:rPr>
          <w:rFonts w:ascii="Calibri" w:hAnsi="Calibri" w:eastAsia="Calibri" w:cs="Calibri"/>
          <w:lang w:val="en-US"/>
        </w:rPr>
        <w:t xml:space="preserve"> </w:t>
      </w:r>
      <w:r>
        <w:rPr>
          <w:rFonts w:ascii="Calibri" w:hAnsi="Calibri" w:eastAsia="Calibri" w:cs="Calibri"/>
        </w:rPr>
        <w:t xml:space="preserve">Renwick, Alan, and Conor Kelly. Perspectives on the Belfast/Good Friday Agreement: Examining Diverse Views, 1998-2023. July 2023. </w:t>
      </w:r>
      <w:hyperlink r:id="rId10" w:tooltip="https://www.ucl.ac.uk/social-historical-sciences/sites/social_historical_sciences/files/205_-_perspectives_on_the_belfast_good_friday_agreement.pdf" w:history="1">
        <w:r>
          <w:rPr>
            <w:rStyle w:val="1088"/>
            <w:rFonts w:ascii="Calibri" w:hAnsi="Calibri" w:eastAsia="Calibri" w:cs="Calibri"/>
          </w:rPr>
          <w:t xml:space="preserve">https://www.ucl.ac.uk/social-historical-sciences/sites/social_historical_sciences/files/205_-_perspectives_on_the_belfast_good_friday_agreement.pdf</w:t>
        </w:r>
      </w:hyperlink>
      <w:r>
        <w:rPr>
          <w:rFonts w:ascii="Calibri" w:hAnsi="Calibri" w:eastAsia="Calibri" w:cs="Calibri"/>
          <w:color w:val="000000" w:themeColor="text1"/>
          <w:shd w:val="clear" w:color="auto" w:fill="ffffff"/>
          <w:lang w:val="en-US"/>
        </w:rPr>
        <w:t xml:space="preserve">. Last Accessed 11 Mar. 2026.</w:t>
      </w:r>
      <w:r>
        <w:rPr>
          <w:rFonts w:ascii="Calibri" w:hAnsi="Calibri" w:eastAsia="Calibri" w:cs="Calibri"/>
        </w:rP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10000000000000000"/>
  </w:font>
  <w:font w:name="Wingdings">
    <w:panose1 w:val="0501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BFEEAF">
    <w:pPr>
      <w:pStyle w:val="1079"/>
      <w:pBdr/>
      <w:spacing/>
      <w:ind/>
      <w:rPr>
        <w:highlight w:val="none"/>
        <w:lang w:val="en-IE"/>
      </w:rPr>
    </w:pPr>
    <w:r>
      <w:rPr>
        <w:lang w:val="en-IE"/>
      </w:rPr>
      <w:t xml:space="preserve">Alexander Heering &amp;</w:t>
    </w:r>
    <w:r>
      <w:rPr>
        <w:highlight w:val="none"/>
        <w:lang w:val="en-IE"/>
      </w:rPr>
      <w:tab/>
      <w:tab/>
    </w:r>
    <w:r>
      <w:rPr>
        <w:highlight w:val="none"/>
        <w:lang w:val="en-IE"/>
      </w:rPr>
    </w:r>
    <w:r>
      <w:rPr>
        <w:highlight w:val="none"/>
        <w:lang w:val="en-IE"/>
      </w:rPr>
    </w:r>
  </w:p>
  <w:p w14:paraId="4995CCB3">
    <w:pPr>
      <w:pStyle w:val="1079"/>
      <w:pBdr/>
      <w:spacing/>
      <w:ind/>
      <w:rPr/>
    </w:pPr>
    <w:r>
      <w:rPr>
        <w:highlight w:val="none"/>
        <w:lang w:val="en-IE" w:bidi="de-DE"/>
      </w:rPr>
      <w:t xml:space="preserve">Leander Kühnel</w:t>
      <w:tab/>
      <w:tab/>
    </w:r>
    <w:fldSimple w:instr="PAGE \* MERGEFORMAT">
      <w:r>
        <w:rPr>
          <w:highlight w:val="none"/>
          <w:lang w:val="en-IE" w:bidi="de-DE"/>
        </w:rPr>
        <w:t xml:space="preserve">1</w:t>
      </w:r>
    </w:fldSimple>
    <w:r>
      <w:rPr>
        <w:highlight w:val="none"/>
        <w:lang w:val="en-IE" w:bidi="de-DE"/>
      </w:rPr>
    </w:r>
    <w:r>
      <w:rPr>
        <w:color w:val="000000" w:themeColor="text1"/>
        <w:highlight w:val="none"/>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24E6399">
    <w:pPr>
      <w:pStyle w:val="1079"/>
      <w:pBdr/>
      <w:spacing/>
      <w:ind/>
      <w:rPr>
        <w:highlight w:val="none"/>
        <w:lang w:val="en-IE"/>
      </w:rPr>
    </w:pPr>
    <w:r>
      <w:rPr>
        <w:lang w:val="en-IE"/>
      </w:rPr>
      <w:t xml:space="preserve">Alexander Heering &amp;</w:t>
    </w:r>
    <w:r>
      <w:rPr>
        <w:highlight w:val="none"/>
        <w:lang w:val="en-IE"/>
      </w:rPr>
    </w:r>
    <w:r>
      <w:rPr>
        <w:highlight w:val="none"/>
        <w:lang w:val="en-IE"/>
      </w:rPr>
    </w:r>
  </w:p>
  <w:p w14:paraId="21306D48">
    <w:pPr>
      <w:pStyle w:val="1079"/>
      <w:pBdr/>
      <w:spacing/>
      <w:ind/>
      <w:rPr>
        <w:color w:val="000000" w:themeColor="text1"/>
        <w:highlight w:val="none"/>
      </w:rPr>
    </w:pPr>
    <w:r>
      <w:rPr>
        <w:highlight w:val="none"/>
        <w:lang w:val="en-IE" w:bidi="de-DE"/>
      </w:rPr>
      <w:t xml:space="preserve">Leander Kühnel</w:t>
    </w:r>
    <w:r>
      <w:rPr>
        <w:highlight w:val="none"/>
        <w:lang w:val="de-DE" w:bidi="de-DE"/>
      </w:rPr>
      <w:tab/>
      <w:tab/>
    </w:r>
    <w:r>
      <w:rPr>
        <w:color w:val="000000" w:themeColor="text1"/>
        <w:highlight w:val="none"/>
        <w:lang w:val="de-DE" w:bidi="de-DE"/>
      </w:rPr>
      <w:t xml:space="preserve">1</w:t>
    </w:r>
    <w:r>
      <w:rPr>
        <w:color w:val="000000" w:themeColor="text1"/>
        <w:highlight w:val="none"/>
      </w:rPr>
    </w:r>
    <w:r>
      <w:rPr>
        <w:color w:val="000000" w:themeColor="text1"/>
        <w:highlight w:val="none"/>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8972788">
    <w:pPr>
      <w:pStyle w:val="1077"/>
      <w:pBdr/>
      <w:spacing/>
      <w:ind/>
      <w:rPr>
        <w:highlight w:val="none"/>
        <w:lang w:val="de-DE"/>
      </w:rPr>
    </w:pPr>
    <w:r>
      <w:rPr>
        <w:lang w:val="de-DE"/>
      </w:rPr>
      <w:t xml:space="preserve">Lilienthal-Gymnasium</w:t>
      <w:tab/>
      <w:tab/>
      <w:t xml:space="preserve">Q4</w:t>
    </w:r>
    <w:r>
      <w:rPr>
        <w:highlight w:val="none"/>
        <w:lang w:val="de-DE"/>
      </w:rPr>
    </w:r>
    <w:r>
      <w:rPr>
        <w:highlight w:val="none"/>
        <w:lang w:val="de-DE"/>
      </w:rPr>
    </w:r>
  </w:p>
  <w:p w14:paraId="72F70BFE">
    <w:pPr>
      <w:pStyle w:val="1077"/>
      <w:pBdr/>
      <w:spacing/>
      <w:ind/>
      <w:rPr>
        <w:highlight w:val="none"/>
        <w:lang w:val="de-DE"/>
      </w:rPr>
    </w:pPr>
    <w:r>
      <w:rPr>
        <w:highlight w:val="none"/>
        <w:lang w:val="de-DE"/>
      </w:rPr>
      <w:t xml:space="preserve">Berlin</w:t>
      <w:tab/>
      <w:tab/>
      <w:t xml:space="preserve">2025/2026</w:t>
    </w:r>
    <w:r>
      <w:rPr>
        <w:highlight w:val="none"/>
        <w:lang w:val="de-DE"/>
      </w:rPr>
    </w:r>
    <w:r>
      <w:rPr>
        <w:highlight w:val="none"/>
        <w:lang w:val="de-DE"/>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8D76CD">
    <w:pPr>
      <w:pStyle w:val="1077"/>
      <w:pBdr/>
      <w:spacing/>
      <w:ind/>
      <w:rPr>
        <w:highlight w:val="none"/>
        <w:lang w:val="de-DE"/>
      </w:rPr>
    </w:pPr>
    <w:r>
      <w:rPr>
        <w:lang w:val="de-DE"/>
      </w:rPr>
      <w:t xml:space="preserve">Lilienthal-Gymnasium</w:t>
      <w:tab/>
      <w:tab/>
      <w:t xml:space="preserve">Q4</w:t>
    </w:r>
    <w:r>
      <w:rPr>
        <w:highlight w:val="none"/>
        <w:lang w:val="de-DE"/>
      </w:rPr>
    </w:r>
  </w:p>
  <w:p w14:paraId="1070C829">
    <w:pPr>
      <w:pStyle w:val="1077"/>
      <w:pBdr/>
      <w:spacing/>
      <w:ind/>
      <w:rPr/>
    </w:pPr>
    <w:r>
      <w:rPr>
        <w:highlight w:val="none"/>
        <w:lang w:val="de-DE"/>
      </w:rPr>
      <w:t xml:space="preserve">Berlin</w:t>
      <w:tab/>
      <w:tab/>
      <w:t xml:space="preserve">2025/2026</w:t>
    </w:r>
    <w:r>
      <w:rPr>
        <w:highlight w:val="none"/>
        <w:lang w:val="de-DE"/>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AE3668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ECCDB0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61C751AB"/>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
    <w:nsid w:val="0188AC08"/>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17">
    <w:name w:val="Table Grid"/>
    <w:basedOn w:val="11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Table Grid Light"/>
    <w:basedOn w:val="11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Plain Table 1"/>
    <w:basedOn w:val="11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Plain Table 2"/>
    <w:basedOn w:val="11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Plain Table 3"/>
    <w:basedOn w:val="11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Plain Table 4"/>
    <w:basedOn w:val="11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Plain Table 5"/>
    <w:basedOn w:val="11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1 Light"/>
    <w:basedOn w:val="11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1 Light - Accent 1"/>
    <w:basedOn w:val="11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1 Light - Accent 2"/>
    <w:basedOn w:val="11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1 Light - Accent 3"/>
    <w:basedOn w:val="11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1 Light - Accent 4"/>
    <w:basedOn w:val="11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1 Light - Accent 5"/>
    <w:basedOn w:val="11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1 Light - Accent 6"/>
    <w:basedOn w:val="11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2"/>
    <w:basedOn w:val="11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2 - Accent 1"/>
    <w:basedOn w:val="11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2 - Accent 2"/>
    <w:basedOn w:val="11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2 - Accent 3"/>
    <w:basedOn w:val="11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2 - Accent 4"/>
    <w:basedOn w:val="11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2 - Accent 5"/>
    <w:basedOn w:val="11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2 - Accent 6"/>
    <w:basedOn w:val="11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3"/>
    <w:basedOn w:val="11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3 - Accent 1"/>
    <w:basedOn w:val="11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3 - Accent 2"/>
    <w:basedOn w:val="11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3 - Accent 3"/>
    <w:basedOn w:val="11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3 - Accent 4"/>
    <w:basedOn w:val="11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3 - Accent 5"/>
    <w:basedOn w:val="11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3 - Accent 6"/>
    <w:basedOn w:val="11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4"/>
    <w:basedOn w:val="11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4 - Accent 1"/>
    <w:basedOn w:val="11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4 - Accent 2"/>
    <w:basedOn w:val="11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4 - Accent 3"/>
    <w:basedOn w:val="11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4 - Accent 4"/>
    <w:basedOn w:val="11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4 - Accent 5"/>
    <w:basedOn w:val="11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4 - Accent 6"/>
    <w:basedOn w:val="11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5 Dark"/>
    <w:basedOn w:val="11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5 Dark- Accent 1"/>
    <w:basedOn w:val="11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5 Dark - Accent 2"/>
    <w:basedOn w:val="11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5 Dark - Accent 3"/>
    <w:basedOn w:val="11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5 Dark- Accent 4"/>
    <w:basedOn w:val="11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5 Dark - Accent 5"/>
    <w:basedOn w:val="11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5 Dark - Accent 6"/>
    <w:basedOn w:val="11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6 Colorful"/>
    <w:basedOn w:val="11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60">
    <w:name w:val="Grid Table 6 Colorful - Accent 1"/>
    <w:basedOn w:val="11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61">
    <w:name w:val="Grid Table 6 Colorful - Accent 2"/>
    <w:basedOn w:val="11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62">
    <w:name w:val="Grid Table 6 Colorful - Accent 3"/>
    <w:basedOn w:val="11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63">
    <w:name w:val="Grid Table 6 Colorful - Accent 4"/>
    <w:basedOn w:val="11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64">
    <w:name w:val="Grid Table 6 Colorful - Accent 5"/>
    <w:basedOn w:val="11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65">
    <w:name w:val="Grid Table 6 Colorful - Accent 6"/>
    <w:basedOn w:val="11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66">
    <w:name w:val="Grid Table 7 Colorful"/>
    <w:basedOn w:val="11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7 Colorful - Accent 1"/>
    <w:basedOn w:val="11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7 Colorful - Accent 2"/>
    <w:basedOn w:val="11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7 Colorful - Accent 3"/>
    <w:basedOn w:val="11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7 Colorful - Accent 4"/>
    <w:basedOn w:val="11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7 Colorful - Accent 5"/>
    <w:basedOn w:val="11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7 Colorful - Accent 6"/>
    <w:basedOn w:val="11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1 Light"/>
    <w:basedOn w:val="11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1 Light - Accent 1"/>
    <w:basedOn w:val="11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1 Light - Accent 2"/>
    <w:basedOn w:val="11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1 Light - Accent 3"/>
    <w:basedOn w:val="11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1 Light - Accent 4"/>
    <w:basedOn w:val="11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1 Light - Accent 5"/>
    <w:basedOn w:val="11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1 Light - Accent 6"/>
    <w:basedOn w:val="11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2"/>
    <w:basedOn w:val="11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2 - Accent 1"/>
    <w:basedOn w:val="11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2 - Accent 2"/>
    <w:basedOn w:val="11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2 - Accent 3"/>
    <w:basedOn w:val="11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2 - Accent 4"/>
    <w:basedOn w:val="11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2 - Accent 5"/>
    <w:basedOn w:val="11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2 - Accent 6"/>
    <w:basedOn w:val="11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3"/>
    <w:basedOn w:val="11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3 - Accent 1"/>
    <w:basedOn w:val="11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3 - Accent 2"/>
    <w:basedOn w:val="11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3 - Accent 3"/>
    <w:basedOn w:val="11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3 - Accent 4"/>
    <w:basedOn w:val="11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3 - Accent 5"/>
    <w:basedOn w:val="11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3 - Accent 6"/>
    <w:basedOn w:val="11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4"/>
    <w:basedOn w:val="11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4 - Accent 1"/>
    <w:basedOn w:val="11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4 - Accent 2"/>
    <w:basedOn w:val="11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4 - Accent 3"/>
    <w:basedOn w:val="11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4 - Accent 4"/>
    <w:basedOn w:val="11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4 - Accent 5"/>
    <w:basedOn w:val="11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4 - Accent 6"/>
    <w:basedOn w:val="11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5 Dark"/>
    <w:basedOn w:val="11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2">
    <w:name w:val="List Table 5 Dark - Accent 1"/>
    <w:basedOn w:val="11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3">
    <w:name w:val="List Table 5 Dark - Accent 2"/>
    <w:basedOn w:val="11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4">
    <w:name w:val="List Table 5 Dark - Accent 3"/>
    <w:basedOn w:val="11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5">
    <w:name w:val="List Table 5 Dark - Accent 4"/>
    <w:basedOn w:val="11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6">
    <w:name w:val="List Table 5 Dark - Accent 5"/>
    <w:basedOn w:val="11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7">
    <w:name w:val="List Table 5 Dark - Accent 6"/>
    <w:basedOn w:val="11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8">
    <w:name w:val="List Table 6 Colorful"/>
    <w:basedOn w:val="11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6 Colorful - Accent 1"/>
    <w:basedOn w:val="11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6 Colorful - Accent 2"/>
    <w:basedOn w:val="11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6 Colorful - Accent 3"/>
    <w:basedOn w:val="11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6 Colorful - Accent 4"/>
    <w:basedOn w:val="11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6 Colorful - Accent 5"/>
    <w:basedOn w:val="11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6 Colorful - Accent 6"/>
    <w:basedOn w:val="11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7 Colorful"/>
    <w:basedOn w:val="11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16">
    <w:name w:val="List Table 7 Colorful - Accent 1"/>
    <w:basedOn w:val="11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017">
    <w:name w:val="List Table 7 Colorful - Accent 2"/>
    <w:basedOn w:val="11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018">
    <w:name w:val="List Table 7 Colorful - Accent 3"/>
    <w:basedOn w:val="11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019">
    <w:name w:val="List Table 7 Colorful - Accent 4"/>
    <w:basedOn w:val="11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020">
    <w:name w:val="List Table 7 Colorful - Accent 5"/>
    <w:basedOn w:val="11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021">
    <w:name w:val="List Table 7 Colorful - Accent 6"/>
    <w:basedOn w:val="11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022">
    <w:name w:val="Lined - Accent"/>
    <w:basedOn w:val="11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ned - Accent 1"/>
    <w:basedOn w:val="11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ned - Accent 2"/>
    <w:basedOn w:val="11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ned - Accent 3"/>
    <w:basedOn w:val="11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ned - Accent 4"/>
    <w:basedOn w:val="11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ned - Accent 5"/>
    <w:basedOn w:val="11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ned - Accent 6"/>
    <w:basedOn w:val="11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Bordered &amp; Lined - Accent"/>
    <w:basedOn w:val="11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Bordered &amp; Lined - Accent 1"/>
    <w:basedOn w:val="11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Bordered &amp; Lined - Accent 2"/>
    <w:basedOn w:val="11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Bordered &amp; Lined - Accent 3"/>
    <w:basedOn w:val="11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Bordered &amp; Lined - Accent 4"/>
    <w:basedOn w:val="11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Bordered &amp; Lined - Accent 5"/>
    <w:basedOn w:val="11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Bordered &amp; Lined - Accent 6"/>
    <w:basedOn w:val="11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Bordered"/>
    <w:basedOn w:val="11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Bordered - Accent 1"/>
    <w:basedOn w:val="11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Bordered - Accent 2"/>
    <w:basedOn w:val="11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Bordered - Accent 3"/>
    <w:basedOn w:val="11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Bordered - Accent 4"/>
    <w:basedOn w:val="11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Bordered - Accent 5"/>
    <w:basedOn w:val="11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Bordered - Accent 6"/>
    <w:basedOn w:val="11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43">
    <w:name w:val="Heading 1"/>
    <w:basedOn w:val="1102"/>
    <w:next w:val="1102"/>
    <w:link w:val="10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044">
    <w:name w:val="Heading 2"/>
    <w:basedOn w:val="1102"/>
    <w:next w:val="1102"/>
    <w:link w:val="10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045">
    <w:name w:val="Heading 3"/>
    <w:basedOn w:val="1102"/>
    <w:next w:val="1102"/>
    <w:link w:val="10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46">
    <w:name w:val="Heading 4"/>
    <w:basedOn w:val="1102"/>
    <w:next w:val="1102"/>
    <w:link w:val="10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47">
    <w:name w:val="Heading 5"/>
    <w:basedOn w:val="1102"/>
    <w:next w:val="1102"/>
    <w:link w:val="10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48">
    <w:name w:val="Heading 6"/>
    <w:basedOn w:val="1102"/>
    <w:next w:val="1102"/>
    <w:link w:val="10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49">
    <w:name w:val="Heading 7"/>
    <w:basedOn w:val="1102"/>
    <w:next w:val="1102"/>
    <w:link w:val="10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50">
    <w:name w:val="Heading 8"/>
    <w:basedOn w:val="1102"/>
    <w:next w:val="1102"/>
    <w:link w:val="10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51">
    <w:name w:val="Heading 9"/>
    <w:basedOn w:val="1102"/>
    <w:next w:val="1102"/>
    <w:link w:val="10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52" w:default="1">
    <w:name w:val="Default Paragraph Font"/>
    <w:uiPriority w:val="1"/>
    <w:semiHidden/>
    <w:unhideWhenUsed/>
    <w:pPr>
      <w:pBdr/>
      <w:spacing/>
      <w:ind/>
    </w:pPr>
  </w:style>
  <w:style w:type="character" w:styleId="1053">
    <w:name w:val="Heading 1 Char"/>
    <w:basedOn w:val="1052"/>
    <w:link w:val="1043"/>
    <w:uiPriority w:val="9"/>
    <w:pPr>
      <w:pBdr/>
      <w:spacing/>
      <w:ind/>
    </w:pPr>
    <w:rPr>
      <w:rFonts w:ascii="Arial" w:hAnsi="Arial" w:eastAsia="Arial" w:cs="Arial"/>
      <w:color w:val="0f4761" w:themeColor="accent1" w:themeShade="BF"/>
      <w:sz w:val="40"/>
      <w:szCs w:val="40"/>
    </w:rPr>
  </w:style>
  <w:style w:type="character" w:styleId="1054">
    <w:name w:val="Heading 2 Char"/>
    <w:basedOn w:val="1052"/>
    <w:link w:val="1044"/>
    <w:uiPriority w:val="9"/>
    <w:pPr>
      <w:pBdr/>
      <w:spacing/>
      <w:ind/>
    </w:pPr>
    <w:rPr>
      <w:rFonts w:ascii="Arial" w:hAnsi="Arial" w:eastAsia="Arial" w:cs="Arial"/>
      <w:color w:val="0f4761" w:themeColor="accent1" w:themeShade="BF"/>
      <w:sz w:val="32"/>
      <w:szCs w:val="32"/>
    </w:rPr>
  </w:style>
  <w:style w:type="character" w:styleId="1055">
    <w:name w:val="Heading 3 Char"/>
    <w:basedOn w:val="1052"/>
    <w:link w:val="1045"/>
    <w:uiPriority w:val="9"/>
    <w:pPr>
      <w:pBdr/>
      <w:spacing/>
      <w:ind/>
    </w:pPr>
    <w:rPr>
      <w:rFonts w:ascii="Arial" w:hAnsi="Arial" w:eastAsia="Arial" w:cs="Arial"/>
      <w:color w:val="0f4761" w:themeColor="accent1" w:themeShade="BF"/>
      <w:sz w:val="28"/>
      <w:szCs w:val="28"/>
    </w:rPr>
  </w:style>
  <w:style w:type="character" w:styleId="1056">
    <w:name w:val="Heading 4 Char"/>
    <w:basedOn w:val="1052"/>
    <w:link w:val="1046"/>
    <w:uiPriority w:val="9"/>
    <w:pPr>
      <w:pBdr/>
      <w:spacing/>
      <w:ind/>
    </w:pPr>
    <w:rPr>
      <w:rFonts w:ascii="Arial" w:hAnsi="Arial" w:eastAsia="Arial" w:cs="Arial"/>
      <w:i/>
      <w:iCs/>
      <w:color w:val="0f4761" w:themeColor="accent1" w:themeShade="BF"/>
    </w:rPr>
  </w:style>
  <w:style w:type="character" w:styleId="1057">
    <w:name w:val="Heading 5 Char"/>
    <w:basedOn w:val="1052"/>
    <w:link w:val="1047"/>
    <w:uiPriority w:val="9"/>
    <w:pPr>
      <w:pBdr/>
      <w:spacing/>
      <w:ind/>
    </w:pPr>
    <w:rPr>
      <w:rFonts w:ascii="Arial" w:hAnsi="Arial" w:eastAsia="Arial" w:cs="Arial"/>
      <w:color w:val="0f4761" w:themeColor="accent1" w:themeShade="BF"/>
    </w:rPr>
  </w:style>
  <w:style w:type="character" w:styleId="1058">
    <w:name w:val="Heading 6 Char"/>
    <w:basedOn w:val="1052"/>
    <w:link w:val="1048"/>
    <w:uiPriority w:val="9"/>
    <w:pPr>
      <w:pBdr/>
      <w:spacing/>
      <w:ind/>
    </w:pPr>
    <w:rPr>
      <w:rFonts w:ascii="Arial" w:hAnsi="Arial" w:eastAsia="Arial" w:cs="Arial"/>
      <w:i/>
      <w:iCs/>
      <w:color w:val="595959" w:themeColor="text1" w:themeTint="A6"/>
    </w:rPr>
  </w:style>
  <w:style w:type="character" w:styleId="1059">
    <w:name w:val="Heading 7 Char"/>
    <w:basedOn w:val="1052"/>
    <w:link w:val="1049"/>
    <w:uiPriority w:val="9"/>
    <w:pPr>
      <w:pBdr/>
      <w:spacing/>
      <w:ind/>
    </w:pPr>
    <w:rPr>
      <w:rFonts w:ascii="Arial" w:hAnsi="Arial" w:eastAsia="Arial" w:cs="Arial"/>
      <w:color w:val="595959" w:themeColor="text1" w:themeTint="A6"/>
    </w:rPr>
  </w:style>
  <w:style w:type="character" w:styleId="1060">
    <w:name w:val="Heading 8 Char"/>
    <w:basedOn w:val="1052"/>
    <w:link w:val="1050"/>
    <w:uiPriority w:val="9"/>
    <w:pPr>
      <w:pBdr/>
      <w:spacing/>
      <w:ind/>
    </w:pPr>
    <w:rPr>
      <w:rFonts w:ascii="Arial" w:hAnsi="Arial" w:eastAsia="Arial" w:cs="Arial"/>
      <w:i/>
      <w:iCs/>
      <w:color w:val="272727" w:themeColor="text1" w:themeTint="D8"/>
    </w:rPr>
  </w:style>
  <w:style w:type="character" w:styleId="1061">
    <w:name w:val="Heading 9 Char"/>
    <w:basedOn w:val="1052"/>
    <w:link w:val="1051"/>
    <w:uiPriority w:val="9"/>
    <w:pPr>
      <w:pBdr/>
      <w:spacing/>
      <w:ind/>
    </w:pPr>
    <w:rPr>
      <w:rFonts w:ascii="Arial" w:hAnsi="Arial" w:eastAsia="Arial" w:cs="Arial"/>
      <w:i/>
      <w:iCs/>
      <w:color w:val="272727" w:themeColor="text1" w:themeTint="D8"/>
    </w:rPr>
  </w:style>
  <w:style w:type="paragraph" w:styleId="1062">
    <w:name w:val="Title"/>
    <w:basedOn w:val="1102"/>
    <w:next w:val="1102"/>
    <w:link w:val="1063"/>
    <w:uiPriority w:val="10"/>
    <w:qFormat/>
    <w:pPr>
      <w:pBdr/>
      <w:spacing w:after="80" w:line="240" w:lineRule="auto"/>
      <w:ind/>
      <w:contextualSpacing w:val="true"/>
    </w:pPr>
    <w:rPr>
      <w:rFonts w:ascii="Arial" w:hAnsi="Arial" w:eastAsia="Arial" w:cs="Arial"/>
      <w:spacing w:val="-10"/>
      <w:sz w:val="56"/>
      <w:szCs w:val="56"/>
    </w:rPr>
  </w:style>
  <w:style w:type="character" w:styleId="1063">
    <w:name w:val="Title Char"/>
    <w:basedOn w:val="1052"/>
    <w:link w:val="1062"/>
    <w:uiPriority w:val="10"/>
    <w:pPr>
      <w:pBdr/>
      <w:spacing/>
      <w:ind/>
    </w:pPr>
    <w:rPr>
      <w:rFonts w:ascii="Arial" w:hAnsi="Arial" w:eastAsia="Arial" w:cs="Arial"/>
      <w:spacing w:val="-10"/>
      <w:sz w:val="56"/>
      <w:szCs w:val="56"/>
    </w:rPr>
  </w:style>
  <w:style w:type="paragraph" w:styleId="1064">
    <w:name w:val="Subtitle"/>
    <w:basedOn w:val="1102"/>
    <w:next w:val="1102"/>
    <w:link w:val="1065"/>
    <w:uiPriority w:val="11"/>
    <w:qFormat/>
    <w:pPr>
      <w:numPr>
        <w:ilvl w:val="1"/>
      </w:numPr>
      <w:pBdr/>
      <w:spacing/>
      <w:ind/>
    </w:pPr>
    <w:rPr>
      <w:color w:val="595959" w:themeColor="text1" w:themeTint="A6"/>
      <w:spacing w:val="15"/>
      <w:sz w:val="28"/>
      <w:szCs w:val="28"/>
    </w:rPr>
  </w:style>
  <w:style w:type="character" w:styleId="1065">
    <w:name w:val="Subtitle Char"/>
    <w:basedOn w:val="1052"/>
    <w:link w:val="1064"/>
    <w:uiPriority w:val="11"/>
    <w:pPr>
      <w:pBdr/>
      <w:spacing/>
      <w:ind/>
    </w:pPr>
    <w:rPr>
      <w:color w:val="595959" w:themeColor="text1" w:themeTint="A6"/>
      <w:spacing w:val="15"/>
      <w:sz w:val="28"/>
      <w:szCs w:val="28"/>
    </w:rPr>
  </w:style>
  <w:style w:type="paragraph" w:styleId="1066">
    <w:name w:val="Quote"/>
    <w:basedOn w:val="1102"/>
    <w:next w:val="1102"/>
    <w:link w:val="1067"/>
    <w:uiPriority w:val="29"/>
    <w:qFormat/>
    <w:pPr>
      <w:pBdr/>
      <w:spacing w:before="160"/>
      <w:ind/>
      <w:jc w:val="center"/>
    </w:pPr>
    <w:rPr>
      <w:i/>
      <w:iCs/>
      <w:color w:val="404040" w:themeColor="text1" w:themeTint="BF"/>
    </w:rPr>
  </w:style>
  <w:style w:type="character" w:styleId="1067">
    <w:name w:val="Quote Char"/>
    <w:basedOn w:val="1052"/>
    <w:link w:val="1066"/>
    <w:uiPriority w:val="29"/>
    <w:pPr>
      <w:pBdr/>
      <w:spacing/>
      <w:ind/>
    </w:pPr>
    <w:rPr>
      <w:i/>
      <w:iCs/>
      <w:color w:val="404040" w:themeColor="text1" w:themeTint="BF"/>
    </w:rPr>
  </w:style>
  <w:style w:type="character" w:styleId="1068">
    <w:name w:val="Intense Emphasis"/>
    <w:basedOn w:val="1052"/>
    <w:uiPriority w:val="21"/>
    <w:qFormat/>
    <w:pPr>
      <w:pBdr/>
      <w:spacing/>
      <w:ind/>
    </w:pPr>
    <w:rPr>
      <w:i/>
      <w:iCs/>
      <w:color w:val="0f4761" w:themeColor="accent1" w:themeShade="BF"/>
    </w:rPr>
  </w:style>
  <w:style w:type="paragraph" w:styleId="1069">
    <w:name w:val="Intense Quote"/>
    <w:basedOn w:val="1102"/>
    <w:next w:val="1102"/>
    <w:link w:val="107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70">
    <w:name w:val="Intense Quote Char"/>
    <w:basedOn w:val="1052"/>
    <w:link w:val="1069"/>
    <w:uiPriority w:val="30"/>
    <w:pPr>
      <w:pBdr/>
      <w:spacing/>
      <w:ind/>
    </w:pPr>
    <w:rPr>
      <w:i/>
      <w:iCs/>
      <w:color w:val="0f4761" w:themeColor="accent1" w:themeShade="BF"/>
    </w:rPr>
  </w:style>
  <w:style w:type="character" w:styleId="1071">
    <w:name w:val="Intense Reference"/>
    <w:basedOn w:val="1052"/>
    <w:uiPriority w:val="32"/>
    <w:qFormat/>
    <w:pPr>
      <w:pBdr/>
      <w:spacing/>
      <w:ind/>
    </w:pPr>
    <w:rPr>
      <w:b/>
      <w:bCs/>
      <w:smallCaps/>
      <w:color w:val="0f4761" w:themeColor="accent1" w:themeShade="BF"/>
      <w:spacing w:val="5"/>
    </w:rPr>
  </w:style>
  <w:style w:type="character" w:styleId="1072">
    <w:name w:val="Subtle Emphasis"/>
    <w:basedOn w:val="1052"/>
    <w:uiPriority w:val="19"/>
    <w:qFormat/>
    <w:pPr>
      <w:pBdr/>
      <w:spacing/>
      <w:ind/>
    </w:pPr>
    <w:rPr>
      <w:i/>
      <w:iCs/>
      <w:color w:val="404040" w:themeColor="text1" w:themeTint="BF"/>
    </w:rPr>
  </w:style>
  <w:style w:type="character" w:styleId="1073">
    <w:name w:val="Emphasis"/>
    <w:basedOn w:val="1052"/>
    <w:uiPriority w:val="20"/>
    <w:qFormat/>
    <w:pPr>
      <w:pBdr/>
      <w:spacing/>
      <w:ind/>
    </w:pPr>
    <w:rPr>
      <w:i/>
      <w:iCs/>
    </w:rPr>
  </w:style>
  <w:style w:type="character" w:styleId="1074">
    <w:name w:val="Strong"/>
    <w:basedOn w:val="1052"/>
    <w:uiPriority w:val="22"/>
    <w:qFormat/>
    <w:pPr>
      <w:pBdr/>
      <w:spacing/>
      <w:ind/>
    </w:pPr>
    <w:rPr>
      <w:b/>
      <w:bCs/>
    </w:rPr>
  </w:style>
  <w:style w:type="character" w:styleId="1075">
    <w:name w:val="Subtle Reference"/>
    <w:basedOn w:val="1052"/>
    <w:uiPriority w:val="31"/>
    <w:qFormat/>
    <w:pPr>
      <w:pBdr/>
      <w:spacing/>
      <w:ind/>
    </w:pPr>
    <w:rPr>
      <w:smallCaps/>
      <w:color w:val="5a5a5a" w:themeColor="text1" w:themeTint="A5"/>
    </w:rPr>
  </w:style>
  <w:style w:type="character" w:styleId="1076">
    <w:name w:val="Book Title"/>
    <w:basedOn w:val="1052"/>
    <w:uiPriority w:val="33"/>
    <w:qFormat/>
    <w:pPr>
      <w:pBdr/>
      <w:spacing/>
      <w:ind/>
    </w:pPr>
    <w:rPr>
      <w:b/>
      <w:bCs/>
      <w:i/>
      <w:iCs/>
      <w:spacing w:val="5"/>
    </w:rPr>
  </w:style>
  <w:style w:type="paragraph" w:styleId="1077">
    <w:name w:val="Header"/>
    <w:basedOn w:val="1102"/>
    <w:link w:val="1078"/>
    <w:uiPriority w:val="99"/>
    <w:unhideWhenUsed/>
    <w:pPr>
      <w:pBdr/>
      <w:tabs>
        <w:tab w:val="center" w:leader="none" w:pos="4844"/>
        <w:tab w:val="right" w:leader="none" w:pos="9689"/>
      </w:tabs>
      <w:spacing w:after="0" w:line="240" w:lineRule="auto"/>
      <w:ind/>
    </w:pPr>
  </w:style>
  <w:style w:type="character" w:styleId="1078">
    <w:name w:val="Header Char"/>
    <w:basedOn w:val="1052"/>
    <w:link w:val="1077"/>
    <w:uiPriority w:val="99"/>
    <w:pPr>
      <w:pBdr/>
      <w:spacing/>
      <w:ind/>
    </w:pPr>
  </w:style>
  <w:style w:type="paragraph" w:styleId="1079">
    <w:name w:val="Footer"/>
    <w:basedOn w:val="1102"/>
    <w:link w:val="1080"/>
    <w:uiPriority w:val="99"/>
    <w:unhideWhenUsed/>
    <w:pPr>
      <w:pBdr/>
      <w:tabs>
        <w:tab w:val="center" w:leader="none" w:pos="4844"/>
        <w:tab w:val="right" w:leader="none" w:pos="9689"/>
      </w:tabs>
      <w:spacing w:after="0" w:line="240" w:lineRule="auto"/>
      <w:ind/>
    </w:pPr>
  </w:style>
  <w:style w:type="character" w:styleId="1080">
    <w:name w:val="Footer Char"/>
    <w:basedOn w:val="1052"/>
    <w:link w:val="1079"/>
    <w:uiPriority w:val="99"/>
    <w:pPr>
      <w:pBdr/>
      <w:spacing/>
      <w:ind/>
    </w:pPr>
  </w:style>
  <w:style w:type="paragraph" w:styleId="1081">
    <w:name w:val="Caption"/>
    <w:basedOn w:val="1102"/>
    <w:next w:val="1102"/>
    <w:uiPriority w:val="35"/>
    <w:unhideWhenUsed/>
    <w:qFormat/>
    <w:pPr>
      <w:pBdr/>
      <w:spacing w:after="200" w:line="240" w:lineRule="auto"/>
      <w:ind/>
    </w:pPr>
    <w:rPr>
      <w:i/>
      <w:iCs/>
      <w:color w:val="0e2841" w:themeColor="text2"/>
      <w:sz w:val="18"/>
      <w:szCs w:val="18"/>
    </w:rPr>
  </w:style>
  <w:style w:type="paragraph" w:styleId="1082">
    <w:name w:val="footnote text"/>
    <w:basedOn w:val="1102"/>
    <w:link w:val="1083"/>
    <w:uiPriority w:val="99"/>
    <w:semiHidden/>
    <w:unhideWhenUsed/>
    <w:pPr>
      <w:pBdr/>
      <w:spacing w:after="0" w:line="240" w:lineRule="auto"/>
      <w:ind/>
    </w:pPr>
    <w:rPr>
      <w:sz w:val="20"/>
      <w:szCs w:val="20"/>
    </w:rPr>
  </w:style>
  <w:style w:type="character" w:styleId="1083">
    <w:name w:val="Footnote Text Char"/>
    <w:basedOn w:val="1052"/>
    <w:link w:val="1082"/>
    <w:uiPriority w:val="99"/>
    <w:semiHidden/>
    <w:pPr>
      <w:pBdr/>
      <w:spacing/>
      <w:ind/>
    </w:pPr>
    <w:rPr>
      <w:sz w:val="20"/>
      <w:szCs w:val="20"/>
    </w:rPr>
  </w:style>
  <w:style w:type="character" w:styleId="1084">
    <w:name w:val="footnote reference"/>
    <w:basedOn w:val="1052"/>
    <w:uiPriority w:val="99"/>
    <w:semiHidden/>
    <w:unhideWhenUsed/>
    <w:pPr>
      <w:pBdr/>
      <w:spacing/>
      <w:ind/>
    </w:pPr>
    <w:rPr>
      <w:vertAlign w:val="superscript"/>
    </w:rPr>
  </w:style>
  <w:style w:type="paragraph" w:styleId="1085">
    <w:name w:val="endnote text"/>
    <w:basedOn w:val="1102"/>
    <w:link w:val="1086"/>
    <w:uiPriority w:val="99"/>
    <w:semiHidden/>
    <w:unhideWhenUsed/>
    <w:pPr>
      <w:pBdr/>
      <w:spacing w:after="0" w:line="240" w:lineRule="auto"/>
      <w:ind/>
    </w:pPr>
    <w:rPr>
      <w:sz w:val="20"/>
      <w:szCs w:val="20"/>
    </w:rPr>
  </w:style>
  <w:style w:type="character" w:styleId="1086">
    <w:name w:val="Endnote Text Char"/>
    <w:basedOn w:val="1052"/>
    <w:link w:val="1085"/>
    <w:uiPriority w:val="99"/>
    <w:semiHidden/>
    <w:pPr>
      <w:pBdr/>
      <w:spacing/>
      <w:ind/>
    </w:pPr>
    <w:rPr>
      <w:sz w:val="20"/>
      <w:szCs w:val="20"/>
    </w:rPr>
  </w:style>
  <w:style w:type="character" w:styleId="1087">
    <w:name w:val="endnote reference"/>
    <w:basedOn w:val="1052"/>
    <w:uiPriority w:val="99"/>
    <w:semiHidden/>
    <w:unhideWhenUsed/>
    <w:pPr>
      <w:pBdr/>
      <w:spacing/>
      <w:ind/>
    </w:pPr>
    <w:rPr>
      <w:vertAlign w:val="superscript"/>
    </w:rPr>
  </w:style>
  <w:style w:type="character" w:styleId="1088">
    <w:name w:val="Hyperlink"/>
    <w:basedOn w:val="1052"/>
    <w:uiPriority w:val="99"/>
    <w:unhideWhenUsed/>
    <w:pPr>
      <w:pBdr/>
      <w:spacing/>
      <w:ind/>
    </w:pPr>
    <w:rPr>
      <w:color w:val="0563c1" w:themeColor="hyperlink"/>
      <w:u w:val="single"/>
    </w:rPr>
  </w:style>
  <w:style w:type="character" w:styleId="1089">
    <w:name w:val="FollowedHyperlink"/>
    <w:basedOn w:val="1052"/>
    <w:uiPriority w:val="99"/>
    <w:semiHidden/>
    <w:unhideWhenUsed/>
    <w:pPr>
      <w:pBdr/>
      <w:spacing/>
      <w:ind/>
    </w:pPr>
    <w:rPr>
      <w:color w:val="954f72" w:themeColor="followedHyperlink"/>
      <w:u w:val="single"/>
    </w:rPr>
  </w:style>
  <w:style w:type="paragraph" w:styleId="1090">
    <w:name w:val="toc 1"/>
    <w:basedOn w:val="1102"/>
    <w:next w:val="1102"/>
    <w:uiPriority w:val="39"/>
    <w:unhideWhenUsed/>
    <w:pPr>
      <w:pBdr/>
      <w:spacing w:after="100"/>
      <w:ind/>
    </w:pPr>
  </w:style>
  <w:style w:type="paragraph" w:styleId="1091">
    <w:name w:val="toc 2"/>
    <w:basedOn w:val="1102"/>
    <w:next w:val="1102"/>
    <w:uiPriority w:val="39"/>
    <w:unhideWhenUsed/>
    <w:pPr>
      <w:pBdr/>
      <w:spacing w:after="100"/>
      <w:ind w:left="220"/>
    </w:pPr>
  </w:style>
  <w:style w:type="paragraph" w:styleId="1092">
    <w:name w:val="toc 3"/>
    <w:basedOn w:val="1102"/>
    <w:next w:val="1102"/>
    <w:uiPriority w:val="39"/>
    <w:unhideWhenUsed/>
    <w:pPr>
      <w:pBdr/>
      <w:spacing w:after="100"/>
      <w:ind w:left="440"/>
    </w:pPr>
  </w:style>
  <w:style w:type="paragraph" w:styleId="1093">
    <w:name w:val="toc 4"/>
    <w:basedOn w:val="1102"/>
    <w:next w:val="1102"/>
    <w:uiPriority w:val="39"/>
    <w:unhideWhenUsed/>
    <w:pPr>
      <w:pBdr/>
      <w:spacing w:after="100"/>
      <w:ind w:left="660"/>
    </w:pPr>
  </w:style>
  <w:style w:type="paragraph" w:styleId="1094">
    <w:name w:val="toc 5"/>
    <w:basedOn w:val="1102"/>
    <w:next w:val="1102"/>
    <w:uiPriority w:val="39"/>
    <w:unhideWhenUsed/>
    <w:pPr>
      <w:pBdr/>
      <w:spacing w:after="100"/>
      <w:ind w:left="880"/>
    </w:pPr>
  </w:style>
  <w:style w:type="paragraph" w:styleId="1095">
    <w:name w:val="toc 6"/>
    <w:basedOn w:val="1102"/>
    <w:next w:val="1102"/>
    <w:uiPriority w:val="39"/>
    <w:unhideWhenUsed/>
    <w:pPr>
      <w:pBdr/>
      <w:spacing w:after="100"/>
      <w:ind w:left="1100"/>
    </w:pPr>
  </w:style>
  <w:style w:type="paragraph" w:styleId="1096">
    <w:name w:val="toc 7"/>
    <w:basedOn w:val="1102"/>
    <w:next w:val="1102"/>
    <w:uiPriority w:val="39"/>
    <w:unhideWhenUsed/>
    <w:pPr>
      <w:pBdr/>
      <w:spacing w:after="100"/>
      <w:ind w:left="1320"/>
    </w:pPr>
  </w:style>
  <w:style w:type="paragraph" w:styleId="1097">
    <w:name w:val="toc 8"/>
    <w:basedOn w:val="1102"/>
    <w:next w:val="1102"/>
    <w:uiPriority w:val="39"/>
    <w:unhideWhenUsed/>
    <w:pPr>
      <w:pBdr/>
      <w:spacing w:after="100"/>
      <w:ind w:left="1540"/>
    </w:pPr>
  </w:style>
  <w:style w:type="paragraph" w:styleId="1098">
    <w:name w:val="toc 9"/>
    <w:basedOn w:val="1102"/>
    <w:next w:val="1102"/>
    <w:uiPriority w:val="39"/>
    <w:unhideWhenUsed/>
    <w:pPr>
      <w:pBdr/>
      <w:spacing w:after="100"/>
      <w:ind w:left="1760"/>
    </w:pPr>
  </w:style>
  <w:style w:type="character" w:styleId="1099">
    <w:name w:val="Placeholder Text"/>
    <w:basedOn w:val="1052"/>
    <w:uiPriority w:val="99"/>
    <w:semiHidden/>
    <w:pPr>
      <w:pBdr/>
      <w:spacing/>
      <w:ind/>
    </w:pPr>
    <w:rPr>
      <w:color w:val="666666"/>
    </w:rPr>
  </w:style>
  <w:style w:type="paragraph" w:styleId="1100">
    <w:name w:val="TOC Heading"/>
    <w:uiPriority w:val="39"/>
    <w:unhideWhenUsed/>
    <w:pPr>
      <w:pBdr/>
      <w:spacing/>
      <w:ind/>
    </w:pPr>
  </w:style>
  <w:style w:type="paragraph" w:styleId="1101">
    <w:name w:val="table of figures"/>
    <w:basedOn w:val="1102"/>
    <w:next w:val="1102"/>
    <w:uiPriority w:val="99"/>
    <w:unhideWhenUsed/>
    <w:pPr>
      <w:pBdr/>
      <w:spacing w:after="0" w:afterAutospacing="0"/>
      <w:ind/>
    </w:pPr>
  </w:style>
  <w:style w:type="paragraph" w:styleId="1102" w:default="1">
    <w:name w:val="Normal"/>
    <w:qFormat/>
    <w:pPr>
      <w:pBdr/>
      <w:spacing/>
      <w:ind/>
    </w:pPr>
  </w:style>
  <w:style w:type="table" w:styleId="11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04" w:default="1">
    <w:name w:val="No List"/>
    <w:uiPriority w:val="99"/>
    <w:semiHidden/>
    <w:unhideWhenUsed/>
    <w:pPr>
      <w:pBdr/>
      <w:spacing/>
      <w:ind/>
    </w:pPr>
  </w:style>
  <w:style w:type="paragraph" w:styleId="1105">
    <w:name w:val="No Spacing"/>
    <w:basedOn w:val="1102"/>
    <w:uiPriority w:val="1"/>
    <w:qFormat/>
    <w:pPr>
      <w:pBdr/>
      <w:spacing w:after="0" w:line="240" w:lineRule="auto"/>
      <w:ind/>
    </w:pPr>
  </w:style>
  <w:style w:type="paragraph" w:styleId="1106">
    <w:name w:val="List Paragraph"/>
    <w:basedOn w:val="110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s>
</file>

<file path=word/_rels/endnotes.xml.rels><?xml version="1.0" encoding="UTF-8" standalone="yes"?><Relationships xmlns="http://schemas.openxmlformats.org/package/2006/relationships"><Relationship Id="rId1" Type="http://schemas.openxmlformats.org/officeDocument/2006/relationships/hyperlink" Target="https://doi.org/10.1080/714003140" TargetMode="External"/><Relationship Id="rId2" Type="http://schemas.openxmlformats.org/officeDocument/2006/relationships/hyperlink" Target="https://doi.org/10.1108/eum0000000000906" TargetMode="External"/><Relationship Id="rId3" Type="http://schemas.openxmlformats.org/officeDocument/2006/relationships/hyperlink" Target="https://cain.ulster.ac.uk/othelem/organ/ira/ira280705.htm" TargetMode="External"/><Relationship Id="rId4" Type="http://schemas.openxmlformats.org/officeDocument/2006/relationships/hyperlink" Target="https://doi.org/10.16995/olh.251" TargetMode="External"/><Relationship Id="rId5" Type="http://schemas.openxmlformats.org/officeDocument/2006/relationships/hyperlink" Target="https://assets.ireland.ie/documents/good-friday-agreement.pdf" TargetMode="External"/><Relationship Id="rId6" Type="http://schemas.openxmlformats.org/officeDocument/2006/relationships/hyperlink" Target="https;//ukandeu.ac.uk/unionism-and-the-belfast-good-friday-agreement/" TargetMode="External"/><Relationship Id="rId7" Type="http://schemas.openxmlformats.org/officeDocument/2006/relationships/hyperlink" Target="https://www.quaker.org.uk/blog/25-years-since-the-good-friday-agreement-reflections-from-a-quaker" TargetMode="External"/><Relationship Id="rId8" Type="http://schemas.openxmlformats.org/officeDocument/2006/relationships/hyperlink" Target="https://www.britannica.com/event/The-Troubles-Northern-Ireland-history" TargetMode="External"/><Relationship Id="rId9" Type="http://schemas.openxmlformats.org/officeDocument/2006/relationships/hyperlink" Target="https://doi.org/10.1111/j.1477-7053.2007.00224.x" TargetMode="External"/><Relationship Id="rId10" Type="http://schemas.openxmlformats.org/officeDocument/2006/relationships/hyperlink" Target="https://www.ucl.ac.uk/social-historical-sciences/sites/social_historical_sciences/files/205_-_perspectives_on_the_belfast_good_friday_agreement.pdf" TargetMode="External"/></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ONLYOFFICE/9.3.0.140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15</cp:revision>
  <dcterms:modified xsi:type="dcterms:W3CDTF">2026-03-11T19:55:32Z</dcterms:modified>
</cp:coreProperties>
</file>