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9"/>
        <w:pBdr/>
        <w:spacing/>
        <w:ind/>
        <w:jc w:val="center"/>
        <w:rPr>
          <w:lang w:val="en-IE"/>
        </w:rPr>
      </w:pPr>
      <w:r>
        <w:rPr>
          <w:lang w:val="en-IE"/>
        </w:rPr>
        <w:t xml:space="preserve">The </w:t>
      </w:r>
      <w:r>
        <w:rPr>
          <w:lang w:val="en-IE"/>
        </w:rPr>
        <w:t xml:space="preserve">end</w:t>
      </w:r>
      <w:r>
        <w:rPr>
          <w:lang w:val="en-IE"/>
        </w:rPr>
        <w:t xml:space="preserve"> </w:t>
      </w:r>
      <w:r>
        <w:rPr>
          <w:lang w:val="en-IE"/>
        </w:rPr>
        <w:t xml:space="preserve">of the Troubles in Northern Ireland </w:t>
      </w:r>
      <w:r>
        <w:rPr>
          <w:lang w:val="en-IE"/>
        </w:rPr>
      </w:r>
      <w:r>
        <w:rPr>
          <w:lang w:val="en-IE"/>
        </w:rPr>
      </w:r>
    </w:p>
    <w:p w14:paraId="6CD14371">
      <w:pPr>
        <w:pStyle w:val="933"/>
        <w:pBdr/>
        <w:spacing/>
        <w:ind/>
        <w:jc w:val="center"/>
        <w:rPr>
          <w:sz w:val="28"/>
          <w:szCs w:val="28"/>
          <w:lang w:val="en-IE"/>
        </w:rPr>
      </w:pPr>
      <w:r>
        <w:rPr>
          <w:sz w:val="28"/>
          <w:szCs w:val="28"/>
          <w:lang w:val="en-IE"/>
        </w:rPr>
        <w:t xml:space="preserve">The Good </w:t>
      </w:r>
      <w:r>
        <w:rPr>
          <w:sz w:val="28"/>
          <w:szCs w:val="28"/>
          <w:lang w:val="en-IE"/>
        </w:rPr>
        <w:t xml:space="preserve">Friday </w:t>
      </w:r>
      <w:r>
        <w:rPr>
          <w:sz w:val="28"/>
          <w:szCs w:val="28"/>
          <w:lang w:val="en-IE"/>
        </w:rPr>
        <w:t xml:space="preserve">Agreement</w:t>
      </w:r>
      <w:r>
        <w:rPr>
          <w:sz w:val="28"/>
          <w:szCs w:val="28"/>
          <w:lang w:val="en-IE"/>
        </w:rPr>
      </w:r>
      <w:r>
        <w:rPr>
          <w:sz w:val="28"/>
          <w:szCs w:val="28"/>
          <w:lang w:val="en-IE"/>
        </w:rPr>
      </w:r>
    </w:p>
    <w:p w14:paraId="32C5C728">
      <w:pPr>
        <w:pBdr/>
        <w:spacing/>
        <w:ind/>
        <w:rPr>
          <w:lang w:val="en-IE"/>
        </w:rPr>
      </w:pPr>
      <w:r>
        <w:rPr>
          <w:lang w:val="en-IE"/>
        </w:rPr>
      </w:r>
      <w:r>
        <w:rPr>
          <w:lang w:val="en-IE"/>
        </w:rPr>
      </w:r>
      <w:r>
        <w:rPr>
          <w:lang w:val="en-IE"/>
        </w:rPr>
      </w:r>
    </w:p>
    <w:p w14:paraId="16AA21E3">
      <w:pPr>
        <w:pBdr/>
        <w:spacing/>
        <w:ind/>
        <w:rPr>
          <w:sz w:val="22"/>
          <w:szCs w:val="22"/>
          <w:highlight w:val="none"/>
          <w:lang w:val="en-IE"/>
        </w:rPr>
      </w:pPr>
      <w:r>
        <w:rPr>
          <w:sz w:val="22"/>
          <w:szCs w:val="22"/>
          <w:highlight w:val="none"/>
          <w:lang w:val="en-IE" w:bidi="en-IE"/>
        </w:rPr>
      </w:r>
      <w:r>
        <w:rPr>
          <w:sz w:val="22"/>
          <w:szCs w:val="22"/>
          <w:highlight w:val="none"/>
          <w:lang w:val="en-IE"/>
        </w:rPr>
      </w:r>
      <w:r>
        <w:rPr>
          <w:sz w:val="22"/>
          <w:szCs w:val="22"/>
          <w:highlight w:val="none"/>
          <w:lang w:val="en-IE"/>
        </w:rPr>
      </w:r>
    </w:p>
    <w:p w14:paraId="1951DAFB">
      <w:pPr>
        <w:pBdr/>
        <w:spacing w:line="360" w:lineRule="auto"/>
        <w:ind/>
        <w:rPr>
          <w:b w:val="0"/>
          <w:bCs w:val="0"/>
          <w:sz w:val="22"/>
          <w:szCs w:val="22"/>
          <w:highlight w:val="none"/>
          <w:lang w:val="en-IE"/>
        </w:rPr>
      </w:pPr>
      <w:r>
        <w:rPr>
          <w:b w:val="0"/>
          <w:bCs w:val="0"/>
          <w:sz w:val="22"/>
          <w:szCs w:val="22"/>
          <w:highlight w:val="none"/>
          <w:lang w:val="en-IE"/>
        </w:rPr>
        <w:t xml:space="preserve">Primary Subject: </w:t>
      </w:r>
      <w:r>
        <w:rPr>
          <w:b w:val="0"/>
          <w:bCs w:val="0"/>
          <w:sz w:val="22"/>
          <w:szCs w:val="22"/>
          <w:highlight w:val="none"/>
          <w:lang w:val="en-IE"/>
        </w:rPr>
        <w:tab/>
        <w:tab/>
        <w:tab/>
        <w:tab/>
        <w:t xml:space="preserve">History</w:t>
      </w:r>
      <w:r>
        <w:rPr>
          <w:b w:val="0"/>
          <w:bCs w:val="0"/>
          <w:sz w:val="22"/>
          <w:szCs w:val="22"/>
          <w:highlight w:val="none"/>
          <w:lang w:val="en-IE"/>
        </w:rPr>
      </w:r>
      <w:r>
        <w:rPr>
          <w:b w:val="0"/>
          <w:bCs w:val="0"/>
          <w:sz w:val="22"/>
          <w:szCs w:val="22"/>
          <w:highlight w:val="none"/>
          <w:lang w:val="en-IE"/>
        </w:rPr>
      </w:r>
    </w:p>
    <w:p w14:paraId="41154E9D">
      <w:pPr>
        <w:pBdr/>
        <w:spacing w:line="360" w:lineRule="auto"/>
        <w:ind/>
        <w:rPr>
          <w:b w:val="0"/>
          <w:bCs w:val="0"/>
          <w:sz w:val="22"/>
          <w:szCs w:val="22"/>
          <w:highlight w:val="none"/>
          <w:lang w:val="en-IE"/>
        </w:rPr>
      </w:pPr>
      <w:r>
        <w:rPr>
          <w:b w:val="0"/>
          <w:bCs w:val="0"/>
          <w:sz w:val="22"/>
          <w:szCs w:val="22"/>
          <w:highlight w:val="none"/>
          <w:lang w:val="en-IE"/>
        </w:rPr>
        <w:t xml:space="preserve">Secondary Subject:</w:t>
      </w:r>
      <w:r>
        <w:rPr>
          <w:b w:val="0"/>
          <w:bCs w:val="0"/>
          <w:sz w:val="22"/>
          <w:szCs w:val="22"/>
          <w:highlight w:val="none"/>
          <w:lang w:val="en-IE"/>
        </w:rPr>
        <w:t xml:space="preserve"> </w:t>
        <w:tab/>
        <w:tab/>
        <w:tab/>
        <w:tab/>
        <w:t xml:space="preserve">English</w:t>
      </w:r>
      <w:r>
        <w:rPr>
          <w:b w:val="0"/>
          <w:bCs w:val="0"/>
          <w:sz w:val="22"/>
          <w:szCs w:val="22"/>
          <w:highlight w:val="none"/>
          <w:lang w:val="en-IE"/>
        </w:rPr>
      </w:r>
      <w:r>
        <w:rPr>
          <w:b w:val="0"/>
          <w:bCs w:val="0"/>
          <w:sz w:val="22"/>
          <w:szCs w:val="22"/>
          <w:highlight w:val="none"/>
          <w:lang w:val="en-IE"/>
        </w:rPr>
      </w:r>
    </w:p>
    <w:p w14:paraId="43C1CDE6">
      <w:pPr>
        <w:pBdr/>
        <w:spacing w:line="360" w:lineRule="auto"/>
        <w:ind/>
        <w:rPr>
          <w:b w:val="0"/>
          <w:bCs w:val="0"/>
          <w:sz w:val="22"/>
          <w:szCs w:val="22"/>
          <w:highlight w:val="none"/>
          <w:lang w:val="en-IE"/>
        </w:rPr>
      </w:pPr>
      <w:r>
        <w:rPr>
          <w:b w:val="0"/>
          <w:bCs w:val="0"/>
          <w:sz w:val="22"/>
          <w:szCs w:val="22"/>
          <w:highlight w:val="none"/>
          <w:lang w:val="en-IE" w:bidi="en-IE"/>
        </w:rPr>
      </w:r>
      <w:r>
        <w:rPr>
          <w:b w:val="0"/>
          <w:bCs w:val="0"/>
          <w:sz w:val="22"/>
          <w:szCs w:val="22"/>
          <w:highlight w:val="none"/>
          <w:lang w:val="en-IE"/>
        </w:rPr>
      </w:r>
      <w:r>
        <w:rPr>
          <w:b w:val="0"/>
          <w:bCs w:val="0"/>
          <w:sz w:val="22"/>
          <w:szCs w:val="22"/>
          <w:highlight w:val="none"/>
          <w:lang w:val="en-IE"/>
        </w:rPr>
      </w:r>
    </w:p>
    <w:p w14:paraId="14213B97">
      <w:pPr>
        <w:pBdr/>
        <w:spacing w:line="360" w:lineRule="auto"/>
        <w:ind/>
        <w:rPr>
          <w:b w:val="0"/>
          <w:bCs w:val="0"/>
          <w:sz w:val="22"/>
          <w:szCs w:val="22"/>
          <w:highlight w:val="none"/>
          <w:lang w:val="en-IE"/>
        </w:rPr>
      </w:pPr>
      <w:r>
        <w:rPr>
          <w:b w:val="0"/>
          <w:bCs w:val="0"/>
          <w:sz w:val="22"/>
          <w:szCs w:val="22"/>
          <w:highlight w:val="none"/>
          <w:lang w:val="en-IE"/>
        </w:rPr>
        <w:t xml:space="preserve">Supervisor: </w:t>
      </w:r>
      <w:r>
        <w:rPr>
          <w:b w:val="0"/>
          <w:bCs w:val="0"/>
          <w:sz w:val="22"/>
          <w:szCs w:val="22"/>
          <w:highlight w:val="none"/>
          <w:lang w:val="en-IE"/>
        </w:rPr>
        <w:tab/>
        <w:tab/>
        <w:tab/>
        <w:tab/>
        <w:tab/>
        <w:t xml:space="preserve">Dr. Pohl</w:t>
      </w:r>
      <w:r>
        <w:rPr>
          <w:b w:val="0"/>
          <w:bCs w:val="0"/>
          <w:sz w:val="22"/>
          <w:szCs w:val="22"/>
          <w:highlight w:val="none"/>
          <w:lang w:val="en-IE"/>
        </w:rPr>
      </w:r>
      <w:r>
        <w:rPr>
          <w:b w:val="0"/>
          <w:bCs w:val="0"/>
          <w:sz w:val="22"/>
          <w:szCs w:val="22"/>
          <w:highlight w:val="none"/>
          <w:lang w:val="en-IE"/>
        </w:rPr>
      </w:r>
    </w:p>
    <w:p w14:paraId="32997070">
      <w:pPr>
        <w:pBdr/>
        <w:spacing w:line="360" w:lineRule="auto"/>
        <w:ind/>
        <w:rPr>
          <w:b w:val="0"/>
          <w:bCs w:val="0"/>
          <w:sz w:val="22"/>
          <w:szCs w:val="22"/>
          <w:highlight w:val="none"/>
          <w:lang w:val="en-IE"/>
        </w:rPr>
      </w:pPr>
      <w:r>
        <w:rPr>
          <w:b w:val="0"/>
          <w:bCs w:val="0"/>
          <w:sz w:val="22"/>
          <w:szCs w:val="22"/>
          <w:highlight w:val="none"/>
          <w:lang w:val="en-IE" w:bidi="de-DE"/>
        </w:rPr>
        <w:t xml:space="preserve">Submission Deadline:</w:t>
        <w:tab/>
        <w:tab/>
        <w:tab/>
      </w:r>
      <w:r>
        <w:rPr>
          <w:b w:val="0"/>
          <w:bCs w:val="0"/>
          <w:sz w:val="22"/>
          <w:szCs w:val="22"/>
          <w:highlight w:val="none"/>
          <w:lang w:val="en-IE" w:bidi="de-DE"/>
        </w:rPr>
        <w:t xml:space="preserve">12</w:t>
      </w:r>
      <w:r>
        <w:rPr>
          <w:b w:val="0"/>
          <w:bCs w:val="0"/>
          <w:sz w:val="22"/>
          <w:szCs w:val="22"/>
          <w:highlight w:val="none"/>
          <w:lang w:val="en-IE" w:bidi="de-DE"/>
        </w:rPr>
        <w:t xml:space="preserve"> </w:t>
      </w:r>
      <w:r>
        <w:rPr>
          <w:b w:val="0"/>
          <w:bCs w:val="0"/>
          <w:sz w:val="22"/>
          <w:szCs w:val="22"/>
          <w:highlight w:val="none"/>
          <w:lang w:val="en-IE" w:bidi="de-DE"/>
        </w:rPr>
        <w:t xml:space="preserve">March 2026</w:t>
      </w:r>
      <w:r>
        <w:rPr>
          <w:b w:val="0"/>
          <w:bCs w:val="0"/>
          <w:sz w:val="22"/>
          <w:szCs w:val="22"/>
          <w:highlight w:val="none"/>
          <w:lang w:val="en-IE"/>
        </w:rPr>
      </w:r>
      <w:r>
        <w:rPr>
          <w:b w:val="0"/>
          <w:bCs w:val="0"/>
          <w:sz w:val="22"/>
          <w:szCs w:val="22"/>
          <w:highlight w:val="none"/>
          <w:lang w:val="en-IE"/>
        </w:rPr>
      </w:r>
    </w:p>
    <w:p w14:paraId="59208201">
      <w:pPr>
        <w:pBdr/>
        <w:spacing w:line="360" w:lineRule="auto"/>
        <w:ind/>
        <w:rPr>
          <w:lang w:val="en-IE"/>
        </w:rPr>
      </w:pPr>
      <w:r>
        <w:rPr>
          <w:lang w:val="en-IE"/>
        </w:rPr>
      </w:r>
      <w:r>
        <w:rPr>
          <w:lang w:val="en-IE"/>
        </w:rPr>
      </w:r>
      <w:r>
        <w:rPr>
          <w:lang w:val="en-IE"/>
        </w:rPr>
      </w:r>
    </w:p>
    <w:p w14:paraId="42D38775">
      <w:pPr>
        <w:pBdr/>
        <w:spacing w:line="360" w:lineRule="auto"/>
        <w:ind/>
        <w:rPr>
          <w:sz w:val="22"/>
          <w:szCs w:val="22"/>
          <w:highlight w:val="none"/>
          <w:lang w:val="en-IE"/>
        </w:rPr>
      </w:pPr>
      <w:r>
        <w:rPr>
          <w:sz w:val="28"/>
          <w:szCs w:val="28"/>
          <w:highlight w:val="none"/>
          <w:lang w:val="en-IE" w:bidi="en-IE"/>
        </w:rPr>
      </w:r>
      <w:r>
        <w:rPr>
          <w:sz w:val="22"/>
          <w:szCs w:val="22"/>
          <w:highlight w:val="none"/>
          <w:lang w:val="en-IE"/>
        </w:rPr>
      </w:r>
      <w:r>
        <w:rPr>
          <w:sz w:val="22"/>
          <w:szCs w:val="22"/>
          <w:highlight w:val="none"/>
          <w:lang w:val="en-IE"/>
        </w:rPr>
      </w:r>
    </w:p>
    <w:p w14:paraId="4108889E">
      <w:pPr>
        <w:pBdr/>
        <w:spacing w:line="360" w:lineRule="auto"/>
        <w:ind/>
        <w:rPr>
          <w:sz w:val="28"/>
          <w:szCs w:val="28"/>
          <w:highlight w:val="none"/>
          <w:lang w:val="en-IE"/>
        </w:rPr>
      </w:pPr>
      <w:r>
        <w:rPr>
          <w:sz w:val="28"/>
          <w:szCs w:val="28"/>
          <w:highlight w:val="none"/>
          <w:lang w:val="en-IE" w:bidi="en-IE"/>
        </w:rPr>
      </w:r>
      <w:r>
        <w:rPr>
          <w:sz w:val="28"/>
          <w:szCs w:val="28"/>
          <w:highlight w:val="none"/>
          <w:lang w:val="en-IE"/>
        </w:rPr>
      </w:r>
      <w:r>
        <w:rPr>
          <w:sz w:val="28"/>
          <w:szCs w:val="28"/>
          <w:highlight w:val="none"/>
          <w:lang w:val="en-IE"/>
        </w:rPr>
      </w:r>
    </w:p>
    <w:p w14:paraId="01982C76">
      <w:pPr>
        <w:pBdr/>
        <w:spacing w:line="360" w:lineRule="auto"/>
        <w:ind/>
        <w:rPr>
          <w:sz w:val="28"/>
          <w:szCs w:val="28"/>
          <w:highlight w:val="none"/>
          <w:lang w:val="en-IE"/>
        </w:rPr>
      </w:pPr>
      <w:r>
        <w:rPr>
          <w:sz w:val="28"/>
          <w:szCs w:val="28"/>
          <w:lang w:val="en-IE" w:bidi="en-IE"/>
        </w:rPr>
      </w:r>
      <w:r>
        <w:rPr>
          <w:sz w:val="28"/>
          <w:szCs w:val="28"/>
          <w:lang w:val="en-IE"/>
        </w:rPr>
        <w:t xml:space="preserve">Table of contents:</w:t>
      </w:r>
      <w:r>
        <w:rPr>
          <w:sz w:val="22"/>
          <w:szCs w:val="22"/>
          <w:highlight w:val="none"/>
          <w:lang w:val="en-IE"/>
        </w:rPr>
        <w:t xml:space="preserve"> </w:t>
      </w:r>
      <w:r>
        <w:rPr>
          <w:sz w:val="28"/>
          <w:szCs w:val="28"/>
          <w:highlight w:val="none"/>
          <w:lang w:val="en-IE"/>
        </w:rPr>
      </w:r>
      <w:r>
        <w:rPr>
          <w:sz w:val="28"/>
          <w:szCs w:val="28"/>
          <w:highlight w:val="none"/>
          <w:lang w:val="en-IE"/>
        </w:rPr>
      </w:r>
    </w:p>
    <w:p w14:paraId="265E3EC0">
      <w:pPr>
        <w:pStyle w:val="991"/>
        <w:numPr>
          <w:ilvl w:val="0"/>
          <w:numId w:val="4"/>
        </w:numPr>
        <w:pBdr/>
        <w:spacing w:line="360" w:lineRule="auto"/>
        <w:ind/>
        <w:rPr>
          <w:sz w:val="22"/>
          <w:szCs w:val="22"/>
          <w:highlight w:val="none"/>
          <w:lang w:val="en-IE"/>
        </w:rPr>
      </w:pPr>
      <w:r>
        <w:rPr>
          <w:sz w:val="22"/>
          <w:szCs w:val="22"/>
          <w:highlight w:val="none"/>
          <w:lang w:val="en-IE"/>
        </w:rPr>
        <w:t xml:space="preserve">Introduction</w:t>
      </w:r>
      <w:r>
        <w:rPr>
          <w:sz w:val="22"/>
          <w:szCs w:val="22"/>
          <w:highlight w:val="none"/>
          <w:lang w:val="en-IE"/>
        </w:rPr>
      </w:r>
      <w:r>
        <w:rPr>
          <w:sz w:val="22"/>
          <w:szCs w:val="22"/>
          <w:highlight w:val="none"/>
          <w:lang w:val="en-IE"/>
        </w:rPr>
      </w:r>
    </w:p>
    <w:p w14:paraId="7FAF746A">
      <w:pPr>
        <w:pStyle w:val="991"/>
        <w:numPr>
          <w:ilvl w:val="0"/>
          <w:numId w:val="4"/>
        </w:numPr>
        <w:pBdr/>
        <w:spacing w:line="360" w:lineRule="auto"/>
        <w:ind/>
        <w:rPr>
          <w:sz w:val="22"/>
          <w:szCs w:val="22"/>
          <w:highlight w:val="none"/>
          <w:lang w:val="en-IE"/>
        </w:rPr>
      </w:pPr>
      <w:r>
        <w:rPr>
          <w:sz w:val="22"/>
          <w:szCs w:val="22"/>
          <w:highlight w:val="none"/>
          <w:lang w:val="en-IE"/>
        </w:rPr>
        <w:t xml:space="preserve">Background: The Troubles</w:t>
      </w:r>
      <w:r>
        <w:rPr>
          <w:sz w:val="22"/>
          <w:szCs w:val="22"/>
          <w:highlight w:val="none"/>
          <w:lang w:val="en-IE"/>
        </w:rPr>
      </w:r>
      <w:r>
        <w:rPr>
          <w:sz w:val="22"/>
          <w:szCs w:val="22"/>
          <w:highlight w:val="none"/>
          <w:lang w:val="en-IE"/>
        </w:rPr>
      </w:r>
    </w:p>
    <w:p w14:paraId="09313D27">
      <w:pPr>
        <w:pStyle w:val="991"/>
        <w:numPr>
          <w:ilvl w:val="0"/>
          <w:numId w:val="4"/>
        </w:numPr>
        <w:pBdr/>
        <w:spacing w:line="360" w:lineRule="auto"/>
        <w:ind/>
        <w:rPr>
          <w:sz w:val="22"/>
          <w:szCs w:val="22"/>
          <w:highlight w:val="none"/>
          <w:lang w:val="en-IE"/>
        </w:rPr>
      </w:pPr>
      <w:r>
        <w:rPr>
          <w:sz w:val="22"/>
          <w:szCs w:val="22"/>
          <w:highlight w:val="none"/>
          <w:lang w:val="en-IE"/>
        </w:rPr>
        <w:t xml:space="preserve">The Good Friday Agreement</w:t>
      </w:r>
      <w:r>
        <w:rPr>
          <w:sz w:val="22"/>
          <w:szCs w:val="22"/>
          <w:highlight w:val="none"/>
          <w:lang w:val="en-IE"/>
        </w:rPr>
      </w:r>
      <w:r>
        <w:rPr>
          <w:sz w:val="22"/>
          <w:szCs w:val="22"/>
          <w:highlight w:val="none"/>
          <w:lang w:val="en-IE"/>
        </w:rPr>
      </w:r>
    </w:p>
    <w:p w14:paraId="76FEC1C1">
      <w:pPr>
        <w:pStyle w:val="991"/>
        <w:numPr>
          <w:ilvl w:val="0"/>
          <w:numId w:val="4"/>
        </w:numPr>
        <w:pBdr/>
        <w:spacing w:line="360" w:lineRule="auto"/>
        <w:ind/>
        <w:rPr>
          <w:sz w:val="22"/>
          <w:szCs w:val="22"/>
          <w:highlight w:val="none"/>
          <w:lang w:val="en-IE"/>
        </w:rPr>
      </w:pPr>
      <w:r>
        <w:rPr>
          <w:sz w:val="22"/>
          <w:szCs w:val="22"/>
          <w:highlight w:val="none"/>
          <w:lang w:val="en-IE" w:bidi="en-IE"/>
        </w:rPr>
      </w:r>
      <w:r>
        <w:rPr>
          <w:sz w:val="22"/>
          <w:szCs w:val="22"/>
          <w:highlight w:val="none"/>
          <w:lang w:val="en-IE"/>
        </w:rPr>
        <w:t xml:space="preserve">Political Instability after 1998</w:t>
      </w:r>
      <w:r>
        <w:rPr>
          <w:sz w:val="22"/>
          <w:szCs w:val="22"/>
          <w:highlight w:val="none"/>
          <w:lang w:val="en-IE"/>
        </w:rPr>
      </w:r>
      <w:r>
        <w:rPr>
          <w:sz w:val="22"/>
          <w:szCs w:val="22"/>
          <w:highlight w:val="none"/>
          <w:lang w:val="en-IE"/>
        </w:rPr>
      </w:r>
    </w:p>
    <w:p w14:paraId="032C118E">
      <w:pPr>
        <w:pStyle w:val="991"/>
        <w:numPr>
          <w:ilvl w:val="0"/>
          <w:numId w:val="4"/>
        </w:numPr>
        <w:pBdr/>
        <w:spacing w:line="360" w:lineRule="auto"/>
        <w:ind/>
        <w:rPr>
          <w:sz w:val="22"/>
          <w:szCs w:val="22"/>
          <w:highlight w:val="none"/>
          <w:lang w:val="en-IE"/>
        </w:rPr>
      </w:pPr>
      <w:r>
        <w:rPr>
          <w:sz w:val="22"/>
          <w:szCs w:val="22"/>
          <w:highlight w:val="none"/>
          <w:lang w:val="en-IE"/>
        </w:rPr>
        <w:t xml:space="preserve">Evaluatio</w:t>
      </w:r>
      <w:r>
        <w:rPr>
          <w:sz w:val="22"/>
          <w:szCs w:val="22"/>
          <w:highlight w:val="none"/>
          <w:lang w:val="en-IE"/>
        </w:rPr>
        <w:t xml:space="preserve">n</w:t>
      </w:r>
      <w:r>
        <w:rPr>
          <w:sz w:val="22"/>
          <w:szCs w:val="22"/>
          <w:highlight w:val="none"/>
          <w:lang w:val="en-IE"/>
        </w:rPr>
      </w:r>
      <w:r>
        <w:rPr>
          <w:sz w:val="22"/>
          <w:szCs w:val="22"/>
          <w:highlight w:val="none"/>
          <w:lang w:val="en-IE"/>
        </w:rPr>
      </w:r>
    </w:p>
    <w:p w14:paraId="6E177C0A">
      <w:pPr>
        <w:pBdr/>
        <w:spacing/>
        <w:ind/>
        <w:rPr>
          <w:sz w:val="22"/>
          <w:szCs w:val="22"/>
          <w:highlight w:val="none"/>
          <w:lang w:val="en-IE"/>
        </w:rPr>
      </w:pPr>
      <w:r>
        <w:rPr>
          <w:sz w:val="22"/>
          <w:szCs w:val="22"/>
          <w:highlight w:val="none"/>
          <w:lang w:val="en-IE"/>
        </w:rPr>
        <w:br w:type="page" w:clear="all"/>
      </w:r>
      <w:r>
        <w:rPr>
          <w:sz w:val="22"/>
          <w:szCs w:val="22"/>
          <w:highlight w:val="none"/>
          <w:lang w:val="en-IE"/>
        </w:rPr>
      </w:r>
      <w:r>
        <w:rPr>
          <w:sz w:val="22"/>
          <w:szCs w:val="22"/>
          <w:highlight w:val="none"/>
          <w:lang w:val="en-IE"/>
        </w:rPr>
      </w:r>
    </w:p>
    <w:p w14:paraId="306C13FF">
      <w:pPr>
        <w:pBdr/>
        <w:tabs>
          <w:tab w:val="left" w:leader="none" w:pos="5830"/>
        </w:tabs>
        <w:spacing w:line="360" w:lineRule="auto"/>
        <w:ind/>
        <w:jc w:val="both"/>
        <w:rPr>
          <w:rFonts w:ascii="Arial" w:hAnsi="Arial" w:cs="Arial"/>
          <w:highlight w:val="none"/>
        </w:rPr>
      </w:pPr>
      <w:r>
        <w:rPr>
          <w:rFonts w:ascii="Arial" w:hAnsi="Arial" w:eastAsia="Arial" w:cs="Arial"/>
          <w:sz w:val="22"/>
          <w:szCs w:val="22"/>
          <w:highlight w:val="none"/>
          <w:lang w:val="en-IE" w:bidi="en-IE"/>
        </w:rPr>
      </w:r>
      <w:r>
        <w:rPr>
          <w:rFonts w:ascii="Arial" w:hAnsi="Arial" w:eastAsia="Arial" w:cs="Arial"/>
          <w:lang w:val="en-IE"/>
        </w:rPr>
        <w:t xml:space="preserve">T</w:t>
      </w:r>
      <w:r>
        <w:rPr>
          <w:rFonts w:ascii="Arial" w:hAnsi="Arial" w:eastAsia="Arial" w:cs="Arial"/>
          <w:lang w:val="en-IE"/>
        </w:rPr>
        <w:t xml:space="preserve">he central research interest of this study lies in determening whether the Good Friday Agreement represents a lasting peace or merely a temporary solution. In order to maintain a strict historical focus and meet the requirements of a 5.PK-</w:t>
      </w:r>
      <w:r>
        <w:rPr>
          <w:rFonts w:ascii="Arial" w:hAnsi="Arial" w:eastAsia="Arial" w:cs="Arial"/>
          <w:lang w:val="en-IE"/>
        </w:rPr>
        <w:t xml:space="preserve">presentation, the main topic is strictly limited to developments immediately prior to the 1998 agreement, with the historical background of the ‘Troubles’ serving as necessary background informa</w:t>
      </w:r>
      <w:r>
        <w:rPr>
          <w:rFonts w:ascii="Arial" w:hAnsi="Arial" w:eastAsia="Arial" w:cs="Arial"/>
          <w:lang w:val="en-IE"/>
        </w:rPr>
        <w:t xml:space="preserve">tion. This specific focus was chosen to cover the most controversial turning point of the English-Irish Conflict, while not facilitation the problem of possible justification of politically motivated violence. Developments after the signing are used exclus</w:t>
      </w:r>
      <w:r>
        <w:rPr>
          <w:rFonts w:ascii="Arial" w:hAnsi="Arial" w:eastAsia="Arial" w:cs="Arial"/>
          <w:lang w:val="en-IE"/>
        </w:rPr>
        <w:t xml:space="preserve">i</w:t>
      </w:r>
      <w:r>
        <w:rPr>
          <w:rFonts w:ascii="Arial" w:hAnsi="Arial" w:eastAsia="Arial" w:cs="Arial"/>
          <w:lang w:val="en-IE"/>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Arial" w:hAnsi="Arial" w:eastAsia="Arial" w:cs="Arial"/>
          <w:lang w:val="en-IE"/>
        </w:rPr>
        <w:t xml:space="preserve">ement areas by avoiding a simple timeline/list of historical events and instead focusing on a criteria-oriented analysis of the historical turningpoint.</w:t>
      </w:r>
      <w:r>
        <w:rPr>
          <w:rFonts w:ascii="Arial" w:hAnsi="Arial" w:eastAsia="Arial" w:cs="Arial"/>
          <w:lang w:val="en-IE"/>
        </w:rPr>
        <w:t xml:space="preserve"> </w:t>
      </w:r>
      <w:r>
        <w:rPr>
          <w:rFonts w:ascii="Arial" w:hAnsi="Arial" w:eastAsia="Arial" w:cs="Arial"/>
          <w:highlight w:val="none"/>
        </w:rPr>
      </w:r>
      <w:r>
        <w:rPr>
          <w:rFonts w:ascii="Arial" w:hAnsi="Arial" w:cs="Arial"/>
          <w:highlight w:val="none"/>
        </w:rPr>
      </w:r>
    </w:p>
    <w:p w14:paraId="5F6CA52D">
      <w:pPr>
        <w:pBdr/>
        <w:shd w:val="clear" w:color="ffffff" w:themeColor="background1" w:fill="ffffff" w:themeFill="background1"/>
        <w:tabs>
          <w:tab w:val="left" w:leader="none" w:pos="5830"/>
        </w:tabs>
        <w:spacing w:line="360" w:lineRule="auto"/>
        <w:ind/>
        <w:jc w:val="both"/>
        <w:rPr>
          <w:rFonts w:ascii="Arial" w:hAnsi="Arial" w:cs="Arial"/>
          <w:sz w:val="22"/>
          <w:szCs w:val="22"/>
          <w:highlight w:val="none"/>
        </w:rPr>
      </w:pPr>
      <w:r>
        <w:rPr>
          <w:rFonts w:ascii="Arial" w:hAnsi="Arial" w:eastAsia="Arial" w:cs="Arial"/>
          <w:highlight w:val="none"/>
          <w:lang w:val="en-IE" w:bidi="en-IE"/>
        </w:rPr>
      </w:r>
      <w:r>
        <w:rPr>
          <w:rFonts w:ascii="Arial" w:hAnsi="Arial" w:eastAsia="Arial" w:cs="Arial"/>
          <w:highlight w:val="none"/>
          <w:lang w:val="en-IE"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Arial" w:hAnsi="Arial" w:eastAsia="Arial" w:cs="Arial"/>
          <w:highlight w:val="none"/>
          <w:lang w:val="en-IE" w:bidi="en-IE"/>
        </w:rPr>
        <w:t xml:space="preserve"> </w:t>
      </w:r>
      <w:r>
        <w:rPr>
          <w:rFonts w:ascii="Arial" w:hAnsi="Arial" w:eastAsia="Arial" w:cs="Arial"/>
          <w:highlight w:val="none"/>
          <w:lang w:val="en-IE" w:bidi="en-IE"/>
        </w:rPr>
        <w:t xml:space="preserve">the resulting compromise of long-term social and political stability. By focusing on not only one one, but both of these categories, the study explores why the agreement successfully halted military aggression but failed to resolve the deep-seated social c</w:t>
      </w:r>
      <w:r>
        <w:rPr>
          <w:rFonts w:ascii="Arial" w:hAnsi="Arial" w:eastAsia="Arial" w:cs="Arial"/>
          <w:highlight w:val="none"/>
          <w:lang w:val="en-IE" w:bidi="en-IE"/>
        </w:rPr>
        <w:t xml:space="preserve">onflict and distrust between the Irish and English populations. This multi-layered analysis is essential for reaching a differentiated evaluation that moves beyond a linear reproduction of facts.</w:t>
      </w:r>
      <w:r>
        <w:rPr>
          <w:rFonts w:ascii="Arial" w:hAnsi="Arial" w:eastAsia="Arial" w:cs="Arial"/>
          <w:sz w:val="22"/>
          <w:szCs w:val="22"/>
          <w:highlight w:val="none"/>
        </w:rPr>
      </w:r>
      <w:r>
        <w:rPr>
          <w:rFonts w:ascii="Arial" w:hAnsi="Arial" w:cs="Arial"/>
          <w:sz w:val="22"/>
          <w:szCs w:val="22"/>
          <w:highlight w:val="none"/>
        </w:rPr>
      </w:r>
    </w:p>
    <w:p w14:paraId="622842C6">
      <w:pPr>
        <w:pBdr/>
        <w:shd w:val="clear" w:color="ffffff" w:themeColor="background1" w:fill="ffffff" w:themeFill="background1"/>
        <w:tabs>
          <w:tab w:val="left" w:leader="none" w:pos="5830"/>
        </w:tabs>
        <w:spacing w:line="360" w:lineRule="auto"/>
        <w:ind/>
        <w:jc w:val="both"/>
        <w:rPr>
          <w:rFonts w:ascii="Arial" w:hAnsi="Arial" w:cs="Arial"/>
          <w:sz w:val="22"/>
          <w:szCs w:val="22"/>
          <w:highlight w:val="none"/>
        </w:rPr>
      </w:pPr>
      <w:r>
        <w:rPr>
          <w:rFonts w:ascii="Arial" w:hAnsi="Arial" w:eastAsia="Arial" w:cs="Arial"/>
          <w:sz w:val="22"/>
          <w:szCs w:val="22"/>
          <w:highlight w:val="none"/>
          <w:lang w:val="en-IE" w:bidi="en-IE"/>
        </w:rPr>
        <w:t xml:space="preserve">T</w:t>
      </w:r>
      <w:r>
        <w:rPr>
          <w:rFonts w:ascii="Arial" w:hAnsi="Arial" w:eastAsia="Arial" w:cs="Arial"/>
          <w:sz w:val="22"/>
          <w:szCs w:val="22"/>
          <w:highlight w:val="none"/>
          <w:lang w:val="en-IE"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Arial" w:hAnsi="Arial" w:eastAsia="Arial" w:cs="Arial"/>
          <w:sz w:val="22"/>
          <w:szCs w:val="22"/>
          <w:highlight w:val="none"/>
          <w:lang w:val="en-IE" w:bidi="en-IE"/>
        </w:rPr>
        <w:t xml:space="preserve">ion and allows access to a wider range of source material, including specialized scientific analyses, press reports and interviews that may not be available in other languages. </w:t>
      </w:r>
      <w:r>
        <w:rPr>
          <w:rFonts w:ascii="Arial" w:hAnsi="Arial" w:eastAsia="Arial" w:cs="Arial"/>
          <w:sz w:val="22"/>
          <w:szCs w:val="22"/>
          <w:highlight w:val="none"/>
          <w:lang w:val="en-IE" w:bidi="en-IE"/>
        </w:rPr>
        <w:t xml:space="preserve">T</w:t>
      </w:r>
      <w:r>
        <w:rPr>
          <w:rFonts w:ascii="Arial" w:hAnsi="Arial" w:eastAsia="Arial" w:cs="Arial"/>
          <w:sz w:val="22"/>
          <w:szCs w:val="22"/>
          <w:highlight w:val="none"/>
          <w:lang w:val="en-IE"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Arial" w:hAnsi="Arial" w:eastAsia="Arial" w:cs="Arial"/>
          <w:sz w:val="22"/>
          <w:szCs w:val="22"/>
          <w:highlight w:val="none"/>
          <w:lang w:val="en-IE" w:bidi="en-IE"/>
        </w:rPr>
        <w:t xml:space="preserve"> to achieve an agreement between opposing groups of people with fundamentally different interests and perspectives. </w:t>
      </w:r>
      <w:r>
        <w:rPr>
          <w:rFonts w:ascii="Arial" w:hAnsi="Arial" w:eastAsia="Arial" w:cs="Arial"/>
          <w:sz w:val="22"/>
          <w:szCs w:val="22"/>
          <w:highlight w:val="none"/>
        </w:rPr>
      </w:r>
      <w:r>
        <w:rPr>
          <w:rFonts w:ascii="Arial" w:hAnsi="Arial" w:cs="Arial"/>
          <w:sz w:val="22"/>
          <w:szCs w:val="22"/>
          <w:highlight w:val="none"/>
        </w:rPr>
      </w:r>
    </w:p>
    <w:p w14:paraId="22EFEE19">
      <w:pPr>
        <w:pBdr/>
        <w:shd w:val="clear" w:color="ffffff" w:themeColor="background1" w:fill="ffffff" w:themeFill="background1"/>
        <w:tabs>
          <w:tab w:val="left" w:leader="none" w:pos="5830"/>
        </w:tabs>
        <w:spacing w:line="360" w:lineRule="auto"/>
        <w:ind/>
        <w:jc w:val="both"/>
        <w:rPr>
          <w:rFonts w:ascii="Arial" w:hAnsi="Arial" w:cs="Arial"/>
          <w:sz w:val="22"/>
          <w:szCs w:val="22"/>
          <w:highlight w:val="none"/>
        </w:rPr>
      </w:pPr>
      <w:r>
        <w:rPr>
          <w:rFonts w:ascii="Arial" w:hAnsi="Arial" w:eastAsia="Arial" w:cs="Arial"/>
          <w:sz w:val="22"/>
          <w:szCs w:val="22"/>
          <w:highlight w:val="none"/>
          <w:lang w:val="en-IE" w:bidi="en-IE"/>
        </w:rPr>
        <w:t xml:space="preserve">After thoroughly analyzing both the agreement as well as the reactions, we settled on four main arguments. </w:t>
      </w:r>
      <w:r>
        <w:rPr>
          <w:rFonts w:ascii="Arial" w:hAnsi="Arial" w:eastAsia="Arial" w:cs="Arial"/>
          <w:sz w:val="22"/>
          <w:szCs w:val="22"/>
          <w:highlight w:val="none"/>
          <w:lang w:val="en-IE" w:bidi="en-IE"/>
        </w:rPr>
        <w:t xml:space="preserve">While it is true that violent paramilitary organizations such as the IRA were effectively dismantled after the agreement</w:t>
      </w:r>
      <w:r>
        <w:rPr>
          <w:rFonts w:ascii="Arial" w:hAnsi="Arial" w:eastAsia="Arial" w:cs="Arial"/>
          <w:sz w:val="22"/>
          <w:szCs w:val="22"/>
          <w:highlight w:val="none"/>
          <w:lang w:val="en-IE" w:bidi="en-IE"/>
        </w:rPr>
        <w:t xml:space="preserve">, allowing the violence that took place during the ‘Troubles’ to finally come to an end, the Good Friday Agreement produced a state commonly referred to as ‘Negative Peace’</w:t>
      </w:r>
      <w:r>
        <w:rPr>
          <w:rStyle w:val="969"/>
          <w:rFonts w:ascii="Arial" w:hAnsi="Arial" w:eastAsia="Arial" w:cs="Arial"/>
          <w:sz w:val="22"/>
          <w:szCs w:val="22"/>
          <w:highlight w:val="none"/>
          <w:lang w:val="en-IE" w:bidi="en-IE"/>
        </w:rPr>
        <w:footnoteReference w:id="2"/>
      </w:r>
      <w:r>
        <w:rPr>
          <w:rStyle w:val="969"/>
          <w:rFonts w:ascii="Arial" w:hAnsi="Arial" w:eastAsia="Arial" w:cs="Arial"/>
          <w:sz w:val="22"/>
          <w:szCs w:val="22"/>
          <w:highlight w:val="none"/>
          <w:vertAlign w:val="baseline"/>
          <w:lang w:val="en-IE" w:bidi="en-IE"/>
        </w:rPr>
        <w:t xml:space="preserve"> by experts. This refers to the abscense of direct violence in an otherwise divided and mainly disfunctional society. </w:t>
      </w:r>
      <w:r>
        <w:rPr>
          <w:rFonts w:ascii="Arial" w:hAnsi="Arial" w:eastAsia="Arial" w:cs="Arial"/>
          <w:sz w:val="22"/>
          <w:szCs w:val="22"/>
          <w:highlight w:val="none"/>
          <w:lang w:val="en-IE" w:bidi="en-IE"/>
        </w:rPr>
        <w:t xml:space="preserve">Northern Ireland after the Good Friday Agreement is a prime example of this phenomenon, as the old patterns that initially fueled the violent conflict, such as schools being separated or neighbourhoods being physically split </w:t>
      </w:r>
      <w:r>
        <w:rPr>
          <w:rFonts w:ascii="Arial" w:hAnsi="Arial" w:eastAsia="Arial" w:cs="Arial"/>
          <w:sz w:val="22"/>
          <w:szCs w:val="22"/>
          <w:highlight w:val="none"/>
          <w:lang w:val="en-IE" w:bidi="en-IE"/>
        </w:rPr>
        <w:t xml:space="preserve">in catholic and protestant</w:t>
      </w:r>
      <w:r>
        <w:rPr>
          <w:rFonts w:ascii="Arial" w:hAnsi="Arial" w:eastAsia="Arial" w:cs="Arial"/>
          <w:sz w:val="22"/>
          <w:szCs w:val="22"/>
          <w:highlight w:val="none"/>
          <w:lang w:val="en-IE" w:bidi="en-IE"/>
        </w:rPr>
        <w:t xml:space="preserve">  are allowed to continue, with the agreement just preventing the spark that initially ignited the violence. </w:t>
      </w:r>
      <w:r>
        <w:rPr>
          <w:rFonts w:ascii="Arial" w:hAnsi="Arial" w:eastAsia="Arial" w:cs="Arial"/>
          <w:sz w:val="22"/>
          <w:szCs w:val="22"/>
          <w:highlight w:val="none"/>
          <w:lang w:val="en-IE" w:bidi="en-IE"/>
        </w:rPr>
      </w:r>
      <w:r>
        <w:rPr>
          <w:rFonts w:ascii="Arial" w:hAnsi="Arial" w:cs="Arial"/>
          <w:sz w:val="22"/>
          <w:szCs w:val="22"/>
          <w:highlight w:val="none"/>
        </w:rPr>
      </w:r>
    </w:p>
    <w:p w14:paraId="5E0B404D">
      <w:pPr>
        <w:pBdr/>
        <w:shd w:val="clear" w:color="ffffff" w:themeColor="background1" w:fill="ffffff" w:themeFill="background1"/>
        <w:tabs>
          <w:tab w:val="left" w:leader="none" w:pos="5830"/>
        </w:tabs>
        <w:spacing w:line="360" w:lineRule="auto"/>
        <w:ind/>
        <w:jc w:val="both"/>
        <w:rPr>
          <w:rFonts w:ascii="Arial" w:hAnsi="Arial" w:eastAsia="Arial" w:cs="Arial"/>
          <w:sz w:val="22"/>
          <w:szCs w:val="22"/>
          <w:highlight w:val="none"/>
          <w:lang w:val="en-IE" w:bidi="en-IE"/>
        </w:rPr>
      </w:pPr>
      <w:r>
        <w:rPr>
          <w:rFonts w:ascii="Arial" w:hAnsi="Arial" w:eastAsia="Arial" w:cs="Arial"/>
          <w:sz w:val="22"/>
          <w:szCs w:val="22"/>
          <w:highlight w:val="none"/>
          <w:lang w:val="en-IE" w:bidi="en-IE"/>
        </w:rPr>
        <w:t xml:space="preserve">That this outcome wasn’t just random, but </w:t>
      </w:r>
      <w:r>
        <w:rPr>
          <w:rFonts w:ascii="Arial" w:hAnsi="Arial" w:eastAsia="Arial" w:cs="Arial"/>
          <w:sz w:val="22"/>
          <w:szCs w:val="22"/>
          <w:highlight w:val="none"/>
          <w:lang w:val="en-IE" w:bidi="en-IE"/>
        </w:rPr>
        <w:t xml:space="preserve">rather the most likely one, which can be seen by looking at the text of the agreement itself. This is caused by the agreements focus on institutional prevention of violence, rather that resolution of the actual conflict. Especially the reforms described in the se</w:t>
      </w:r>
      <w:r>
        <w:rPr>
          <w:rFonts w:ascii="Arial" w:hAnsi="Arial" w:eastAsia="Arial" w:cs="Arial"/>
          <w:sz w:val="22"/>
          <w:szCs w:val="22"/>
          <w:highlight w:val="none"/>
          <w:lang w:val="en-IE"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Arial" w:hAnsi="Arial" w:eastAsia="Arial" w:cs="Arial"/>
          <w:sz w:val="22"/>
          <w:szCs w:val="22"/>
          <w:highlight w:val="none"/>
          <w:lang w:val="en-IE" w:bidi="en-IE"/>
        </w:rPr>
        <w:t xml:space="preserve">Subject to the public consultation currently under way, the British </w:t>
      </w:r>
      <w:r>
        <w:rPr>
          <w:rFonts w:ascii="Arial" w:hAnsi="Arial" w:eastAsia="Arial" w:cs="Arial"/>
          <w:sz w:val="22"/>
          <w:szCs w:val="22"/>
          <w:highlight w:val="none"/>
          <w:lang w:val="en-IE" w:bidi="en-IE"/>
        </w:rPr>
        <w:t xml:space="preserve">Government will make rapid progress with [...] </w:t>
      </w:r>
      <w:r>
        <w:rPr>
          <w:rFonts w:ascii="Arial" w:hAnsi="Arial" w:eastAsia="Arial" w:cs="Arial"/>
          <w:sz w:val="22"/>
          <w:szCs w:val="22"/>
          <w:highlight w:val="none"/>
          <w:lang w:val="en-IE" w:bidi="en-IE"/>
        </w:rPr>
        <w:t xml:space="preserve">a new regional development strategy for Northern Ireland</w:t>
      </w:r>
      <w:r>
        <w:rPr>
          <w:rFonts w:ascii="Arial" w:hAnsi="Arial" w:eastAsia="Arial" w:cs="Arial"/>
          <w:sz w:val="22"/>
          <w:szCs w:val="22"/>
          <w:highlight w:val="none"/>
          <w:lang w:val="en-IE" w:bidi="en-IE"/>
        </w:rPr>
        <w:t xml:space="preserve">’ are designed to create agreeability in both unionists and nationalists by being just vague enough to sound promising, but just detailed enough not to sound too unreasonable or unprofessional. </w:t>
      </w:r>
      <w:r>
        <w:rPr>
          <w:rFonts w:ascii="Arial" w:hAnsi="Arial" w:cs="Arial"/>
        </w:rPr>
      </w:r>
      <w:r>
        <w:rPr>
          <w:rFonts w:ascii="Arial" w:hAnsi="Arial" w:eastAsia="Arial" w:cs="Arial"/>
          <w:sz w:val="22"/>
          <w:szCs w:val="22"/>
          <w:highlight w:val="none"/>
          <w:lang w:val="en-IE" w:bidi="en-IE"/>
        </w:rPr>
      </w:r>
    </w:p>
    <w:p w14:paraId="32A5FED3">
      <w:pPr>
        <w:pBdr/>
        <w:shd w:val="clear" w:color="ffffff" w:themeColor="background1" w:fill="ffffff" w:themeFill="background1"/>
        <w:tabs>
          <w:tab w:val="left" w:leader="none" w:pos="5830"/>
        </w:tabs>
        <w:spacing w:line="360" w:lineRule="auto"/>
        <w:ind/>
        <w:jc w:val="both"/>
        <w:rPr>
          <w:rFonts w:ascii="Arial" w:hAnsi="Arial" w:cs="Arial"/>
        </w:rPr>
      </w:pPr>
      <w:r>
        <w:rPr>
          <w:rFonts w:ascii="Arial" w:hAnsi="Arial" w:eastAsia="Arial" w:cs="Arial"/>
          <w:sz w:val="22"/>
          <w:szCs w:val="22"/>
          <w:highlight w:val="none"/>
          <w:lang w:val="en-IE" w:bidi="en-IE"/>
        </w:rPr>
        <w:t xml:space="preserve">Altough the  </w:t>
      </w:r>
      <w:r>
        <w:rPr>
          <w:rFonts w:ascii="Arial" w:hAnsi="Arial" w:eastAsia="Arial" w:cs="Arial"/>
        </w:rPr>
      </w:r>
      <w:r>
        <w:rPr>
          <w:rFonts w:ascii="Arial" w:hAnsi="Arial" w:cs="Arial"/>
        </w:rPr>
      </w:r>
    </w:p>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4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964"/>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964"/>
      <w:pBdr/>
      <w:spacing/>
      <w:ind/>
      <w:rPr/>
    </w:pPr>
    <w:r>
      <w:rPr>
        <w:highlight w:val="none"/>
        <w:lang w:val="en-IE" w:bidi="de-DE"/>
      </w:rPr>
      <w:t xml:space="preserve">Leander Kühnel</w:t>
      <w:tab/>
      <w:tab/>
    </w:r>
    <w:fldSimple w:instr="PAGE \* MERGEFORMAT">
      <w:r>
        <w:rPr>
          <w:highlight w:val="none"/>
          <w:lang w:val="en-IE" w:bidi="de-DE"/>
        </w:rPr>
        <w:t xml:space="preserve">1</w:t>
      </w:r>
    </w:fldSimple>
    <w:r>
      <w:rPr>
        <w:highlight w:val="none"/>
        <w:lang w:val="en-IE" w:bidi="de-DE"/>
      </w:rPr>
    </w:r>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964"/>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964"/>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0172DC96">
      <w:pPr>
        <w:pStyle w:val="967"/>
        <w:pBdr/>
        <w:spacing/>
        <w:ind/>
        <w:rPr/>
      </w:pPr>
      <w:r>
        <w:rPr>
          <w:rStyle w:val="969"/>
        </w:rPr>
        <w:footnoteRef/>
      </w:r>
      <w:r>
        <w:t xml:space="preserve"> </w:t>
      </w:r>
      <w:r>
        <w:rPr>
          <w:rFonts w:ascii="Calibri" w:hAnsi="Calibri" w:eastAsia="Calibri" w:cs="Calibri"/>
          <w:color w:val="000000"/>
          <w:sz w:val="22"/>
          <w:szCs w:val="22"/>
        </w:rPr>
        <w:t xml:space="preserve">Hall, A., (2018) “Incomplete Peace and Social Stagnation: Shortcomings of the Good Friday Agreement”, </w:t>
      </w:r>
      <w:r>
        <w:rPr>
          <w:rFonts w:ascii="Calibri" w:hAnsi="Calibri" w:eastAsia="Calibri" w:cs="Calibri"/>
          <w:i/>
          <w:color w:val="000000"/>
          <w:sz w:val="22"/>
          <w:szCs w:val="22"/>
        </w:rPr>
        <w:t xml:space="preserve">Open Library of Humanities</w:t>
      </w:r>
      <w:r>
        <w:rPr>
          <w:rFonts w:ascii="Calibri" w:hAnsi="Calibri" w:eastAsia="Calibri" w:cs="Calibri"/>
          <w:color w:val="000000"/>
          <w:sz w:val="22"/>
          <w:szCs w:val="22"/>
        </w:rPr>
        <w:t xml:space="preserve"> 4(2), 7. doi: </w:t>
      </w:r>
      <w:hyperlink r:id="rId1" w:tooltip="https://doi.org/10.16995/olh.251" w:history="1">
        <w:r>
          <w:rPr>
            <w:rStyle w:val="973"/>
            <w:rFonts w:ascii="Calibri" w:hAnsi="Calibri" w:eastAsia="Calibri" w:cs="Calibri"/>
            <w:color w:val="0000ee"/>
            <w:sz w:val="22"/>
            <w:szCs w:val="22"/>
            <w:u w:val="single"/>
          </w:rPr>
          <w:t xml:space="preserve">https://doi.org/10.16995/olh.251</w:t>
        </w:r>
      </w:hyperlink>
      <w:r>
        <w:rPr>
          <w:rFonts w:ascii="Calibri" w:hAnsi="Calibri" w:eastAsia="Calibri" w:cs="Calibri"/>
          <w:sz w:val="22"/>
          <w:szCs w:val="22"/>
        </w:r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962"/>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962"/>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962"/>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962"/>
      <w:pBdr/>
      <w:spacing/>
      <w:ind/>
      <w:rPr/>
    </w:pPr>
    <w:r>
      <w:rPr>
        <w:highlight w:val="none"/>
        <w:lang w:val="de-DE"/>
      </w:rPr>
      <w:t xml:space="preserve">Berlin</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I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02">
    <w:name w:val="Table Grid"/>
    <w:basedOn w:val="98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Table Grid Light"/>
    <w:basedOn w:val="9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Plain Table 1"/>
    <w:basedOn w:val="98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Plain Table 2"/>
    <w:basedOn w:val="98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Plain Table 3"/>
    <w:basedOn w:val="9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Plain Table 4"/>
    <w:basedOn w:val="9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Plain Table 5"/>
    <w:basedOn w:val="98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w:basedOn w:val="98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 Accent 1"/>
    <w:basedOn w:val="9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 Accent 2"/>
    <w:basedOn w:val="9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 Accent 3"/>
    <w:basedOn w:val="9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 Accent 4"/>
    <w:basedOn w:val="9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1 Light - Accent 5"/>
    <w:basedOn w:val="9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1 Light - Accent 6"/>
    <w:basedOn w:val="9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w:basedOn w:val="9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 Accent 1"/>
    <w:basedOn w:val="9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 Accent 2"/>
    <w:basedOn w:val="9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 Accent 3"/>
    <w:basedOn w:val="9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2 - Accent 4"/>
    <w:basedOn w:val="9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2 - Accent 5"/>
    <w:basedOn w:val="9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2 - Accent 6"/>
    <w:basedOn w:val="9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w:basedOn w:val="98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 Accent 1"/>
    <w:basedOn w:val="98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 Accent 2"/>
    <w:basedOn w:val="98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3 - Accent 3"/>
    <w:basedOn w:val="98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3 - Accent 4"/>
    <w:basedOn w:val="98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3 - Accent 5"/>
    <w:basedOn w:val="98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3 - Accent 6"/>
    <w:basedOn w:val="98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w:basedOn w:val="98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 Accent 1"/>
    <w:basedOn w:val="98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4 - Accent 2"/>
    <w:basedOn w:val="98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4 - Accent 3"/>
    <w:basedOn w:val="98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4 - Accent 4"/>
    <w:basedOn w:val="98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4 - Accent 5"/>
    <w:basedOn w:val="98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4 - Accent 6"/>
    <w:basedOn w:val="98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5 Dark- Accent 1"/>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5 Dark - Accent 2"/>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5 Dark - Accent 3"/>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5 Dark- Accent 4"/>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5 Dark - Accent 5"/>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5 Dark - Accent 6"/>
    <w:basedOn w:val="98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6 Colorful"/>
    <w:basedOn w:val="98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45">
    <w:name w:val="Grid Table 6 Colorful - Accent 1"/>
    <w:basedOn w:val="98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6">
    <w:name w:val="Grid Table 6 Colorful - Accent 2"/>
    <w:basedOn w:val="9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7">
    <w:name w:val="Grid Table 6 Colorful - Accent 3"/>
    <w:basedOn w:val="98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8">
    <w:name w:val="Grid Table 6 Colorful - Accent 4"/>
    <w:basedOn w:val="9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9">
    <w:name w:val="Grid Table 6 Colorful - Accent 5"/>
    <w:basedOn w:val="98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0">
    <w:name w:val="Grid Table 6 Colorful - Accent 6"/>
    <w:basedOn w:val="98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51">
    <w:name w:val="Grid Table 7 Colorful"/>
    <w:basedOn w:val="98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7 Colorful - Accent 1"/>
    <w:basedOn w:val="98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7 Colorful - Accent 2"/>
    <w:basedOn w:val="98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7 Colorful - Accent 3"/>
    <w:basedOn w:val="98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7 Colorful - Accent 4"/>
    <w:basedOn w:val="98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7 Colorful - Accent 5"/>
    <w:basedOn w:val="98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7 Colorful - Accent 6"/>
    <w:basedOn w:val="98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1 Light - Accent 1"/>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1 Light - Accent 2"/>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1 Light - Accent 3"/>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1 Light - Accent 4"/>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1 Light - Accent 5"/>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1 Light - Accent 6"/>
    <w:basedOn w:val="98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w:basedOn w:val="98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2 - Accent 1"/>
    <w:basedOn w:val="98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2 - Accent 2"/>
    <w:basedOn w:val="98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2 - Accent 3"/>
    <w:basedOn w:val="98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2 - Accent 4"/>
    <w:basedOn w:val="98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2 - Accent 5"/>
    <w:basedOn w:val="98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2 - Accent 6"/>
    <w:basedOn w:val="98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w:basedOn w:val="9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3 - Accent 1"/>
    <w:basedOn w:val="98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3 - Accent 2"/>
    <w:basedOn w:val="98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3 - Accent 3"/>
    <w:basedOn w:val="98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3 - Accent 4"/>
    <w:basedOn w:val="98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3 - Accent 5"/>
    <w:basedOn w:val="98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3 - Accent 6"/>
    <w:basedOn w:val="98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w:basedOn w:val="98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4 - Accent 1"/>
    <w:basedOn w:val="98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4 - Accent 2"/>
    <w:basedOn w:val="98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4 - Accent 3"/>
    <w:basedOn w:val="98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4 - Accent 4"/>
    <w:basedOn w:val="98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4 - Accent 5"/>
    <w:basedOn w:val="98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4 - Accent 6"/>
    <w:basedOn w:val="98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5 Dark"/>
    <w:basedOn w:val="98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5 Dark - Accent 1"/>
    <w:basedOn w:val="98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8">
    <w:name w:val="List Table 5 Dark - Accent 2"/>
    <w:basedOn w:val="98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9">
    <w:name w:val="List Table 5 Dark - Accent 3"/>
    <w:basedOn w:val="98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0">
    <w:name w:val="List Table 5 Dark - Accent 4"/>
    <w:basedOn w:val="98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1">
    <w:name w:val="List Table 5 Dark - Accent 5"/>
    <w:basedOn w:val="98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2">
    <w:name w:val="List Table 5 Dark - Accent 6"/>
    <w:basedOn w:val="98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3">
    <w:name w:val="List Table 6 Colorful"/>
    <w:basedOn w:val="98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6 Colorful - Accent 1"/>
    <w:basedOn w:val="98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6 Colorful - Accent 2"/>
    <w:basedOn w:val="98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6 Colorful - Accent 3"/>
    <w:basedOn w:val="98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6 Colorful - Accent 4"/>
    <w:basedOn w:val="98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 Accent 5"/>
    <w:basedOn w:val="98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 Accent 6"/>
    <w:basedOn w:val="98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7 Colorful"/>
    <w:basedOn w:val="98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01">
    <w:name w:val="List Table 7 Colorful - Accent 1"/>
    <w:basedOn w:val="98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02">
    <w:name w:val="List Table 7 Colorful - Accent 2"/>
    <w:basedOn w:val="98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03">
    <w:name w:val="List Table 7 Colorful - Accent 3"/>
    <w:basedOn w:val="98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04">
    <w:name w:val="List Table 7 Colorful - Accent 4"/>
    <w:basedOn w:val="98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05">
    <w:name w:val="List Table 7 Colorful - Accent 5"/>
    <w:basedOn w:val="98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06">
    <w:name w:val="List Table 7 Colorful - Accent 6"/>
    <w:basedOn w:val="98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7">
    <w:name w:val="Lined - Accent"/>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ned - Accent 1"/>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ned - Accent 2"/>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ned - Accent 3"/>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ned - Accent 4"/>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ned - Accent 5"/>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ned - Accent 6"/>
    <w:basedOn w:val="98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w:basedOn w:val="98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amp; Lined - Accent 1"/>
    <w:basedOn w:val="98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amp; Lined - Accent 2"/>
    <w:basedOn w:val="98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amp; Lined - Accent 3"/>
    <w:basedOn w:val="98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amp; Lined - Accent 4"/>
    <w:basedOn w:val="98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amp; Lined - Accent 5"/>
    <w:basedOn w:val="98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amp; Lined - Accent 6"/>
    <w:basedOn w:val="98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w:basedOn w:val="98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Bordered - Accent 1"/>
    <w:basedOn w:val="98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 Accent 2"/>
    <w:basedOn w:val="98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 Accent 3"/>
    <w:basedOn w:val="98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 Accent 4"/>
    <w:basedOn w:val="98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 Accent 5"/>
    <w:basedOn w:val="98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 Accent 6"/>
    <w:basedOn w:val="98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8">
    <w:name w:val="Heading 1"/>
    <w:basedOn w:val="987"/>
    <w:next w:val="987"/>
    <w:link w:val="93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9">
    <w:name w:val="Heading 2"/>
    <w:basedOn w:val="987"/>
    <w:next w:val="987"/>
    <w:link w:val="93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30">
    <w:name w:val="Heading 3"/>
    <w:basedOn w:val="987"/>
    <w:next w:val="987"/>
    <w:link w:val="94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31">
    <w:name w:val="Heading 4"/>
    <w:basedOn w:val="987"/>
    <w:next w:val="987"/>
    <w:link w:val="94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32">
    <w:name w:val="Heading 5"/>
    <w:basedOn w:val="987"/>
    <w:next w:val="987"/>
    <w:link w:val="94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33">
    <w:name w:val="Heading 6"/>
    <w:basedOn w:val="987"/>
    <w:next w:val="987"/>
    <w:link w:val="94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34">
    <w:name w:val="Heading 7"/>
    <w:basedOn w:val="987"/>
    <w:next w:val="987"/>
    <w:link w:val="9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35">
    <w:name w:val="Heading 8"/>
    <w:basedOn w:val="987"/>
    <w:next w:val="987"/>
    <w:link w:val="9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6">
    <w:name w:val="Heading 9"/>
    <w:basedOn w:val="987"/>
    <w:next w:val="987"/>
    <w:link w:val="9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7" w:default="1">
    <w:name w:val="Default Paragraph Font"/>
    <w:uiPriority w:val="1"/>
    <w:semiHidden/>
    <w:unhideWhenUsed/>
    <w:pPr>
      <w:pBdr/>
      <w:spacing/>
      <w:ind/>
    </w:pPr>
  </w:style>
  <w:style w:type="character" w:styleId="938">
    <w:name w:val="Heading 1 Char"/>
    <w:basedOn w:val="937"/>
    <w:link w:val="928"/>
    <w:uiPriority w:val="9"/>
    <w:pPr>
      <w:pBdr/>
      <w:spacing/>
      <w:ind/>
    </w:pPr>
    <w:rPr>
      <w:rFonts w:ascii="Arial" w:hAnsi="Arial" w:eastAsia="Arial" w:cs="Arial"/>
      <w:color w:val="0f4761" w:themeColor="accent1" w:themeShade="BF"/>
      <w:sz w:val="40"/>
      <w:szCs w:val="40"/>
    </w:rPr>
  </w:style>
  <w:style w:type="character" w:styleId="939">
    <w:name w:val="Heading 2 Char"/>
    <w:basedOn w:val="937"/>
    <w:link w:val="929"/>
    <w:uiPriority w:val="9"/>
    <w:pPr>
      <w:pBdr/>
      <w:spacing/>
      <w:ind/>
    </w:pPr>
    <w:rPr>
      <w:rFonts w:ascii="Arial" w:hAnsi="Arial" w:eastAsia="Arial" w:cs="Arial"/>
      <w:color w:val="0f4761" w:themeColor="accent1" w:themeShade="BF"/>
      <w:sz w:val="32"/>
      <w:szCs w:val="32"/>
    </w:rPr>
  </w:style>
  <w:style w:type="character" w:styleId="940">
    <w:name w:val="Heading 3 Char"/>
    <w:basedOn w:val="937"/>
    <w:link w:val="930"/>
    <w:uiPriority w:val="9"/>
    <w:pPr>
      <w:pBdr/>
      <w:spacing/>
      <w:ind/>
    </w:pPr>
    <w:rPr>
      <w:rFonts w:ascii="Arial" w:hAnsi="Arial" w:eastAsia="Arial" w:cs="Arial"/>
      <w:color w:val="0f4761" w:themeColor="accent1" w:themeShade="BF"/>
      <w:sz w:val="28"/>
      <w:szCs w:val="28"/>
    </w:rPr>
  </w:style>
  <w:style w:type="character" w:styleId="941">
    <w:name w:val="Heading 4 Char"/>
    <w:basedOn w:val="937"/>
    <w:link w:val="931"/>
    <w:uiPriority w:val="9"/>
    <w:pPr>
      <w:pBdr/>
      <w:spacing/>
      <w:ind/>
    </w:pPr>
    <w:rPr>
      <w:rFonts w:ascii="Arial" w:hAnsi="Arial" w:eastAsia="Arial" w:cs="Arial"/>
      <w:i/>
      <w:iCs/>
      <w:color w:val="0f4761" w:themeColor="accent1" w:themeShade="BF"/>
    </w:rPr>
  </w:style>
  <w:style w:type="character" w:styleId="942">
    <w:name w:val="Heading 5 Char"/>
    <w:basedOn w:val="937"/>
    <w:link w:val="932"/>
    <w:uiPriority w:val="9"/>
    <w:pPr>
      <w:pBdr/>
      <w:spacing/>
      <w:ind/>
    </w:pPr>
    <w:rPr>
      <w:rFonts w:ascii="Arial" w:hAnsi="Arial" w:eastAsia="Arial" w:cs="Arial"/>
      <w:color w:val="0f4761" w:themeColor="accent1" w:themeShade="BF"/>
    </w:rPr>
  </w:style>
  <w:style w:type="character" w:styleId="943">
    <w:name w:val="Heading 6 Char"/>
    <w:basedOn w:val="937"/>
    <w:link w:val="933"/>
    <w:uiPriority w:val="9"/>
    <w:pPr>
      <w:pBdr/>
      <w:spacing/>
      <w:ind/>
    </w:pPr>
    <w:rPr>
      <w:rFonts w:ascii="Arial" w:hAnsi="Arial" w:eastAsia="Arial" w:cs="Arial"/>
      <w:i/>
      <w:iCs/>
      <w:color w:val="595959" w:themeColor="text1" w:themeTint="A6"/>
    </w:rPr>
  </w:style>
  <w:style w:type="character" w:styleId="944">
    <w:name w:val="Heading 7 Char"/>
    <w:basedOn w:val="937"/>
    <w:link w:val="934"/>
    <w:uiPriority w:val="9"/>
    <w:pPr>
      <w:pBdr/>
      <w:spacing/>
      <w:ind/>
    </w:pPr>
    <w:rPr>
      <w:rFonts w:ascii="Arial" w:hAnsi="Arial" w:eastAsia="Arial" w:cs="Arial"/>
      <w:color w:val="595959" w:themeColor="text1" w:themeTint="A6"/>
    </w:rPr>
  </w:style>
  <w:style w:type="character" w:styleId="945">
    <w:name w:val="Heading 8 Char"/>
    <w:basedOn w:val="937"/>
    <w:link w:val="935"/>
    <w:uiPriority w:val="9"/>
    <w:pPr>
      <w:pBdr/>
      <w:spacing/>
      <w:ind/>
    </w:pPr>
    <w:rPr>
      <w:rFonts w:ascii="Arial" w:hAnsi="Arial" w:eastAsia="Arial" w:cs="Arial"/>
      <w:i/>
      <w:iCs/>
      <w:color w:val="272727" w:themeColor="text1" w:themeTint="D8"/>
    </w:rPr>
  </w:style>
  <w:style w:type="character" w:styleId="946">
    <w:name w:val="Heading 9 Char"/>
    <w:basedOn w:val="937"/>
    <w:link w:val="936"/>
    <w:uiPriority w:val="9"/>
    <w:pPr>
      <w:pBdr/>
      <w:spacing/>
      <w:ind/>
    </w:pPr>
    <w:rPr>
      <w:rFonts w:ascii="Arial" w:hAnsi="Arial" w:eastAsia="Arial" w:cs="Arial"/>
      <w:i/>
      <w:iCs/>
      <w:color w:val="272727" w:themeColor="text1" w:themeTint="D8"/>
    </w:rPr>
  </w:style>
  <w:style w:type="paragraph" w:styleId="947">
    <w:name w:val="Title"/>
    <w:basedOn w:val="987"/>
    <w:next w:val="987"/>
    <w:link w:val="948"/>
    <w:uiPriority w:val="10"/>
    <w:qFormat/>
    <w:pPr>
      <w:pBdr/>
      <w:spacing w:after="80" w:line="240" w:lineRule="auto"/>
      <w:ind/>
      <w:contextualSpacing w:val="true"/>
    </w:pPr>
    <w:rPr>
      <w:rFonts w:ascii="Arial" w:hAnsi="Arial" w:eastAsia="Arial" w:cs="Arial"/>
      <w:spacing w:val="-10"/>
      <w:sz w:val="56"/>
      <w:szCs w:val="56"/>
    </w:rPr>
  </w:style>
  <w:style w:type="character" w:styleId="948">
    <w:name w:val="Title Char"/>
    <w:basedOn w:val="937"/>
    <w:link w:val="947"/>
    <w:uiPriority w:val="10"/>
    <w:pPr>
      <w:pBdr/>
      <w:spacing/>
      <w:ind/>
    </w:pPr>
    <w:rPr>
      <w:rFonts w:ascii="Arial" w:hAnsi="Arial" w:eastAsia="Arial" w:cs="Arial"/>
      <w:spacing w:val="-10"/>
      <w:sz w:val="56"/>
      <w:szCs w:val="56"/>
    </w:rPr>
  </w:style>
  <w:style w:type="paragraph" w:styleId="949">
    <w:name w:val="Subtitle"/>
    <w:basedOn w:val="987"/>
    <w:next w:val="987"/>
    <w:link w:val="950"/>
    <w:uiPriority w:val="11"/>
    <w:qFormat/>
    <w:pPr>
      <w:numPr>
        <w:ilvl w:val="1"/>
      </w:numPr>
      <w:pBdr/>
      <w:spacing/>
      <w:ind/>
    </w:pPr>
    <w:rPr>
      <w:color w:val="595959" w:themeColor="text1" w:themeTint="A6"/>
      <w:spacing w:val="15"/>
      <w:sz w:val="28"/>
      <w:szCs w:val="28"/>
    </w:rPr>
  </w:style>
  <w:style w:type="character" w:styleId="950">
    <w:name w:val="Subtitle Char"/>
    <w:basedOn w:val="937"/>
    <w:link w:val="949"/>
    <w:uiPriority w:val="11"/>
    <w:pPr>
      <w:pBdr/>
      <w:spacing/>
      <w:ind/>
    </w:pPr>
    <w:rPr>
      <w:color w:val="595959" w:themeColor="text1" w:themeTint="A6"/>
      <w:spacing w:val="15"/>
      <w:sz w:val="28"/>
      <w:szCs w:val="28"/>
    </w:rPr>
  </w:style>
  <w:style w:type="paragraph" w:styleId="951">
    <w:name w:val="Quote"/>
    <w:basedOn w:val="987"/>
    <w:next w:val="987"/>
    <w:link w:val="952"/>
    <w:uiPriority w:val="29"/>
    <w:qFormat/>
    <w:pPr>
      <w:pBdr/>
      <w:spacing w:before="160"/>
      <w:ind/>
      <w:jc w:val="center"/>
    </w:pPr>
    <w:rPr>
      <w:i/>
      <w:iCs/>
      <w:color w:val="404040" w:themeColor="text1" w:themeTint="BF"/>
    </w:rPr>
  </w:style>
  <w:style w:type="character" w:styleId="952">
    <w:name w:val="Quote Char"/>
    <w:basedOn w:val="937"/>
    <w:link w:val="951"/>
    <w:uiPriority w:val="29"/>
    <w:pPr>
      <w:pBdr/>
      <w:spacing/>
      <w:ind/>
    </w:pPr>
    <w:rPr>
      <w:i/>
      <w:iCs/>
      <w:color w:val="404040" w:themeColor="text1" w:themeTint="BF"/>
    </w:rPr>
  </w:style>
  <w:style w:type="character" w:styleId="953">
    <w:name w:val="Intense Emphasis"/>
    <w:basedOn w:val="937"/>
    <w:uiPriority w:val="21"/>
    <w:qFormat/>
    <w:pPr>
      <w:pBdr/>
      <w:spacing/>
      <w:ind/>
    </w:pPr>
    <w:rPr>
      <w:i/>
      <w:iCs/>
      <w:color w:val="0f4761" w:themeColor="accent1" w:themeShade="BF"/>
    </w:rPr>
  </w:style>
  <w:style w:type="paragraph" w:styleId="954">
    <w:name w:val="Intense Quote"/>
    <w:basedOn w:val="987"/>
    <w:next w:val="987"/>
    <w:link w:val="9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5">
    <w:name w:val="Intense Quote Char"/>
    <w:basedOn w:val="937"/>
    <w:link w:val="954"/>
    <w:uiPriority w:val="30"/>
    <w:pPr>
      <w:pBdr/>
      <w:spacing/>
      <w:ind/>
    </w:pPr>
    <w:rPr>
      <w:i/>
      <w:iCs/>
      <w:color w:val="0f4761" w:themeColor="accent1" w:themeShade="BF"/>
    </w:rPr>
  </w:style>
  <w:style w:type="character" w:styleId="956">
    <w:name w:val="Intense Reference"/>
    <w:basedOn w:val="937"/>
    <w:uiPriority w:val="32"/>
    <w:qFormat/>
    <w:pPr>
      <w:pBdr/>
      <w:spacing/>
      <w:ind/>
    </w:pPr>
    <w:rPr>
      <w:b/>
      <w:bCs/>
      <w:smallCaps/>
      <w:color w:val="0f4761" w:themeColor="accent1" w:themeShade="BF"/>
      <w:spacing w:val="5"/>
    </w:rPr>
  </w:style>
  <w:style w:type="character" w:styleId="957">
    <w:name w:val="Subtle Emphasis"/>
    <w:basedOn w:val="937"/>
    <w:uiPriority w:val="19"/>
    <w:qFormat/>
    <w:pPr>
      <w:pBdr/>
      <w:spacing/>
      <w:ind/>
    </w:pPr>
    <w:rPr>
      <w:i/>
      <w:iCs/>
      <w:color w:val="404040" w:themeColor="text1" w:themeTint="BF"/>
    </w:rPr>
  </w:style>
  <w:style w:type="character" w:styleId="958">
    <w:name w:val="Emphasis"/>
    <w:basedOn w:val="937"/>
    <w:uiPriority w:val="20"/>
    <w:qFormat/>
    <w:pPr>
      <w:pBdr/>
      <w:spacing/>
      <w:ind/>
    </w:pPr>
    <w:rPr>
      <w:i/>
      <w:iCs/>
    </w:rPr>
  </w:style>
  <w:style w:type="character" w:styleId="959">
    <w:name w:val="Strong"/>
    <w:basedOn w:val="937"/>
    <w:uiPriority w:val="22"/>
    <w:qFormat/>
    <w:pPr>
      <w:pBdr/>
      <w:spacing/>
      <w:ind/>
    </w:pPr>
    <w:rPr>
      <w:b/>
      <w:bCs/>
    </w:rPr>
  </w:style>
  <w:style w:type="character" w:styleId="960">
    <w:name w:val="Subtle Reference"/>
    <w:basedOn w:val="937"/>
    <w:uiPriority w:val="31"/>
    <w:qFormat/>
    <w:pPr>
      <w:pBdr/>
      <w:spacing/>
      <w:ind/>
    </w:pPr>
    <w:rPr>
      <w:smallCaps/>
      <w:color w:val="5a5a5a" w:themeColor="text1" w:themeTint="A5"/>
    </w:rPr>
  </w:style>
  <w:style w:type="character" w:styleId="961">
    <w:name w:val="Book Title"/>
    <w:basedOn w:val="937"/>
    <w:uiPriority w:val="33"/>
    <w:qFormat/>
    <w:pPr>
      <w:pBdr/>
      <w:spacing/>
      <w:ind/>
    </w:pPr>
    <w:rPr>
      <w:b/>
      <w:bCs/>
      <w:i/>
      <w:iCs/>
      <w:spacing w:val="5"/>
    </w:rPr>
  </w:style>
  <w:style w:type="paragraph" w:styleId="962">
    <w:name w:val="Header"/>
    <w:basedOn w:val="987"/>
    <w:link w:val="963"/>
    <w:uiPriority w:val="99"/>
    <w:unhideWhenUsed/>
    <w:pPr>
      <w:pBdr/>
      <w:tabs>
        <w:tab w:val="center" w:leader="none" w:pos="4844"/>
        <w:tab w:val="right" w:leader="none" w:pos="9689"/>
      </w:tabs>
      <w:spacing w:after="0" w:line="240" w:lineRule="auto"/>
      <w:ind/>
    </w:pPr>
  </w:style>
  <w:style w:type="character" w:styleId="963">
    <w:name w:val="Header Char"/>
    <w:basedOn w:val="937"/>
    <w:link w:val="962"/>
    <w:uiPriority w:val="99"/>
    <w:pPr>
      <w:pBdr/>
      <w:spacing/>
      <w:ind/>
    </w:pPr>
  </w:style>
  <w:style w:type="paragraph" w:styleId="964">
    <w:name w:val="Footer"/>
    <w:basedOn w:val="987"/>
    <w:link w:val="965"/>
    <w:uiPriority w:val="99"/>
    <w:unhideWhenUsed/>
    <w:pPr>
      <w:pBdr/>
      <w:tabs>
        <w:tab w:val="center" w:leader="none" w:pos="4844"/>
        <w:tab w:val="right" w:leader="none" w:pos="9689"/>
      </w:tabs>
      <w:spacing w:after="0" w:line="240" w:lineRule="auto"/>
      <w:ind/>
    </w:pPr>
  </w:style>
  <w:style w:type="character" w:styleId="965">
    <w:name w:val="Footer Char"/>
    <w:basedOn w:val="937"/>
    <w:link w:val="964"/>
    <w:uiPriority w:val="99"/>
    <w:pPr>
      <w:pBdr/>
      <w:spacing/>
      <w:ind/>
    </w:pPr>
  </w:style>
  <w:style w:type="paragraph" w:styleId="966">
    <w:name w:val="Caption"/>
    <w:basedOn w:val="987"/>
    <w:next w:val="987"/>
    <w:uiPriority w:val="35"/>
    <w:unhideWhenUsed/>
    <w:qFormat/>
    <w:pPr>
      <w:pBdr/>
      <w:spacing w:after="200" w:line="240" w:lineRule="auto"/>
      <w:ind/>
    </w:pPr>
    <w:rPr>
      <w:i/>
      <w:iCs/>
      <w:color w:val="0e2841" w:themeColor="text2"/>
      <w:sz w:val="18"/>
      <w:szCs w:val="18"/>
    </w:rPr>
  </w:style>
  <w:style w:type="paragraph" w:styleId="967">
    <w:name w:val="footnote text"/>
    <w:basedOn w:val="987"/>
    <w:link w:val="968"/>
    <w:uiPriority w:val="99"/>
    <w:semiHidden/>
    <w:unhideWhenUsed/>
    <w:pPr>
      <w:pBdr/>
      <w:spacing w:after="0" w:line="240" w:lineRule="auto"/>
      <w:ind/>
    </w:pPr>
    <w:rPr>
      <w:sz w:val="20"/>
      <w:szCs w:val="20"/>
    </w:rPr>
  </w:style>
  <w:style w:type="character" w:styleId="968">
    <w:name w:val="Footnote Text Char"/>
    <w:basedOn w:val="937"/>
    <w:link w:val="967"/>
    <w:uiPriority w:val="99"/>
    <w:semiHidden/>
    <w:pPr>
      <w:pBdr/>
      <w:spacing/>
      <w:ind/>
    </w:pPr>
    <w:rPr>
      <w:sz w:val="20"/>
      <w:szCs w:val="20"/>
    </w:rPr>
  </w:style>
  <w:style w:type="character" w:styleId="969">
    <w:name w:val="footnote reference"/>
    <w:basedOn w:val="937"/>
    <w:uiPriority w:val="99"/>
    <w:semiHidden/>
    <w:unhideWhenUsed/>
    <w:pPr>
      <w:pBdr/>
      <w:spacing/>
      <w:ind/>
    </w:pPr>
    <w:rPr>
      <w:vertAlign w:val="superscript"/>
    </w:rPr>
  </w:style>
  <w:style w:type="paragraph" w:styleId="970">
    <w:name w:val="endnote text"/>
    <w:basedOn w:val="987"/>
    <w:link w:val="971"/>
    <w:uiPriority w:val="99"/>
    <w:semiHidden/>
    <w:unhideWhenUsed/>
    <w:pPr>
      <w:pBdr/>
      <w:spacing w:after="0" w:line="240" w:lineRule="auto"/>
      <w:ind/>
    </w:pPr>
    <w:rPr>
      <w:sz w:val="20"/>
      <w:szCs w:val="20"/>
    </w:rPr>
  </w:style>
  <w:style w:type="character" w:styleId="971">
    <w:name w:val="Endnote Text Char"/>
    <w:basedOn w:val="937"/>
    <w:link w:val="970"/>
    <w:uiPriority w:val="99"/>
    <w:semiHidden/>
    <w:pPr>
      <w:pBdr/>
      <w:spacing/>
      <w:ind/>
    </w:pPr>
    <w:rPr>
      <w:sz w:val="20"/>
      <w:szCs w:val="20"/>
    </w:rPr>
  </w:style>
  <w:style w:type="character" w:styleId="972">
    <w:name w:val="endnote reference"/>
    <w:basedOn w:val="937"/>
    <w:uiPriority w:val="99"/>
    <w:semiHidden/>
    <w:unhideWhenUsed/>
    <w:pPr>
      <w:pBdr/>
      <w:spacing/>
      <w:ind/>
    </w:pPr>
    <w:rPr>
      <w:vertAlign w:val="superscript"/>
    </w:rPr>
  </w:style>
  <w:style w:type="character" w:styleId="973">
    <w:name w:val="Hyperlink"/>
    <w:basedOn w:val="937"/>
    <w:uiPriority w:val="99"/>
    <w:unhideWhenUsed/>
    <w:pPr>
      <w:pBdr/>
      <w:spacing/>
      <w:ind/>
    </w:pPr>
    <w:rPr>
      <w:color w:val="0563c1" w:themeColor="hyperlink"/>
      <w:u w:val="single"/>
    </w:rPr>
  </w:style>
  <w:style w:type="character" w:styleId="974">
    <w:name w:val="FollowedHyperlink"/>
    <w:basedOn w:val="937"/>
    <w:uiPriority w:val="99"/>
    <w:semiHidden/>
    <w:unhideWhenUsed/>
    <w:pPr>
      <w:pBdr/>
      <w:spacing/>
      <w:ind/>
    </w:pPr>
    <w:rPr>
      <w:color w:val="954f72" w:themeColor="followedHyperlink"/>
      <w:u w:val="single"/>
    </w:rPr>
  </w:style>
  <w:style w:type="paragraph" w:styleId="975">
    <w:name w:val="toc 1"/>
    <w:basedOn w:val="987"/>
    <w:next w:val="987"/>
    <w:uiPriority w:val="39"/>
    <w:unhideWhenUsed/>
    <w:pPr>
      <w:pBdr/>
      <w:spacing w:after="100"/>
      <w:ind/>
    </w:pPr>
  </w:style>
  <w:style w:type="paragraph" w:styleId="976">
    <w:name w:val="toc 2"/>
    <w:basedOn w:val="987"/>
    <w:next w:val="987"/>
    <w:uiPriority w:val="39"/>
    <w:unhideWhenUsed/>
    <w:pPr>
      <w:pBdr/>
      <w:spacing w:after="100"/>
      <w:ind w:left="220"/>
    </w:pPr>
  </w:style>
  <w:style w:type="paragraph" w:styleId="977">
    <w:name w:val="toc 3"/>
    <w:basedOn w:val="987"/>
    <w:next w:val="987"/>
    <w:uiPriority w:val="39"/>
    <w:unhideWhenUsed/>
    <w:pPr>
      <w:pBdr/>
      <w:spacing w:after="100"/>
      <w:ind w:left="440"/>
    </w:pPr>
  </w:style>
  <w:style w:type="paragraph" w:styleId="978">
    <w:name w:val="toc 4"/>
    <w:basedOn w:val="987"/>
    <w:next w:val="987"/>
    <w:uiPriority w:val="39"/>
    <w:unhideWhenUsed/>
    <w:pPr>
      <w:pBdr/>
      <w:spacing w:after="100"/>
      <w:ind w:left="660"/>
    </w:pPr>
  </w:style>
  <w:style w:type="paragraph" w:styleId="979">
    <w:name w:val="toc 5"/>
    <w:basedOn w:val="987"/>
    <w:next w:val="987"/>
    <w:uiPriority w:val="39"/>
    <w:unhideWhenUsed/>
    <w:pPr>
      <w:pBdr/>
      <w:spacing w:after="100"/>
      <w:ind w:left="880"/>
    </w:pPr>
  </w:style>
  <w:style w:type="paragraph" w:styleId="980">
    <w:name w:val="toc 6"/>
    <w:basedOn w:val="987"/>
    <w:next w:val="987"/>
    <w:uiPriority w:val="39"/>
    <w:unhideWhenUsed/>
    <w:pPr>
      <w:pBdr/>
      <w:spacing w:after="100"/>
      <w:ind w:left="1100"/>
    </w:pPr>
  </w:style>
  <w:style w:type="paragraph" w:styleId="981">
    <w:name w:val="toc 7"/>
    <w:basedOn w:val="987"/>
    <w:next w:val="987"/>
    <w:uiPriority w:val="39"/>
    <w:unhideWhenUsed/>
    <w:pPr>
      <w:pBdr/>
      <w:spacing w:after="100"/>
      <w:ind w:left="1320"/>
    </w:pPr>
  </w:style>
  <w:style w:type="paragraph" w:styleId="982">
    <w:name w:val="toc 8"/>
    <w:basedOn w:val="987"/>
    <w:next w:val="987"/>
    <w:uiPriority w:val="39"/>
    <w:unhideWhenUsed/>
    <w:pPr>
      <w:pBdr/>
      <w:spacing w:after="100"/>
      <w:ind w:left="1540"/>
    </w:pPr>
  </w:style>
  <w:style w:type="paragraph" w:styleId="983">
    <w:name w:val="toc 9"/>
    <w:basedOn w:val="987"/>
    <w:next w:val="987"/>
    <w:uiPriority w:val="39"/>
    <w:unhideWhenUsed/>
    <w:pPr>
      <w:pBdr/>
      <w:spacing w:after="100"/>
      <w:ind w:left="1760"/>
    </w:pPr>
  </w:style>
  <w:style w:type="character" w:styleId="984">
    <w:name w:val="Placeholder Text"/>
    <w:basedOn w:val="937"/>
    <w:uiPriority w:val="99"/>
    <w:semiHidden/>
    <w:pPr>
      <w:pBdr/>
      <w:spacing/>
      <w:ind/>
    </w:pPr>
    <w:rPr>
      <w:color w:val="666666"/>
    </w:rPr>
  </w:style>
  <w:style w:type="paragraph" w:styleId="985">
    <w:name w:val="TOC Heading"/>
    <w:uiPriority w:val="39"/>
    <w:unhideWhenUsed/>
    <w:pPr>
      <w:pBdr/>
      <w:spacing/>
      <w:ind/>
    </w:pPr>
  </w:style>
  <w:style w:type="paragraph" w:styleId="986">
    <w:name w:val="table of figures"/>
    <w:basedOn w:val="987"/>
    <w:next w:val="987"/>
    <w:uiPriority w:val="99"/>
    <w:unhideWhenUsed/>
    <w:pPr>
      <w:pBdr/>
      <w:spacing w:after="0" w:afterAutospacing="0"/>
      <w:ind/>
    </w:pPr>
  </w:style>
  <w:style w:type="paragraph" w:styleId="987" w:default="1">
    <w:name w:val="Normal"/>
    <w:qFormat/>
    <w:pPr>
      <w:pBdr/>
      <w:spacing/>
      <w:ind/>
    </w:pPr>
  </w:style>
  <w:style w:type="table" w:styleId="98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9" w:default="1">
    <w:name w:val="No List"/>
    <w:uiPriority w:val="99"/>
    <w:semiHidden/>
    <w:unhideWhenUsed/>
    <w:pPr>
      <w:pBdr/>
      <w:spacing/>
      <w:ind/>
    </w:pPr>
  </w:style>
  <w:style w:type="paragraph" w:styleId="990">
    <w:name w:val="No Spacing"/>
    <w:basedOn w:val="987"/>
    <w:uiPriority w:val="1"/>
    <w:qFormat/>
    <w:pPr>
      <w:pBdr/>
      <w:spacing w:after="0" w:line="240" w:lineRule="auto"/>
      <w:ind/>
    </w:pPr>
  </w:style>
  <w:style w:type="paragraph" w:styleId="991">
    <w:name w:val="List Paragraph"/>
    <w:basedOn w:val="98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doi.org/10.16995/olh.251" TargetMode="External"/></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2026-03-10T19:49:39Z</dcterms:modified>
</cp:coreProperties>
</file>