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2"/>
        <w:pBdr/>
        <w:spacing w:line="360" w:lineRule="auto"/>
        <w:ind/>
        <w:jc w:val="both"/>
        <w:rPr>
          <w:rFonts w:ascii="Calibri" w:hAnsi="Calibri" w:cs="Calibri"/>
          <w:sz w:val="22"/>
          <w:szCs w:val="22"/>
        </w:rPr>
      </w:pPr>
      <w:r>
        <w:rPr>
          <w:rFonts w:ascii="Calibri" w:hAnsi="Calibri" w:eastAsia="Calibri" w:cs="Calibri"/>
          <w:sz w:val="22"/>
          <w:szCs w:val="22"/>
          <w:lang w:val="en-US"/>
        </w:rPr>
        <w:t xml:space="preserve">The </w:t>
      </w:r>
      <w:r>
        <w:rPr>
          <w:rFonts w:ascii="Calibri" w:hAnsi="Calibri" w:eastAsia="Calibri" w:cs="Calibri"/>
          <w:sz w:val="22"/>
          <w:szCs w:val="22"/>
          <w:lang w:val="en-US"/>
        </w:rPr>
        <w:t xml:space="preserve">end</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of the Troubles in Northern Ireland </w:t>
      </w:r>
      <w:r>
        <w:rPr>
          <w:rFonts w:ascii="Calibri" w:hAnsi="Calibri" w:eastAsia="Calibri" w:cs="Calibri"/>
          <w:sz w:val="22"/>
          <w:szCs w:val="22"/>
          <w:lang w:val="en-US"/>
        </w:rPr>
      </w:r>
      <w:r>
        <w:rPr>
          <w:rFonts w:ascii="Calibri" w:hAnsi="Calibri" w:eastAsia="Calibri" w:cs="Calibri"/>
          <w:sz w:val="22"/>
          <w:szCs w:val="22"/>
        </w:rPr>
      </w:r>
    </w:p>
    <w:p w14:paraId="6CD14371">
      <w:pPr>
        <w:pStyle w:val="936"/>
        <w:pBdr/>
        <w:spacing w:line="360" w:lineRule="auto"/>
        <w:ind/>
        <w:jc w:val="both"/>
        <w:rPr>
          <w:rFonts w:ascii="Calibri" w:hAnsi="Calibri" w:cs="Calibri"/>
          <w:sz w:val="22"/>
          <w:szCs w:val="22"/>
        </w:rPr>
      </w:pPr>
      <w:r>
        <w:rPr>
          <w:rFonts w:ascii="Calibri" w:hAnsi="Calibri" w:eastAsia="Calibri" w:cs="Calibri"/>
          <w:sz w:val="22"/>
          <w:szCs w:val="22"/>
          <w:lang w:val="en-US"/>
        </w:rPr>
        <w:t xml:space="preserve">The Good </w:t>
      </w:r>
      <w:r>
        <w:rPr>
          <w:rFonts w:ascii="Calibri" w:hAnsi="Calibri" w:eastAsia="Calibri" w:cs="Calibri"/>
          <w:sz w:val="22"/>
          <w:szCs w:val="22"/>
          <w:lang w:val="en-US"/>
        </w:rPr>
        <w:t xml:space="preserve">Friday </w:t>
      </w:r>
      <w:r>
        <w:rPr>
          <w:rFonts w:ascii="Calibri" w:hAnsi="Calibri" w:eastAsia="Calibri" w:cs="Calibri"/>
          <w:sz w:val="22"/>
          <w:szCs w:val="22"/>
          <w:lang w:val="en-US"/>
        </w:rPr>
        <w:t xml:space="preserve">Agreement</w:t>
      </w:r>
      <w:r>
        <w:rPr>
          <w:rFonts w:ascii="Calibri" w:hAnsi="Calibri" w:eastAsia="Calibri" w:cs="Calibri"/>
          <w:sz w:val="22"/>
          <w:szCs w:val="22"/>
          <w:lang w:val="en-US"/>
        </w:rPr>
      </w:r>
      <w:r>
        <w:rPr>
          <w:rFonts w:ascii="Calibri" w:hAnsi="Calibri" w:eastAsia="Calibri" w:cs="Calibri"/>
          <w:sz w:val="22"/>
          <w:szCs w:val="22"/>
        </w:rPr>
      </w:r>
    </w:p>
    <w:p w14:paraId="32C5C728">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lang w:val="en-US"/>
        </w:rPr>
      </w:r>
      <w:r>
        <w:rPr>
          <w:rFonts w:ascii="Calibri" w:hAnsi="Calibri" w:eastAsia="Calibri" w:cs="Calibri"/>
          <w:sz w:val="22"/>
          <w:szCs w:val="22"/>
        </w:rPr>
      </w:r>
    </w:p>
    <w:p w14:paraId="16AA21E3">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1951DAFB">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41154E9D">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43C1CDE6">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14213B97">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32997070">
      <w:pPr>
        <w:pBdr/>
        <w:spacing w:line="360"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eastAsia="Calibri" w:cs="Calibri"/>
          <w:b w:val="0"/>
          <w:bCs w:val="0"/>
          <w:sz w:val="22"/>
          <w:szCs w:val="22"/>
          <w:highlight w:val="none"/>
          <w:lang w:val="en-US"/>
        </w:rPr>
      </w:r>
      <w:r>
        <w:rPr>
          <w:rFonts w:ascii="Calibri" w:hAnsi="Calibri" w:eastAsia="Calibri" w:cs="Calibri"/>
          <w:b w:val="0"/>
          <w:bCs w:val="0"/>
          <w:sz w:val="22"/>
          <w:szCs w:val="22"/>
          <w:highlight w:val="none"/>
        </w:rPr>
      </w:r>
    </w:p>
    <w:p w14:paraId="59208201">
      <w:pPr>
        <w:pBdr/>
        <w:spacing w:line="360"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eastAsia="Calibri" w:cs="Calibri"/>
          <w:sz w:val="22"/>
          <w:szCs w:val="22"/>
          <w:lang w:val="en-US"/>
        </w:rPr>
      </w:r>
      <w:r>
        <w:rPr>
          <w:rFonts w:ascii="Calibri" w:hAnsi="Calibri" w:eastAsia="Calibri" w:cs="Calibri"/>
          <w:sz w:val="22"/>
          <w:szCs w:val="22"/>
        </w:rPr>
      </w:r>
    </w:p>
    <w:p w14:paraId="42D38775">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4108889E">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1982C76">
      <w:pPr>
        <w:pBdr/>
        <w:spacing w:line="360"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265E3EC0">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FAF746A">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9313D27">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The Good Friday Agreement</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6FEC1C1">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Political Instability after 1998</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032C118E">
      <w:pPr>
        <w:pStyle w:val="994"/>
        <w:numPr>
          <w:ilvl w:val="0"/>
          <w:numId w:val="4"/>
        </w:num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6E177C0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6197F2F">
      <w:pPr>
        <w:pStyle w:val="952"/>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7CF9C36E">
      <w:pPr>
        <w:pBdr/>
        <w:tabs>
          <w:tab w:val="left" w:leader="none" w:pos="2642"/>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eastAsia="Calibri" w:cs="Calibri"/>
          <w:sz w:val="22"/>
          <w:szCs w:val="22"/>
          <w:lang w:val="en-US"/>
        </w:rPr>
      </w:r>
      <w:r>
        <w:rPr>
          <w:rFonts w:ascii="Calibri" w:hAnsi="Calibri" w:eastAsia="Calibri" w:cs="Calibri"/>
          <w:sz w:val="22"/>
          <w:szCs w:val="22"/>
        </w:rPr>
      </w:r>
    </w:p>
    <w:p w14:paraId="71FE6036">
      <w:pPr>
        <w:pStyle w:val="952"/>
        <w:pBdr/>
        <w:spacing w:line="360"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eastAsia="Calibri" w:cs="Calibri"/>
          <w:sz w:val="22"/>
          <w:szCs w:val="22"/>
          <w:lang w:val="en-US"/>
        </w:rPr>
      </w:r>
      <w:r>
        <w:rPr>
          <w:rFonts w:ascii="Calibri" w:hAnsi="Calibri" w:eastAsia="Calibri" w:cs="Calibri"/>
          <w:sz w:val="22"/>
          <w:szCs w:val="22"/>
        </w:rPr>
      </w:r>
    </w:p>
    <w:p w14:paraId="475EE8D5">
      <w:pPr>
        <w:pBdr/>
        <w:spacing w:line="360" w:lineRule="auto"/>
        <w:ind/>
        <w:jc w:val="both"/>
        <w:rPr>
          <w:rFonts w:ascii="Calibri" w:hAnsi="Calibri" w:eastAsia="Calibri" w:cs="Calibri"/>
          <w:sz w:val="22"/>
          <w:szCs w:val="22"/>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w:t>
      </w:r>
      <w:r>
        <w:rPr>
          <w:rStyle w:val="972"/>
          <w:rFonts w:ascii="Calibri" w:hAnsi="Calibri" w:eastAsia="Calibri" w:cs="Calibri"/>
          <w:sz w:val="22"/>
          <w:szCs w:val="22"/>
        </w:rPr>
        <w:footnoteReference w:id="2"/>
      </w:r>
      <w:r>
        <w:rPr>
          <w:rFonts w:ascii="Calibri" w:hAnsi="Calibri" w:eastAsia="Calibri" w:cs="Calibri"/>
          <w:sz w:val="22"/>
          <w:szCs w:val="22"/>
        </w:rPr>
        <w:t xml:space="preserve">.</w:t>
      </w:r>
      <w:r>
        <w:rPr>
          <w:rFonts w:ascii="Calibri" w:hAnsi="Calibri" w:eastAsia="Calibri" w:cs="Calibri"/>
          <w:sz w:val="22"/>
          <w:szCs w:val="22"/>
        </w:rPr>
      </w:r>
    </w:p>
    <w:p w14:paraId="2D3085D2">
      <w:pPr>
        <w:pBdr/>
        <w:spacing w:line="360"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systemic discrimination in multiple areas, mainly in voting, housing and jobs. Many employers openly refused to hire Catholics</w:t>
      </w:r>
      <w:r>
        <w:rPr>
          <w:rStyle w:val="972"/>
          <w:rFonts w:ascii="Calibri" w:hAnsi="Calibri" w:eastAsia="Calibri" w:cs="Calibri"/>
          <w:sz w:val="22"/>
          <w:szCs w:val="22"/>
        </w:rPr>
        <w:footnoteReference w:id="3"/>
      </w:r>
      <w:r>
        <w:rPr>
          <w:rFonts w:ascii="Calibri" w:hAnsi="Calibri" w:eastAsia="Calibri" w:cs="Calibri"/>
          <w:sz w:val="22"/>
          <w:szCs w:val="22"/>
        </w:rPr>
        <w:t xml:space="preserve">,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r/>
    </w:p>
    <w:p w14:paraId="6311297A">
      <w:pPr>
        <w:pBdr/>
        <w:spacing w:line="360" w:lineRule="auto"/>
        <w:ind/>
        <w:jc w:val="both"/>
        <w:rPr>
          <w:rFonts w:ascii="Calibri" w:hAnsi="Calibri" w:cs="Calibri"/>
          <w:sz w:val="22"/>
          <w:szCs w:val="22"/>
          <w:highlight w:val="none"/>
        </w:rPr>
      </w:pP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rPr>
      </w:r>
      <w:r>
        <w:rPr>
          <w:rFonts w:ascii="Calibri" w:hAnsi="Calibri" w:eastAsia="Calibri" w:cs="Calibri"/>
          <w:sz w:val="22"/>
          <w:szCs w:val="22"/>
          <w:highlight w:val="none"/>
        </w:rPr>
      </w:r>
    </w:p>
    <w:p w14:paraId="4BC4562C">
      <w:pPr>
        <w:pBdr/>
        <w:spacing w:line="360"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w:t>
      </w:r>
      <w:r>
        <w:rPr>
          <w:rFonts w:ascii="Calibri" w:hAnsi="Calibri" w:eastAsia="Calibri" w:cs="Calibri"/>
          <w:sz w:val="22"/>
          <w:szCs w:val="22"/>
        </w:rPr>
      </w:r>
      <w:r>
        <w:rPr>
          <w:rFonts w:ascii="Calibri" w:hAnsi="Calibri" w:eastAsia="Calibri" w:cs="Calibri"/>
          <w:sz w:val="22"/>
          <w:szCs w:val="22"/>
        </w:rPr>
      </w:r>
    </w:p>
    <w:p w14:paraId="29AAC010">
      <w:pPr>
        <w:pStyle w:val="952"/>
        <w:pBdr/>
        <w:spacing/>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eastAsia="Calibri" w:cs="Calibri"/>
          <w:sz w:val="22"/>
          <w:szCs w:val="22"/>
        </w:rPr>
      </w:r>
      <w:r>
        <w:rPr>
          <w:rFonts w:ascii="Calibri" w:hAnsi="Calibri" w:eastAsia="Calibri" w:cs="Calibri"/>
          <w:sz w:val="22"/>
          <w:szCs w:val="22"/>
        </w:rPr>
      </w:r>
    </w:p>
    <w:p w14:paraId="306C13FF">
      <w:pPr>
        <w:pBdr/>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eastAsia="Calibri" w:cs="Calibri"/>
          <w:sz w:val="22"/>
          <w:szCs w:val="22"/>
          <w:highlight w:val="none"/>
          <w:lang w:val="en-US"/>
        </w:rPr>
      </w:r>
      <w:r>
        <w:rPr>
          <w:rFonts w:ascii="Calibri" w:hAnsi="Calibri" w:eastAsia="Calibri" w:cs="Calibri"/>
          <w:sz w:val="22"/>
          <w:szCs w:val="22"/>
        </w:rPr>
      </w:r>
    </w:p>
    <w:p w14:paraId="7216BC98">
      <w:pPr>
        <w:pBdr/>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facilitation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eastAsia="Calibri" w:cs="Calibri"/>
          <w:sz w:val="22"/>
          <w:szCs w:val="22"/>
        </w:rPr>
      </w:r>
      <w:r>
        <w:rPr>
          <w:rFonts w:ascii="Calibri" w:hAnsi="Calibri" w:eastAsia="Calibri" w:cs="Calibri"/>
          <w:sz w:val="22"/>
          <w:szCs w:val="22"/>
          <w:highlight w:val="none"/>
        </w:rPr>
      </w:r>
    </w:p>
    <w:p w14:paraId="1786C9F9">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eastAsia="Calibri" w:cs="Calibri"/>
          <w:sz w:val="22"/>
          <w:szCs w:val="22"/>
          <w:highlight w:val="none"/>
        </w:rPr>
      </w:r>
    </w:p>
    <w:p w14:paraId="5F6CA52D">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eastAsia="Calibri" w:cs="Calibri"/>
          <w:sz w:val="22"/>
          <w:szCs w:val="22"/>
          <w:highlight w:val="none"/>
          <w:lang w:val="en-US"/>
        </w:rPr>
      </w:r>
      <w:r>
        <w:rPr>
          <w:rFonts w:ascii="Calibri" w:hAnsi="Calibri" w:cs="Calibri"/>
          <w:sz w:val="22"/>
          <w:szCs w:val="22"/>
          <w:highlight w:val="none"/>
        </w:rPr>
      </w:r>
    </w:p>
    <w:p w14:paraId="44F8E26C">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622842C6">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eastAsia="Calibri" w:cs="Calibri"/>
          <w:sz w:val="22"/>
          <w:szCs w:val="22"/>
          <w:highlight w:val="none"/>
          <w:lang w:val="en-US"/>
        </w:rPr>
      </w:r>
      <w:r>
        <w:rPr>
          <w:rFonts w:ascii="Calibri" w:hAnsi="Calibri" w:cs="Calibri"/>
          <w:sz w:val="22"/>
          <w:szCs w:val="22"/>
          <w:highlight w:val="none"/>
        </w:rPr>
      </w:r>
    </w:p>
    <w:p w14:paraId="2D832FF7">
      <w:pPr>
        <w:pStyle w:val="952"/>
        <w:pBdr/>
        <w:spacing/>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22EFEE19">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w:t>
      </w:r>
      <w:r>
        <w:rPr>
          <w:rFonts w:ascii="Calibri" w:hAnsi="Calibri" w:eastAsia="Calibri" w:cs="Calibri"/>
          <w:sz w:val="22"/>
          <w:szCs w:val="22"/>
          <w:highlight w:val="none"/>
          <w:lang w:val="en-US" w:bidi="en-IE"/>
        </w:rPr>
      </w:r>
    </w:p>
    <w:p w14:paraId="5827DCF1">
      <w:pPr>
        <w:pBdr/>
        <w:shd w:val="clear" w:color="ffffff" w:themeColor="background1" w:fill="ffffff" w:themeFill="background1"/>
        <w:tabs>
          <w:tab w:val="left" w:leader="none" w:pos="5830"/>
        </w:tabs>
        <w:spacing w:line="360"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972"/>
          <w:rFonts w:ascii="Calibri" w:hAnsi="Calibri" w:eastAsia="Calibri" w:cs="Calibri"/>
          <w:sz w:val="22"/>
          <w:szCs w:val="22"/>
          <w:highlight w:val="none"/>
          <w:lang w:val="en-US" w:bidi="en-IE"/>
        </w:rPr>
        <w:footnoteReference w:id="4"/>
      </w:r>
      <w:r>
        <w:rPr>
          <w:rStyle w:val="972"/>
          <w:rFonts w:ascii="Calibri" w:hAnsi="Calibri" w:eastAsia="Calibri" w:cs="Calibri"/>
          <w:sz w:val="22"/>
          <w:szCs w:val="22"/>
          <w:highlight w:val="none"/>
          <w:vertAlign w:val="baseline"/>
          <w:lang w:val="en-US" w:bidi="en-IE"/>
        </w:rPr>
        <w:t xml:space="preserve">.</w:t>
      </w:r>
      <w:r>
        <w:rPr>
          <w:rFonts w:ascii="Calibri" w:hAnsi="Calibri" w:cs="Calibri"/>
          <w:sz w:val="22"/>
          <w:szCs w:val="22"/>
          <w:highlight w:val="none"/>
        </w:rPr>
      </w:r>
      <w:r/>
    </w:p>
    <w:p w14:paraId="0AD4A879">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972"/>
          <w:rFonts w:ascii="Calibri" w:hAnsi="Calibri" w:eastAsia="Calibri" w:cs="Calibri"/>
          <w:sz w:val="22"/>
          <w:szCs w:val="22"/>
          <w:highlight w:val="none"/>
          <w:lang w:val="en-US" w:bidi="en-IE"/>
        </w:rPr>
        <w:footnoteReference w:id="5"/>
      </w:r>
      <w:r>
        <w:rPr>
          <w:rStyle w:val="972"/>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eastAsia="Calibri" w:cs="Calibri"/>
          <w:sz w:val="22"/>
          <w:szCs w:val="22"/>
          <w:highlight w:val="none"/>
          <w:lang w:val="en-US"/>
        </w:rPr>
      </w:r>
      <w:r>
        <w:rPr>
          <w:rFonts w:ascii="Calibri" w:hAnsi="Calibri" w:eastAsia="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60"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this outcome wasn’t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972"/>
          <w:rFonts w:ascii="Calibri" w:hAnsi="Calibri" w:eastAsia="Calibri" w:cs="Calibri"/>
          <w:sz w:val="22"/>
          <w:szCs w:val="22"/>
          <w:highlight w:val="none"/>
          <w:lang w:val="en-US" w:bidi="en-IE"/>
        </w:rPr>
        <w:footnoteReference w:id="6"/>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eastAsia="Calibri" w:cs="Calibri"/>
          <w:sz w:val="22"/>
          <w:szCs w:val="22"/>
          <w:highlight w:val="none"/>
          <w:lang w:val="en-US"/>
        </w:rPr>
      </w:r>
      <w:r>
        <w:rPr>
          <w:rFonts w:ascii="Calibri" w:hAnsi="Calibri" w:eastAsia="Calibri" w:cs="Calibri"/>
          <w:sz w:val="22"/>
          <w:szCs w:val="22"/>
          <w:highlight w:val="none"/>
        </w:rPr>
      </w:r>
    </w:p>
    <w:p w14:paraId="32A5FED3">
      <w:pPr>
        <w:pBdr/>
        <w:shd w:val="clear" w:color="ffffff" w:themeColor="background1" w:fill="ffffff" w:themeFill="background1"/>
        <w:tabs>
          <w:tab w:val="left" w:leader="none" w:pos="5830"/>
        </w:tabs>
        <w:spacing w:line="360" w:lineRule="auto"/>
        <w:ind/>
        <w:jc w:val="both"/>
        <w:rPr>
          <w:rFonts w:ascii="Calibri" w:hAnsi="Calibri" w:cs="Calibri"/>
          <w:sz w:val="22"/>
          <w:szCs w:val="22"/>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972"/>
          <w:rFonts w:ascii="Calibri" w:hAnsi="Calibri" w:eastAsia="Calibri" w:cs="Calibri"/>
          <w:sz w:val="22"/>
          <w:szCs w:val="22"/>
          <w:lang w:val="en-US"/>
        </w:rPr>
        <w:footnoteReference w:id="7"/>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972"/>
          <w:rFonts w:ascii="Calibri" w:hAnsi="Calibri" w:eastAsia="Calibri" w:cs="Calibri"/>
          <w:sz w:val="22"/>
          <w:szCs w:val="22"/>
          <w:lang w:val="en-US"/>
        </w:rPr>
        <w:footnoteReference w:id="8"/>
      </w:r>
      <w:r>
        <w:rPr>
          <w:rFonts w:ascii="Calibri" w:hAnsi="Calibri" w:eastAsia="Calibri" w:cs="Calibri"/>
          <w:sz w:val="22"/>
          <w:szCs w:val="22"/>
          <w:lang w:val="en-US"/>
        </w:rPr>
        <w:t xml:space="preserve">, and improved on (at least some of) the initial problems, that caused the ‘Troubles’. </w:t>
      </w:r>
      <w:r>
        <w:rPr>
          <w:rFonts w:ascii="Calibri" w:hAnsi="Calibri" w:eastAsia="Calibri" w:cs="Calibri"/>
          <w:sz w:val="22"/>
          <w:szCs w:val="22"/>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967"/>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967"/>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967"/>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967"/>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6189D189">
      <w:pPr>
        <w:pStyle w:val="970"/>
        <w:pBdr/>
        <w:spacing/>
        <w:ind/>
        <w:rPr>
          <w:rFonts w:ascii="Calibri" w:hAnsi="Calibri" w:cs="Calibri"/>
        </w:rPr>
      </w:pPr>
      <w:r>
        <w:rPr>
          <w:rStyle w:val="972"/>
        </w:rPr>
        <w:footnoteRef/>
      </w:r>
      <w:r>
        <w:t xml:space="preserve"> </w:t>
      </w:r>
      <w:r>
        <w:rPr>
          <w:rFonts w:ascii="Calibri" w:hAnsi="Calibri" w:eastAsia="Calibri" w:cs="Calibri"/>
        </w:rPr>
        <w:t xml:space="preserve">John Coakley (2002): Religion, National Identity and Political Change in Modern Ireland,</w:t>
      </w:r>
      <w:r>
        <w:rPr>
          <w:rFonts w:ascii="Calibri" w:hAnsi="Calibri" w:eastAsia="Calibri" w:cs="Calibri"/>
        </w:rPr>
      </w:r>
    </w:p>
    <w:p w14:paraId="41530D51">
      <w:pPr>
        <w:pStyle w:val="970"/>
        <w:pBdr/>
        <w:spacing/>
        <w:ind/>
        <w:rPr>
          <w:rFonts w:ascii="Calibri" w:hAnsi="Calibri" w:cs="Calibri"/>
        </w:rPr>
      </w:pPr>
      <w:r>
        <w:rPr>
          <w:rFonts w:ascii="Calibri" w:hAnsi="Calibri" w:eastAsia="Calibri" w:cs="Calibri"/>
        </w:rPr>
        <w:t xml:space="preserve">Irish Political Studies, 17:1, 4-28, DOI:</w:t>
      </w:r>
      <w:hyperlink r:id="rId1" w:tooltip="https://doi.org/10.1080/714003140" w:history="1">
        <w:r>
          <w:rPr>
            <w:rStyle w:val="976"/>
            <w:rFonts w:ascii="Calibri" w:hAnsi="Calibri" w:eastAsia="Calibri" w:cs="Calibri"/>
          </w:rPr>
          <w:t xml:space="preserve">https://doi.org/10.1080/714003140</w:t>
        </w:r>
      </w:hyperlink>
      <w:r>
        <w:rPr>
          <w:rFonts w:ascii="Calibri" w:hAnsi="Calibri" w:eastAsia="Calibri" w:cs="Calibri"/>
        </w:rPr>
        <w:t xml:space="preserve">. Last Accessed 11 Mar. 2026.</w:t>
      </w:r>
      <w:r>
        <w:rPr>
          <w:rFonts w:ascii="Calibri" w:hAnsi="Calibri" w:eastAsia="Calibri" w:cs="Calibri"/>
        </w:rPr>
      </w:r>
    </w:p>
  </w:footnote>
  <w:footnote w:id="3">
    <w:p w14:paraId="787074D9">
      <w:pPr>
        <w:pStyle w:val="970"/>
        <w:pBdr/>
        <w:spacing/>
        <w:ind/>
        <w:rPr/>
      </w:pPr>
      <w:r>
        <w:rPr>
          <w:rStyle w:val="972"/>
        </w:rPr>
        <w:footnoteRef/>
      </w:r>
      <w:r>
        <w:t xml:space="preserve"> </w:t>
      </w:r>
      <w:r>
        <w:rPr>
          <w:rFonts w:ascii="Calibri" w:hAnsi="Calibri" w:eastAsia="Calibri" w:cs="Calibri"/>
        </w:rPr>
        <w:t xml:space="preserve">Cradden, Terry, and Paul Teague. “Labour Market Discrimination and Fair Employment in Northern Ireland: An Introduction.” International Journal of Manpower, vol. 13, no. 6, June 1992, pp. 3–15, </w:t>
      </w:r>
      <w:hyperlink r:id="rId2" w:tooltip="https://doi.org/10.1108/eum0000000000906" w:history="1">
        <w:r>
          <w:rPr>
            <w:rStyle w:val="976"/>
            <w:rFonts w:ascii="Calibri" w:hAnsi="Calibri" w:eastAsia="Calibri" w:cs="Calibri"/>
          </w:rPr>
          <w:t xml:space="preserve">https://doi.org/10.1108/eum0000000000906</w:t>
        </w:r>
      </w:hyperlink>
      <w:r>
        <w:rPr>
          <w:rFonts w:ascii="Calibri" w:hAnsi="Calibri" w:eastAsia="Calibri" w:cs="Calibri"/>
        </w:rPr>
        <w:t xml:space="preserve">.</w:t>
      </w:r>
      <w:r>
        <w:rPr>
          <w:rFonts w:ascii="Calibri" w:hAnsi="Calibri" w:eastAsia="Calibri" w:cs="Calibri"/>
        </w:rPr>
        <w:t xml:space="preserve"> Last Accessed 11 Mar. 2026</w:t>
      </w:r>
      <w:r/>
    </w:p>
  </w:footnote>
  <w:footnote w:id="4">
    <w:p w14:paraId="1FADA383">
      <w:pPr>
        <w:pStyle w:val="970"/>
        <w:pBdr/>
        <w:spacing/>
        <w:ind/>
        <w:rPr>
          <w:lang w:val="en-IE"/>
        </w:rPr>
      </w:pPr>
      <w:r>
        <w:rPr>
          <w:rStyle w:val="972"/>
          <w:lang w:val="en-IE"/>
        </w:rPr>
        <w:footnoteRef/>
      </w:r>
      <w:r>
        <w:rPr>
          <w:lang w:val="en-IE"/>
        </w:rPr>
        <w:t xml:space="preserve"> </w:t>
      </w:r>
      <w:r>
        <w:rPr>
          <w:rStyle w:val="971"/>
          <w:rFonts w:ascii="Calibri" w:hAnsi="Calibri" w:eastAsia="Calibri" w:cs="Calibri"/>
          <w:lang w:val="en-IE"/>
        </w:rPr>
        <w:t xml:space="preserve">Melaugh, M. “CAIN: Irish Republican Army (IRA) Statement on the Ending of the Armed Campaign, (28 July 2005).” </w:t>
      </w:r>
      <w:r>
        <w:rPr>
          <w:rStyle w:val="971"/>
          <w:rFonts w:ascii="Calibri" w:hAnsi="Calibri" w:eastAsia="Calibri" w:cs="Calibri"/>
          <w:i/>
          <w:iCs/>
          <w:lang w:val="en-IE"/>
        </w:rPr>
        <w:t xml:space="preserve">Ulster University</w:t>
      </w:r>
      <w:r>
        <w:rPr>
          <w:rStyle w:val="971"/>
          <w:rFonts w:ascii="Calibri" w:hAnsi="Calibri" w:eastAsia="Calibri" w:cs="Calibri"/>
          <w:lang w:val="en-IE"/>
        </w:rPr>
        <w:t xml:space="preserve">, 28 July 2005, </w:t>
      </w:r>
      <w:hyperlink r:id="rId3" w:tooltip="https://cain.ulster.ac.uk/othelem/organ/ira/ira280705.htm" w:history="1">
        <w:r>
          <w:rPr>
            <w:rStyle w:val="976"/>
            <w:rFonts w:ascii="Calibri" w:hAnsi="Calibri" w:eastAsia="Calibri" w:cs="Calibri"/>
            <w:lang w:val="en-IE"/>
          </w:rPr>
          <w:t xml:space="preserve">https://cain.ulster.ac.uk/othelem/organ/ira/ira280705.htm</w:t>
        </w:r>
        <w:r>
          <w:rPr>
            <w:rStyle w:val="976"/>
            <w:rFonts w:ascii="Calibri" w:hAnsi="Calibri" w:eastAsia="Calibri" w:cs="Calibri"/>
            <w:lang w:val="en-IE" w:bidi="en-IE"/>
          </w:rPr>
        </w:r>
        <w:r>
          <w:rPr>
            <w:rStyle w:val="976"/>
            <w:lang w:val="en-IE" w:bidi="en-IE"/>
          </w:rPr>
        </w:r>
      </w:hyperlink>
      <w:r>
        <w:rPr>
          <w:lang w:val="en-IE"/>
        </w:rPr>
        <w:t xml:space="preserve">. </w:t>
      </w:r>
      <w:r>
        <w:rPr>
          <w:rFonts w:ascii="Calibri" w:hAnsi="Calibri" w:eastAsia="Calibri" w:cs="Calibri"/>
          <w:lang w:val="en-IE"/>
        </w:rPr>
        <w:t xml:space="preserve">Last Accessed 11 Mar. 2026.</w:t>
      </w:r>
      <w:r>
        <w:rPr>
          <w:lang w:val="en-IE" w:bidi="en-IE"/>
        </w:rPr>
      </w:r>
      <w:r>
        <w:rPr>
          <w:lang w:val="en-IE"/>
        </w:rPr>
      </w:r>
      <w:r>
        <w:rPr>
          <w:lang w:val="en-IE"/>
        </w:rPr>
      </w:r>
    </w:p>
  </w:footnote>
  <w:footnote w:id="5">
    <w:p w14:paraId="0434D6F0">
      <w:pPr>
        <w:pStyle w:val="970"/>
        <w:pBdr/>
        <w:spacing/>
        <w:ind/>
        <w:jc w:val="both"/>
        <w:rPr>
          <w:rFonts w:ascii="Calibri" w:hAnsi="Calibri" w:eastAsia="Calibri" w:cs="Calibri"/>
          <w:color w:val="000000"/>
          <w:sz w:val="22"/>
          <w:szCs w:val="22"/>
          <w:lang w:val="en-IE"/>
        </w:rPr>
      </w:pPr>
      <w:r>
        <w:rPr>
          <w:rStyle w:val="972"/>
          <w:lang w:val="en-IE"/>
        </w:rPr>
        <w:foot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doi: </w:t>
      </w:r>
      <w:hyperlink r:id="rId4" w:tooltip="https://doi.org/10.16995/olh.251" w:history="1">
        <w:r>
          <w:rPr>
            <w:rStyle w:val="976"/>
            <w:rFonts w:ascii="Calibri" w:hAnsi="Calibri" w:eastAsia="Calibri" w:cs="Calibri"/>
            <w:color w:val="0000ee"/>
            <w:sz w:val="20"/>
            <w:szCs w:val="20"/>
            <w:u w:val="single"/>
            <w:lang w:val="en-IE"/>
          </w:rPr>
          <w:t xml:space="preserve">https://doi.org/10.16995/olh.251</w:t>
        </w:r>
      </w:hyperlink>
      <w:r>
        <w:rPr>
          <w:rFonts w:ascii="Calibri" w:hAnsi="Calibri" w:eastAsia="Calibri" w:cs="Calibri"/>
          <w:color w:val="000000"/>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bidi="en-IE"/>
        </w:rPr>
      </w:r>
      <w:r>
        <w:rPr>
          <w:rFonts w:ascii="Calibri" w:hAnsi="Calibri" w:eastAsia="Calibri" w:cs="Calibri"/>
          <w:color w:val="000000"/>
          <w:sz w:val="22"/>
          <w:szCs w:val="22"/>
          <w:lang w:val="en-IE"/>
        </w:rPr>
      </w:r>
    </w:p>
  </w:footnote>
  <w:footnote w:id="6">
    <w:p w14:paraId="00D60FE7">
      <w:pPr>
        <w:pStyle w:val="970"/>
        <w:pBdr/>
        <w:spacing/>
        <w:ind/>
        <w:rPr>
          <w:lang w:val="en-IE"/>
        </w:rPr>
      </w:pPr>
      <w:r>
        <w:rPr>
          <w:rStyle w:val="972"/>
          <w:lang w:val="en-IE"/>
        </w:rPr>
        <w:foot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April 1998, </w:t>
      </w:r>
      <w:hyperlink r:id="rId5" w:tooltip="https://assets.ireland.ie/documents/good-friday-agreement.pdf" w:history="1">
        <w:r>
          <w:rPr>
            <w:rStyle w:val="976"/>
            <w:rFonts w:ascii="Calibri" w:hAnsi="Calibri" w:eastAsia="Calibri" w:cs="Calibri"/>
            <w:lang w:val="en-IE"/>
          </w:rPr>
          <w:t xml:space="preserve">https://assets.ireland.ie/documents/good-friday-agreement.pdf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rFonts w:ascii="Calibri" w:hAnsi="Calibri" w:eastAsia="Calibri" w:cs="Calibri"/>
          <w:lang w:val="en-IE" w:bidi="en-IE"/>
        </w:rPr>
      </w:r>
      <w:r>
        <w:rPr>
          <w:lang w:val="en-IE"/>
        </w:rPr>
      </w:r>
    </w:p>
  </w:footnote>
  <w:footnote w:id="7">
    <w:p w14:paraId="2E19D077">
      <w:pPr>
        <w:pStyle w:val="970"/>
        <w:pBdr/>
        <w:spacing/>
        <w:ind/>
        <w:rPr>
          <w:lang w:val="en-IE"/>
        </w:rPr>
      </w:pPr>
      <w:r>
        <w:rPr>
          <w:rStyle w:val="972"/>
          <w:lang w:val="en-IE"/>
        </w:rPr>
        <w:foot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6" w:tooltip="https;//ukandeu.ac.uk/unionism-and-the-belfast-good-friday-agreement/" w:history="1">
        <w:r>
          <w:rPr>
            <w:rStyle w:val="976"/>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rFonts w:ascii="Calibri" w:hAnsi="Calibri" w:eastAsia="Calibri" w:cs="Calibri"/>
          <w:lang w:val="en-IE" w:bidi="en-IE"/>
        </w:rPr>
      </w:r>
      <w:r>
        <w:rPr>
          <w:lang w:val="en-IE"/>
        </w:rPr>
      </w:r>
    </w:p>
  </w:footnote>
  <w:footnote w:id="8">
    <w:p w14:paraId="78001722">
      <w:pPr>
        <w:pStyle w:val="970"/>
        <w:pBdr/>
        <w:spacing/>
        <w:ind/>
        <w:rPr>
          <w:rFonts w:ascii="Calibri" w:hAnsi="Calibri" w:cs="Calibri"/>
        </w:rPr>
      </w:pPr>
      <w:r>
        <w:rPr>
          <w:rStyle w:val="972"/>
          <w:lang w:val="en-IE"/>
        </w:rPr>
        <w:foot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7" w:tooltip="https://www.quaker.org.uk/blog/25-years-since-the-good-friday-agreement-reflections-from-a-quaker" w:history="1">
        <w:r>
          <w:rPr>
            <w:rStyle w:val="976"/>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eastAsia="Calibri" w:cs="Calibri"/>
        </w:rPr>
      </w:r>
      <w:r>
        <w:rPr>
          <w:rFonts w:ascii="Calibri" w:hAnsi="Calibri" w:eastAsia="Calibri" w:cs="Calibri"/>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65"/>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65"/>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965"/>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965"/>
      <w:pBdr/>
      <w:spacing/>
      <w:ind/>
      <w:rPr/>
    </w:pPr>
    <w:r>
      <w:rPr>
        <w:highlight w:val="none"/>
        <w:lang w:val="de-DE"/>
      </w:rPr>
      <w:t xml:space="preserve">Berlin</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5">
    <w:name w:val="Table Grid"/>
    <w:basedOn w:val="9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Table Grid Light"/>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1"/>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2"/>
    <w:basedOn w:val="9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Plain Table 3"/>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Plain Table 4"/>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5"/>
    <w:basedOn w:val="9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w:basedOn w:val="9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1 Light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2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w:basedOn w:val="9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1"/>
    <w:basedOn w:val="9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3 - Accent 5"/>
    <w:basedOn w:val="9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 Accent 6"/>
    <w:basedOn w:val="9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w:basedOn w:val="9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1"/>
    <w:basedOn w:val="9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2"/>
    <w:basedOn w:val="9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3"/>
    <w:basedOn w:val="9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 Accent 4"/>
    <w:basedOn w:val="9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4 - Accent 5"/>
    <w:basedOn w:val="9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 Accent 6"/>
    <w:basedOn w:val="9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1"/>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2"/>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3"/>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Accent 4"/>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5 Dark - Accent 5"/>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 Accent 6"/>
    <w:basedOn w:val="9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8">
    <w:name w:val="Grid Table 6 Colorful - Accent 1"/>
    <w:basedOn w:val="9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9">
    <w:name w:val="Grid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0">
    <w:name w:val="Grid Table 6 Colorful - Accent 3"/>
    <w:basedOn w:val="9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1">
    <w:name w:val="Grid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52">
    <w:name w:val="Grid Table 6 Colorful - Accent 5"/>
    <w:basedOn w:val="9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3">
    <w:name w:val="Grid Table 6 Colorful - Accent 6"/>
    <w:basedOn w:val="9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4">
    <w:name w:val="Grid Table 7 Colorful"/>
    <w:basedOn w:val="9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1"/>
    <w:basedOn w:val="9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2"/>
    <w:basedOn w:val="9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3"/>
    <w:basedOn w:val="9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 Accent 4"/>
    <w:basedOn w:val="9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7 Colorful - Accent 5"/>
    <w:basedOn w:val="9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 Accent 6"/>
    <w:basedOn w:val="9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1"/>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2"/>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3"/>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 Accent 4"/>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1 Light - Accent 5"/>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 Accent 6"/>
    <w:basedOn w:val="9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w:basedOn w:val="9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1"/>
    <w:basedOn w:val="9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2"/>
    <w:basedOn w:val="9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3"/>
    <w:basedOn w:val="9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 Accent 4"/>
    <w:basedOn w:val="9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2 - Accent 5"/>
    <w:basedOn w:val="9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 Accent 6"/>
    <w:basedOn w:val="9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1"/>
    <w:basedOn w:val="9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2"/>
    <w:basedOn w:val="9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3"/>
    <w:basedOn w:val="9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 Accent 4"/>
    <w:basedOn w:val="9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 Accent 5"/>
    <w:basedOn w:val="9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 Accent 6"/>
    <w:basedOn w:val="9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w:basedOn w:val="9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1"/>
    <w:basedOn w:val="9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2"/>
    <w:basedOn w:val="9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3"/>
    <w:basedOn w:val="9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 Accent 4"/>
    <w:basedOn w:val="9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 Accent 5"/>
    <w:basedOn w:val="9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 Accent 6"/>
    <w:basedOn w:val="9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5 Dark"/>
    <w:basedOn w:val="9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1"/>
    <w:basedOn w:val="9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2"/>
    <w:basedOn w:val="9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3"/>
    <w:basedOn w:val="9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5 Dark - Accent 4"/>
    <w:basedOn w:val="9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4">
    <w:name w:val="List Table 5 Dark - Accent 5"/>
    <w:basedOn w:val="9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5">
    <w:name w:val="List Table 5 Dark - Accent 6"/>
    <w:basedOn w:val="9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6">
    <w:name w:val="List Table 6 Colorful"/>
    <w:basedOn w:val="9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1"/>
    <w:basedOn w:val="9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2"/>
    <w:basedOn w:val="9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3"/>
    <w:basedOn w:val="9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 Accent 4"/>
    <w:basedOn w:val="9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 Accent 5"/>
    <w:basedOn w:val="9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 Accent 6"/>
    <w:basedOn w:val="9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7 Colorful"/>
    <w:basedOn w:val="9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4">
    <w:name w:val="List Table 7 Colorful - Accent 1"/>
    <w:basedOn w:val="9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5">
    <w:name w:val="List Table 7 Colorful - Accent 2"/>
    <w:basedOn w:val="9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6">
    <w:name w:val="List Table 7 Colorful - Accent 3"/>
    <w:basedOn w:val="9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7">
    <w:name w:val="List Table 7 Colorful - Accent 4"/>
    <w:basedOn w:val="9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8">
    <w:name w:val="List Table 7 Colorful - Accent 5"/>
    <w:basedOn w:val="9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9">
    <w:name w:val="List Table 7 Colorful - Accent 6"/>
    <w:basedOn w:val="9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10">
    <w:name w:val="Lined - Accent"/>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1"/>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2"/>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3"/>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ned - Accent 4"/>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ned - Accent 5"/>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ned - Accent 6"/>
    <w:basedOn w:val="9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w:basedOn w:val="9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1"/>
    <w:basedOn w:val="9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2"/>
    <w:basedOn w:val="9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3"/>
    <w:basedOn w:val="9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amp; Lined - Accent 4"/>
    <w:basedOn w:val="9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amp; Lined - Accent 5"/>
    <w:basedOn w:val="9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6"/>
    <w:basedOn w:val="9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w:basedOn w:val="9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1"/>
    <w:basedOn w:val="9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2"/>
    <w:basedOn w:val="9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3"/>
    <w:basedOn w:val="9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 Accent 4"/>
    <w:basedOn w:val="9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 Accent 5"/>
    <w:basedOn w:val="9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 Accent 6"/>
    <w:basedOn w:val="9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1">
    <w:name w:val="Heading 1"/>
    <w:basedOn w:val="990"/>
    <w:next w:val="990"/>
    <w:link w:val="9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32">
    <w:name w:val="Heading 2"/>
    <w:basedOn w:val="990"/>
    <w:next w:val="990"/>
    <w:link w:val="9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3">
    <w:name w:val="Heading 3"/>
    <w:basedOn w:val="990"/>
    <w:next w:val="990"/>
    <w:link w:val="9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4">
    <w:name w:val="Heading 4"/>
    <w:basedOn w:val="990"/>
    <w:next w:val="990"/>
    <w:link w:val="9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5">
    <w:name w:val="Heading 5"/>
    <w:basedOn w:val="990"/>
    <w:next w:val="990"/>
    <w:link w:val="9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6">
    <w:name w:val="Heading 6"/>
    <w:basedOn w:val="990"/>
    <w:next w:val="990"/>
    <w:link w:val="9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7">
    <w:name w:val="Heading 7"/>
    <w:basedOn w:val="990"/>
    <w:next w:val="990"/>
    <w:link w:val="9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8">
    <w:name w:val="Heading 8"/>
    <w:basedOn w:val="990"/>
    <w:next w:val="990"/>
    <w:link w:val="9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9">
    <w:name w:val="Heading 9"/>
    <w:basedOn w:val="990"/>
    <w:next w:val="990"/>
    <w:link w:val="9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0" w:default="1">
    <w:name w:val="Default Paragraph Font"/>
    <w:uiPriority w:val="1"/>
    <w:semiHidden/>
    <w:unhideWhenUsed/>
    <w:pPr>
      <w:pBdr/>
      <w:spacing/>
      <w:ind/>
    </w:pPr>
  </w:style>
  <w:style w:type="character" w:styleId="941">
    <w:name w:val="Heading 1 Char"/>
    <w:basedOn w:val="940"/>
    <w:link w:val="931"/>
    <w:uiPriority w:val="9"/>
    <w:pPr>
      <w:pBdr/>
      <w:spacing/>
      <w:ind/>
    </w:pPr>
    <w:rPr>
      <w:rFonts w:ascii="Arial" w:hAnsi="Arial" w:eastAsia="Arial" w:cs="Arial"/>
      <w:color w:val="0f4761" w:themeColor="accent1" w:themeShade="BF"/>
      <w:sz w:val="40"/>
      <w:szCs w:val="40"/>
    </w:rPr>
  </w:style>
  <w:style w:type="character" w:styleId="942">
    <w:name w:val="Heading 2 Char"/>
    <w:basedOn w:val="940"/>
    <w:link w:val="932"/>
    <w:uiPriority w:val="9"/>
    <w:pPr>
      <w:pBdr/>
      <w:spacing/>
      <w:ind/>
    </w:pPr>
    <w:rPr>
      <w:rFonts w:ascii="Arial" w:hAnsi="Arial" w:eastAsia="Arial" w:cs="Arial"/>
      <w:color w:val="0f4761" w:themeColor="accent1" w:themeShade="BF"/>
      <w:sz w:val="32"/>
      <w:szCs w:val="32"/>
    </w:rPr>
  </w:style>
  <w:style w:type="character" w:styleId="943">
    <w:name w:val="Heading 3 Char"/>
    <w:basedOn w:val="940"/>
    <w:link w:val="933"/>
    <w:uiPriority w:val="9"/>
    <w:pPr>
      <w:pBdr/>
      <w:spacing/>
      <w:ind/>
    </w:pPr>
    <w:rPr>
      <w:rFonts w:ascii="Arial" w:hAnsi="Arial" w:eastAsia="Arial" w:cs="Arial"/>
      <w:color w:val="0f4761" w:themeColor="accent1" w:themeShade="BF"/>
      <w:sz w:val="28"/>
      <w:szCs w:val="28"/>
    </w:rPr>
  </w:style>
  <w:style w:type="character" w:styleId="944">
    <w:name w:val="Heading 4 Char"/>
    <w:basedOn w:val="940"/>
    <w:link w:val="934"/>
    <w:uiPriority w:val="9"/>
    <w:pPr>
      <w:pBdr/>
      <w:spacing/>
      <w:ind/>
    </w:pPr>
    <w:rPr>
      <w:rFonts w:ascii="Arial" w:hAnsi="Arial" w:eastAsia="Arial" w:cs="Arial"/>
      <w:i/>
      <w:iCs/>
      <w:color w:val="0f4761" w:themeColor="accent1" w:themeShade="BF"/>
    </w:rPr>
  </w:style>
  <w:style w:type="character" w:styleId="945">
    <w:name w:val="Heading 5 Char"/>
    <w:basedOn w:val="940"/>
    <w:link w:val="935"/>
    <w:uiPriority w:val="9"/>
    <w:pPr>
      <w:pBdr/>
      <w:spacing/>
      <w:ind/>
    </w:pPr>
    <w:rPr>
      <w:rFonts w:ascii="Arial" w:hAnsi="Arial" w:eastAsia="Arial" w:cs="Arial"/>
      <w:color w:val="0f4761" w:themeColor="accent1" w:themeShade="BF"/>
    </w:rPr>
  </w:style>
  <w:style w:type="character" w:styleId="946">
    <w:name w:val="Heading 6 Char"/>
    <w:basedOn w:val="940"/>
    <w:link w:val="936"/>
    <w:uiPriority w:val="9"/>
    <w:pPr>
      <w:pBdr/>
      <w:spacing/>
      <w:ind/>
    </w:pPr>
    <w:rPr>
      <w:rFonts w:ascii="Arial" w:hAnsi="Arial" w:eastAsia="Arial" w:cs="Arial"/>
      <w:i/>
      <w:iCs/>
      <w:color w:val="595959" w:themeColor="text1" w:themeTint="A6"/>
    </w:rPr>
  </w:style>
  <w:style w:type="character" w:styleId="947">
    <w:name w:val="Heading 7 Char"/>
    <w:basedOn w:val="940"/>
    <w:link w:val="937"/>
    <w:uiPriority w:val="9"/>
    <w:pPr>
      <w:pBdr/>
      <w:spacing/>
      <w:ind/>
    </w:pPr>
    <w:rPr>
      <w:rFonts w:ascii="Arial" w:hAnsi="Arial" w:eastAsia="Arial" w:cs="Arial"/>
      <w:color w:val="595959" w:themeColor="text1" w:themeTint="A6"/>
    </w:rPr>
  </w:style>
  <w:style w:type="character" w:styleId="948">
    <w:name w:val="Heading 8 Char"/>
    <w:basedOn w:val="940"/>
    <w:link w:val="938"/>
    <w:uiPriority w:val="9"/>
    <w:pPr>
      <w:pBdr/>
      <w:spacing/>
      <w:ind/>
    </w:pPr>
    <w:rPr>
      <w:rFonts w:ascii="Arial" w:hAnsi="Arial" w:eastAsia="Arial" w:cs="Arial"/>
      <w:i/>
      <w:iCs/>
      <w:color w:val="272727" w:themeColor="text1" w:themeTint="D8"/>
    </w:rPr>
  </w:style>
  <w:style w:type="character" w:styleId="949">
    <w:name w:val="Heading 9 Char"/>
    <w:basedOn w:val="940"/>
    <w:link w:val="939"/>
    <w:uiPriority w:val="9"/>
    <w:pPr>
      <w:pBdr/>
      <w:spacing/>
      <w:ind/>
    </w:pPr>
    <w:rPr>
      <w:rFonts w:ascii="Arial" w:hAnsi="Arial" w:eastAsia="Arial" w:cs="Arial"/>
      <w:i/>
      <w:iCs/>
      <w:color w:val="272727" w:themeColor="text1" w:themeTint="D8"/>
    </w:rPr>
  </w:style>
  <w:style w:type="paragraph" w:styleId="950">
    <w:name w:val="Title"/>
    <w:basedOn w:val="990"/>
    <w:next w:val="990"/>
    <w:link w:val="951"/>
    <w:uiPriority w:val="10"/>
    <w:qFormat/>
    <w:pPr>
      <w:pBdr/>
      <w:spacing w:after="80" w:line="240" w:lineRule="auto"/>
      <w:ind/>
      <w:contextualSpacing w:val="true"/>
    </w:pPr>
    <w:rPr>
      <w:rFonts w:ascii="Arial" w:hAnsi="Arial" w:eastAsia="Arial" w:cs="Arial"/>
      <w:spacing w:val="-10"/>
      <w:sz w:val="56"/>
      <w:szCs w:val="56"/>
    </w:rPr>
  </w:style>
  <w:style w:type="character" w:styleId="951">
    <w:name w:val="Title Char"/>
    <w:basedOn w:val="940"/>
    <w:link w:val="950"/>
    <w:uiPriority w:val="10"/>
    <w:pPr>
      <w:pBdr/>
      <w:spacing/>
      <w:ind/>
    </w:pPr>
    <w:rPr>
      <w:rFonts w:ascii="Arial" w:hAnsi="Arial" w:eastAsia="Arial" w:cs="Arial"/>
      <w:spacing w:val="-10"/>
      <w:sz w:val="56"/>
      <w:szCs w:val="56"/>
    </w:rPr>
  </w:style>
  <w:style w:type="paragraph" w:styleId="952">
    <w:name w:val="Subtitle"/>
    <w:basedOn w:val="990"/>
    <w:next w:val="990"/>
    <w:link w:val="953"/>
    <w:uiPriority w:val="11"/>
    <w:qFormat/>
    <w:pPr>
      <w:numPr>
        <w:ilvl w:val="1"/>
      </w:numPr>
      <w:pBdr/>
      <w:spacing/>
      <w:ind/>
    </w:pPr>
    <w:rPr>
      <w:color w:val="595959" w:themeColor="text1" w:themeTint="A6"/>
      <w:spacing w:val="15"/>
      <w:sz w:val="28"/>
      <w:szCs w:val="28"/>
    </w:rPr>
  </w:style>
  <w:style w:type="character" w:styleId="953">
    <w:name w:val="Subtitle Char"/>
    <w:basedOn w:val="940"/>
    <w:link w:val="952"/>
    <w:uiPriority w:val="11"/>
    <w:pPr>
      <w:pBdr/>
      <w:spacing/>
      <w:ind/>
    </w:pPr>
    <w:rPr>
      <w:color w:val="595959" w:themeColor="text1" w:themeTint="A6"/>
      <w:spacing w:val="15"/>
      <w:sz w:val="28"/>
      <w:szCs w:val="28"/>
    </w:rPr>
  </w:style>
  <w:style w:type="paragraph" w:styleId="954">
    <w:name w:val="Quote"/>
    <w:basedOn w:val="990"/>
    <w:next w:val="990"/>
    <w:link w:val="955"/>
    <w:uiPriority w:val="29"/>
    <w:qFormat/>
    <w:pPr>
      <w:pBdr/>
      <w:spacing w:before="160"/>
      <w:ind/>
      <w:jc w:val="center"/>
    </w:pPr>
    <w:rPr>
      <w:i/>
      <w:iCs/>
      <w:color w:val="404040" w:themeColor="text1" w:themeTint="BF"/>
    </w:rPr>
  </w:style>
  <w:style w:type="character" w:styleId="955">
    <w:name w:val="Quote Char"/>
    <w:basedOn w:val="940"/>
    <w:link w:val="954"/>
    <w:uiPriority w:val="29"/>
    <w:pPr>
      <w:pBdr/>
      <w:spacing/>
      <w:ind/>
    </w:pPr>
    <w:rPr>
      <w:i/>
      <w:iCs/>
      <w:color w:val="404040" w:themeColor="text1" w:themeTint="BF"/>
    </w:rPr>
  </w:style>
  <w:style w:type="character" w:styleId="956">
    <w:name w:val="Intense Emphasis"/>
    <w:basedOn w:val="940"/>
    <w:uiPriority w:val="21"/>
    <w:qFormat/>
    <w:pPr>
      <w:pBdr/>
      <w:spacing/>
      <w:ind/>
    </w:pPr>
    <w:rPr>
      <w:i/>
      <w:iCs/>
      <w:color w:val="0f4761" w:themeColor="accent1" w:themeShade="BF"/>
    </w:rPr>
  </w:style>
  <w:style w:type="paragraph" w:styleId="957">
    <w:name w:val="Intense Quote"/>
    <w:basedOn w:val="990"/>
    <w:next w:val="990"/>
    <w:link w:val="9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8">
    <w:name w:val="Intense Quote Char"/>
    <w:basedOn w:val="940"/>
    <w:link w:val="957"/>
    <w:uiPriority w:val="30"/>
    <w:pPr>
      <w:pBdr/>
      <w:spacing/>
      <w:ind/>
    </w:pPr>
    <w:rPr>
      <w:i/>
      <w:iCs/>
      <w:color w:val="0f4761" w:themeColor="accent1" w:themeShade="BF"/>
    </w:rPr>
  </w:style>
  <w:style w:type="character" w:styleId="959">
    <w:name w:val="Intense Reference"/>
    <w:basedOn w:val="940"/>
    <w:uiPriority w:val="32"/>
    <w:qFormat/>
    <w:pPr>
      <w:pBdr/>
      <w:spacing/>
      <w:ind/>
    </w:pPr>
    <w:rPr>
      <w:b/>
      <w:bCs/>
      <w:smallCaps/>
      <w:color w:val="0f4761" w:themeColor="accent1" w:themeShade="BF"/>
      <w:spacing w:val="5"/>
    </w:rPr>
  </w:style>
  <w:style w:type="character" w:styleId="960">
    <w:name w:val="Subtle Emphasis"/>
    <w:basedOn w:val="940"/>
    <w:uiPriority w:val="19"/>
    <w:qFormat/>
    <w:pPr>
      <w:pBdr/>
      <w:spacing/>
      <w:ind/>
    </w:pPr>
    <w:rPr>
      <w:i/>
      <w:iCs/>
      <w:color w:val="404040" w:themeColor="text1" w:themeTint="BF"/>
    </w:rPr>
  </w:style>
  <w:style w:type="character" w:styleId="961">
    <w:name w:val="Emphasis"/>
    <w:basedOn w:val="940"/>
    <w:uiPriority w:val="20"/>
    <w:qFormat/>
    <w:pPr>
      <w:pBdr/>
      <w:spacing/>
      <w:ind/>
    </w:pPr>
    <w:rPr>
      <w:i/>
      <w:iCs/>
    </w:rPr>
  </w:style>
  <w:style w:type="character" w:styleId="962">
    <w:name w:val="Strong"/>
    <w:basedOn w:val="940"/>
    <w:uiPriority w:val="22"/>
    <w:qFormat/>
    <w:pPr>
      <w:pBdr/>
      <w:spacing/>
      <w:ind/>
    </w:pPr>
    <w:rPr>
      <w:b/>
      <w:bCs/>
    </w:rPr>
  </w:style>
  <w:style w:type="character" w:styleId="963">
    <w:name w:val="Subtle Reference"/>
    <w:basedOn w:val="940"/>
    <w:uiPriority w:val="31"/>
    <w:qFormat/>
    <w:pPr>
      <w:pBdr/>
      <w:spacing/>
      <w:ind/>
    </w:pPr>
    <w:rPr>
      <w:smallCaps/>
      <w:color w:val="5a5a5a" w:themeColor="text1" w:themeTint="A5"/>
    </w:rPr>
  </w:style>
  <w:style w:type="character" w:styleId="964">
    <w:name w:val="Book Title"/>
    <w:basedOn w:val="940"/>
    <w:uiPriority w:val="33"/>
    <w:qFormat/>
    <w:pPr>
      <w:pBdr/>
      <w:spacing/>
      <w:ind/>
    </w:pPr>
    <w:rPr>
      <w:b/>
      <w:bCs/>
      <w:i/>
      <w:iCs/>
      <w:spacing w:val="5"/>
    </w:rPr>
  </w:style>
  <w:style w:type="paragraph" w:styleId="965">
    <w:name w:val="Header"/>
    <w:basedOn w:val="990"/>
    <w:link w:val="966"/>
    <w:uiPriority w:val="99"/>
    <w:unhideWhenUsed/>
    <w:pPr>
      <w:pBdr/>
      <w:tabs>
        <w:tab w:val="center" w:leader="none" w:pos="4844"/>
        <w:tab w:val="right" w:leader="none" w:pos="9689"/>
      </w:tabs>
      <w:spacing w:after="0" w:line="240" w:lineRule="auto"/>
      <w:ind/>
    </w:pPr>
  </w:style>
  <w:style w:type="character" w:styleId="966">
    <w:name w:val="Header Char"/>
    <w:basedOn w:val="940"/>
    <w:link w:val="965"/>
    <w:uiPriority w:val="99"/>
    <w:pPr>
      <w:pBdr/>
      <w:spacing/>
      <w:ind/>
    </w:pPr>
  </w:style>
  <w:style w:type="paragraph" w:styleId="967">
    <w:name w:val="Footer"/>
    <w:basedOn w:val="990"/>
    <w:link w:val="968"/>
    <w:uiPriority w:val="99"/>
    <w:unhideWhenUsed/>
    <w:pPr>
      <w:pBdr/>
      <w:tabs>
        <w:tab w:val="center" w:leader="none" w:pos="4844"/>
        <w:tab w:val="right" w:leader="none" w:pos="9689"/>
      </w:tabs>
      <w:spacing w:after="0" w:line="240" w:lineRule="auto"/>
      <w:ind/>
    </w:pPr>
  </w:style>
  <w:style w:type="character" w:styleId="968">
    <w:name w:val="Footer Char"/>
    <w:basedOn w:val="940"/>
    <w:link w:val="967"/>
    <w:uiPriority w:val="99"/>
    <w:pPr>
      <w:pBdr/>
      <w:spacing/>
      <w:ind/>
    </w:pPr>
  </w:style>
  <w:style w:type="paragraph" w:styleId="969">
    <w:name w:val="Caption"/>
    <w:basedOn w:val="990"/>
    <w:next w:val="990"/>
    <w:uiPriority w:val="35"/>
    <w:unhideWhenUsed/>
    <w:qFormat/>
    <w:pPr>
      <w:pBdr/>
      <w:spacing w:after="200" w:line="240" w:lineRule="auto"/>
      <w:ind/>
    </w:pPr>
    <w:rPr>
      <w:i/>
      <w:iCs/>
      <w:color w:val="0e2841" w:themeColor="text2"/>
      <w:sz w:val="18"/>
      <w:szCs w:val="18"/>
    </w:rPr>
  </w:style>
  <w:style w:type="paragraph" w:styleId="970">
    <w:name w:val="footnote text"/>
    <w:basedOn w:val="990"/>
    <w:link w:val="971"/>
    <w:uiPriority w:val="99"/>
    <w:semiHidden/>
    <w:unhideWhenUsed/>
    <w:pPr>
      <w:pBdr/>
      <w:spacing w:after="0" w:line="240" w:lineRule="auto"/>
      <w:ind/>
    </w:pPr>
    <w:rPr>
      <w:sz w:val="20"/>
      <w:szCs w:val="20"/>
    </w:rPr>
  </w:style>
  <w:style w:type="character" w:styleId="971">
    <w:name w:val="Footnote Text Char"/>
    <w:basedOn w:val="940"/>
    <w:link w:val="970"/>
    <w:uiPriority w:val="99"/>
    <w:semiHidden/>
    <w:pPr>
      <w:pBdr/>
      <w:spacing/>
      <w:ind/>
    </w:pPr>
    <w:rPr>
      <w:sz w:val="20"/>
      <w:szCs w:val="20"/>
    </w:rPr>
  </w:style>
  <w:style w:type="character" w:styleId="972">
    <w:name w:val="footnote reference"/>
    <w:basedOn w:val="940"/>
    <w:uiPriority w:val="99"/>
    <w:semiHidden/>
    <w:unhideWhenUsed/>
    <w:pPr>
      <w:pBdr/>
      <w:spacing/>
      <w:ind/>
    </w:pPr>
    <w:rPr>
      <w:vertAlign w:val="superscript"/>
    </w:rPr>
  </w:style>
  <w:style w:type="paragraph" w:styleId="973">
    <w:name w:val="endnote text"/>
    <w:basedOn w:val="990"/>
    <w:link w:val="974"/>
    <w:uiPriority w:val="99"/>
    <w:semiHidden/>
    <w:unhideWhenUsed/>
    <w:pPr>
      <w:pBdr/>
      <w:spacing w:after="0" w:line="240" w:lineRule="auto"/>
      <w:ind/>
    </w:pPr>
    <w:rPr>
      <w:sz w:val="20"/>
      <w:szCs w:val="20"/>
    </w:rPr>
  </w:style>
  <w:style w:type="character" w:styleId="974">
    <w:name w:val="Endnote Text Char"/>
    <w:basedOn w:val="940"/>
    <w:link w:val="973"/>
    <w:uiPriority w:val="99"/>
    <w:semiHidden/>
    <w:pPr>
      <w:pBdr/>
      <w:spacing/>
      <w:ind/>
    </w:pPr>
    <w:rPr>
      <w:sz w:val="20"/>
      <w:szCs w:val="20"/>
    </w:rPr>
  </w:style>
  <w:style w:type="character" w:styleId="975">
    <w:name w:val="endnote reference"/>
    <w:basedOn w:val="940"/>
    <w:uiPriority w:val="99"/>
    <w:semiHidden/>
    <w:unhideWhenUsed/>
    <w:pPr>
      <w:pBdr/>
      <w:spacing/>
      <w:ind/>
    </w:pPr>
    <w:rPr>
      <w:vertAlign w:val="superscript"/>
    </w:rPr>
  </w:style>
  <w:style w:type="character" w:styleId="976">
    <w:name w:val="Hyperlink"/>
    <w:basedOn w:val="940"/>
    <w:uiPriority w:val="99"/>
    <w:unhideWhenUsed/>
    <w:pPr>
      <w:pBdr/>
      <w:spacing/>
      <w:ind/>
    </w:pPr>
    <w:rPr>
      <w:color w:val="0563c1" w:themeColor="hyperlink"/>
      <w:u w:val="single"/>
    </w:rPr>
  </w:style>
  <w:style w:type="character" w:styleId="977">
    <w:name w:val="FollowedHyperlink"/>
    <w:basedOn w:val="940"/>
    <w:uiPriority w:val="99"/>
    <w:semiHidden/>
    <w:unhideWhenUsed/>
    <w:pPr>
      <w:pBdr/>
      <w:spacing/>
      <w:ind/>
    </w:pPr>
    <w:rPr>
      <w:color w:val="954f72" w:themeColor="followedHyperlink"/>
      <w:u w:val="single"/>
    </w:rPr>
  </w:style>
  <w:style w:type="paragraph" w:styleId="978">
    <w:name w:val="toc 1"/>
    <w:basedOn w:val="990"/>
    <w:next w:val="990"/>
    <w:uiPriority w:val="39"/>
    <w:unhideWhenUsed/>
    <w:pPr>
      <w:pBdr/>
      <w:spacing w:after="100"/>
      <w:ind/>
    </w:pPr>
  </w:style>
  <w:style w:type="paragraph" w:styleId="979">
    <w:name w:val="toc 2"/>
    <w:basedOn w:val="990"/>
    <w:next w:val="990"/>
    <w:uiPriority w:val="39"/>
    <w:unhideWhenUsed/>
    <w:pPr>
      <w:pBdr/>
      <w:spacing w:after="100"/>
      <w:ind w:left="220"/>
    </w:pPr>
  </w:style>
  <w:style w:type="paragraph" w:styleId="980">
    <w:name w:val="toc 3"/>
    <w:basedOn w:val="990"/>
    <w:next w:val="990"/>
    <w:uiPriority w:val="39"/>
    <w:unhideWhenUsed/>
    <w:pPr>
      <w:pBdr/>
      <w:spacing w:after="100"/>
      <w:ind w:left="440"/>
    </w:pPr>
  </w:style>
  <w:style w:type="paragraph" w:styleId="981">
    <w:name w:val="toc 4"/>
    <w:basedOn w:val="990"/>
    <w:next w:val="990"/>
    <w:uiPriority w:val="39"/>
    <w:unhideWhenUsed/>
    <w:pPr>
      <w:pBdr/>
      <w:spacing w:after="100"/>
      <w:ind w:left="660"/>
    </w:pPr>
  </w:style>
  <w:style w:type="paragraph" w:styleId="982">
    <w:name w:val="toc 5"/>
    <w:basedOn w:val="990"/>
    <w:next w:val="990"/>
    <w:uiPriority w:val="39"/>
    <w:unhideWhenUsed/>
    <w:pPr>
      <w:pBdr/>
      <w:spacing w:after="100"/>
      <w:ind w:left="880"/>
    </w:pPr>
  </w:style>
  <w:style w:type="paragraph" w:styleId="983">
    <w:name w:val="toc 6"/>
    <w:basedOn w:val="990"/>
    <w:next w:val="990"/>
    <w:uiPriority w:val="39"/>
    <w:unhideWhenUsed/>
    <w:pPr>
      <w:pBdr/>
      <w:spacing w:after="100"/>
      <w:ind w:left="1100"/>
    </w:pPr>
  </w:style>
  <w:style w:type="paragraph" w:styleId="984">
    <w:name w:val="toc 7"/>
    <w:basedOn w:val="990"/>
    <w:next w:val="990"/>
    <w:uiPriority w:val="39"/>
    <w:unhideWhenUsed/>
    <w:pPr>
      <w:pBdr/>
      <w:spacing w:after="100"/>
      <w:ind w:left="1320"/>
    </w:pPr>
  </w:style>
  <w:style w:type="paragraph" w:styleId="985">
    <w:name w:val="toc 8"/>
    <w:basedOn w:val="990"/>
    <w:next w:val="990"/>
    <w:uiPriority w:val="39"/>
    <w:unhideWhenUsed/>
    <w:pPr>
      <w:pBdr/>
      <w:spacing w:after="100"/>
      <w:ind w:left="1540"/>
    </w:pPr>
  </w:style>
  <w:style w:type="paragraph" w:styleId="986">
    <w:name w:val="toc 9"/>
    <w:basedOn w:val="990"/>
    <w:next w:val="990"/>
    <w:uiPriority w:val="39"/>
    <w:unhideWhenUsed/>
    <w:pPr>
      <w:pBdr/>
      <w:spacing w:after="100"/>
      <w:ind w:left="1760"/>
    </w:pPr>
  </w:style>
  <w:style w:type="character" w:styleId="987">
    <w:name w:val="Placeholder Text"/>
    <w:basedOn w:val="940"/>
    <w:uiPriority w:val="99"/>
    <w:semiHidden/>
    <w:pPr>
      <w:pBdr/>
      <w:spacing/>
      <w:ind/>
    </w:pPr>
    <w:rPr>
      <w:color w:val="666666"/>
    </w:rPr>
  </w:style>
  <w:style w:type="paragraph" w:styleId="988">
    <w:name w:val="TOC Heading"/>
    <w:uiPriority w:val="39"/>
    <w:unhideWhenUsed/>
    <w:pPr>
      <w:pBdr/>
      <w:spacing/>
      <w:ind/>
    </w:pPr>
  </w:style>
  <w:style w:type="paragraph" w:styleId="989">
    <w:name w:val="table of figures"/>
    <w:basedOn w:val="990"/>
    <w:next w:val="990"/>
    <w:uiPriority w:val="99"/>
    <w:unhideWhenUsed/>
    <w:pPr>
      <w:pBdr/>
      <w:spacing w:after="0" w:afterAutospacing="0"/>
      <w:ind/>
    </w:pPr>
  </w:style>
  <w:style w:type="paragraph" w:styleId="990" w:default="1">
    <w:name w:val="Normal"/>
    <w:qFormat/>
    <w:pPr>
      <w:pBdr/>
      <w:spacing/>
      <w:ind/>
    </w:pPr>
  </w:style>
  <w:style w:type="table" w:styleId="9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2" w:default="1">
    <w:name w:val="No List"/>
    <w:uiPriority w:val="99"/>
    <w:semiHidden/>
    <w:unhideWhenUsed/>
    <w:pPr>
      <w:pBdr/>
      <w:spacing/>
      <w:ind/>
    </w:pPr>
  </w:style>
  <w:style w:type="paragraph" w:styleId="993">
    <w:name w:val="No Spacing"/>
    <w:basedOn w:val="990"/>
    <w:uiPriority w:val="1"/>
    <w:qFormat/>
    <w:pPr>
      <w:pBdr/>
      <w:spacing w:after="0" w:line="240" w:lineRule="auto"/>
      <w:ind/>
    </w:pPr>
  </w:style>
  <w:style w:type="paragraph" w:styleId="994">
    <w:name w:val="List Paragraph"/>
    <w:basedOn w:val="9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doi.org/10.1080/714003140" TargetMode="External"/><Relationship Id="rId2" Type="http://schemas.openxmlformats.org/officeDocument/2006/relationships/hyperlink" Target="https://doi.org/10.1108/eum0000000000906" TargetMode="External"/><Relationship Id="rId3" Type="http://schemas.openxmlformats.org/officeDocument/2006/relationships/hyperlink" Target="https://cain.ulster.ac.uk/othelem/organ/ira/ira280705.htm" TargetMode="External"/><Relationship Id="rId4" Type="http://schemas.openxmlformats.org/officeDocument/2006/relationships/hyperlink" Target="https://doi.org/10.16995/olh.251" TargetMode="External"/><Relationship Id="rId5" Type="http://schemas.openxmlformats.org/officeDocument/2006/relationships/hyperlink" Target="https://assets.ireland.ie/documents/good-friday-agreement.pdf" TargetMode="External"/><Relationship Id="rId6" Type="http://schemas.openxmlformats.org/officeDocument/2006/relationships/hyperlink" Target="https;//ukandeu.ac.uk/unionism-and-the-belfast-good-friday-agreement/" TargetMode="External"/><Relationship Id="rId7" Type="http://schemas.openxmlformats.org/officeDocument/2006/relationships/hyperlink" Target="https://www.quaker.org.uk/blog/25-years-since-the-good-friday-agreement-reflections-from-a-quaker"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2026-03-11T18:20:24Z</dcterms:modified>
</cp:coreProperties>
</file>