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0"/>
        <w:pBdr/>
        <w:spacing/>
        <w:ind/>
        <w:jc w:val="center"/>
        <w:rPr>
          <w:lang w:val="en-IE"/>
        </w:rPr>
      </w:pPr>
      <w:r>
        <w:rPr>
          <w:lang w:val="en-IE"/>
        </w:rPr>
        <w:t xml:space="preserve">The </w:t>
      </w:r>
      <w:r>
        <w:rPr>
          <w:lang w:val="en-IE"/>
        </w:rPr>
        <w:t xml:space="preserve">end</w:t>
      </w:r>
      <w:r>
        <w:rPr>
          <w:lang w:val="en-IE"/>
        </w:rPr>
        <w:t xml:space="preserve"> </w:t>
      </w:r>
      <w:r>
        <w:rPr>
          <w:lang w:val="en-IE"/>
        </w:rPr>
        <w:t xml:space="preserve">of the Troubles in Northern Ireland </w:t>
      </w:r>
      <w:r>
        <w:rPr>
          <w:lang w:val="en-IE"/>
        </w:rPr>
      </w:r>
      <w:r>
        <w:rPr>
          <w:lang w:val="en-IE"/>
        </w:rPr>
      </w:r>
    </w:p>
    <w:p w14:paraId="6CD14371">
      <w:pPr>
        <w:pStyle w:val="144"/>
        <w:pBdr/>
        <w:spacing/>
        <w:ind/>
        <w:jc w:val="center"/>
        <w:rPr>
          <w:sz w:val="28"/>
          <w:szCs w:val="28"/>
          <w:lang w:val="en-IE"/>
        </w:rPr>
      </w:pPr>
      <w:r>
        <w:rPr>
          <w:sz w:val="28"/>
          <w:szCs w:val="28"/>
          <w:lang w:val="en-IE"/>
        </w:rPr>
        <w:t xml:space="preserve">The Good </w:t>
      </w:r>
      <w:r>
        <w:rPr>
          <w:sz w:val="28"/>
          <w:szCs w:val="28"/>
          <w:lang w:val="en-IE"/>
        </w:rPr>
        <w:t xml:space="preserve">Friday </w:t>
      </w:r>
      <w:r>
        <w:rPr>
          <w:sz w:val="28"/>
          <w:szCs w:val="28"/>
          <w:lang w:val="en-IE"/>
        </w:rPr>
        <w:t xml:space="preserve">Agreement</w:t>
      </w:r>
      <w:r>
        <w:rPr>
          <w:sz w:val="28"/>
          <w:szCs w:val="28"/>
          <w:lang w:val="en-IE" w:bidi="en-IE"/>
        </w:rPr>
      </w:r>
      <w:r>
        <w:rPr>
          <w:sz w:val="28"/>
          <w:szCs w:val="28"/>
          <w:lang w:val="en-IE"/>
        </w:rPr>
      </w:r>
    </w:p>
    <w:p w14:paraId="59208201">
      <w:pPr>
        <w:pBdr/>
        <w:spacing/>
        <w:ind/>
        <w:rPr>
          <w:lang w:val="en-IE"/>
        </w:rPr>
      </w:pPr>
      <w:r>
        <w:rPr>
          <w:lang w:val="en-IE"/>
        </w:rPr>
      </w:r>
      <w:r>
        <w:rPr>
          <w:lang w:val="en-IE"/>
        </w:rPr>
      </w:r>
      <w:r>
        <w:rPr>
          <w:lang w:val="en-IE"/>
        </w:rPr>
      </w:r>
    </w:p>
    <w:p w14:paraId="01982C76">
      <w:p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8"/>
          <w:szCs w:val="28"/>
          <w:lang w:val="en-IE" w:bidi="en-IE"/>
        </w:rPr>
      </w:r>
      <w:r>
        <w:rPr>
          <w:sz w:val="28"/>
          <w:szCs w:val="28"/>
          <w:lang w:val="en-IE"/>
        </w:rPr>
        <w:t xml:space="preserve">Table of contents:</w:t>
      </w:r>
      <w:r>
        <w:rPr>
          <w:sz w:val="22"/>
          <w:szCs w:val="22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p w14:paraId="265E3EC0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Introduction</w:t>
      </w:r>
      <w:r>
        <w:rPr>
          <w:sz w:val="22"/>
          <w:szCs w:val="22"/>
          <w:highlight w:val="none"/>
          <w:lang w:val="en-IE"/>
        </w:rPr>
      </w:r>
    </w:p>
    <w:p w14:paraId="67D01D89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Defining the leading question</w:t>
      </w:r>
      <w:r>
        <w:rPr>
          <w:sz w:val="22"/>
          <w:szCs w:val="22"/>
          <w:highlight w:val="none"/>
          <w:lang w:val="en-IE"/>
        </w:rPr>
      </w:r>
    </w:p>
    <w:p w14:paraId="2D4CA196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Particular focus and why</w:t>
      </w:r>
      <w:r>
        <w:rPr>
          <w:sz w:val="22"/>
          <w:szCs w:val="22"/>
          <w:highlight w:val="none"/>
          <w:lang w:val="en-IE"/>
        </w:rPr>
      </w:r>
    </w:p>
    <w:p w14:paraId="7FAF746A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Background: The Troubles</w:t>
      </w:r>
      <w:r>
        <w:rPr>
          <w:sz w:val="22"/>
          <w:szCs w:val="22"/>
          <w:highlight w:val="none"/>
          <w:lang w:val="en-IE"/>
        </w:rPr>
      </w:r>
    </w:p>
    <w:p w14:paraId="1F21309B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Structural causes of the Troubles</w:t>
      </w:r>
      <w:r>
        <w:rPr>
          <w:sz w:val="22"/>
          <w:szCs w:val="22"/>
          <w:highlight w:val="none"/>
          <w:lang w:val="en-IE"/>
        </w:rPr>
      </w:r>
    </w:p>
    <w:p w14:paraId="35CFCB43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Main actors during the conflict</w:t>
      </w:r>
      <w:r>
        <w:rPr>
          <w:sz w:val="22"/>
          <w:szCs w:val="22"/>
          <w:highlight w:val="none"/>
          <w:lang w:val="en-IE"/>
        </w:rPr>
      </w:r>
    </w:p>
    <w:p w14:paraId="09313D27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de-DE"/>
        </w:rPr>
        <w:t xml:space="preserve">The Good Friday Agreement</w:t>
      </w:r>
      <w:r>
        <w:rPr>
          <w:sz w:val="22"/>
          <w:szCs w:val="22"/>
          <w:highlight w:val="none"/>
          <w:lang w:val="en-IE"/>
        </w:rPr>
      </w:r>
    </w:p>
    <w:p w14:paraId="5F4F9226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sectPr>
      <w:headerReference w:type="default" r:id="rId9"/>
      <w:headerReference w:type="firs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504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669E23C">
    <w:pPr>
      <w:pStyle w:val="1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972788">
    <w:pPr>
      <w:pStyle w:val="176"/>
      <w:pBdr/>
      <w:spacing/>
      <w:ind/>
      <w:rPr>
        <w:highlight w:val="none"/>
        <w:lang w:val="de-DE"/>
      </w:rPr>
    </w:pPr>
    <w:r>
      <w:rPr>
        <w:lang w:val="de-DE"/>
      </w:rPr>
      <w:t xml:space="preserve">Lilienthal-Gymnasium</w:t>
      <w:tab/>
      <w:tab/>
      <w:t xml:space="preserve">Q4</w:t>
    </w:r>
    <w:r/>
  </w:p>
  <w:p w14:paraId="72F70BFE">
    <w:pPr>
      <w:pStyle w:val="176"/>
      <w:pBdr/>
      <w:spacing/>
      <w:ind/>
      <w:rPr>
        <w:highlight w:val="none"/>
        <w:lang w:val="de-DE"/>
      </w:rPr>
    </w:pPr>
    <w:r>
      <w:rPr>
        <w:highlight w:val="none"/>
        <w:lang w:val="de-DE"/>
      </w:rPr>
      <w:t xml:space="preserve">Berlin</w:t>
      <w:tab/>
      <w:tab/>
      <w:t xml:space="preserve">2025/2026</w:t>
    </w:r>
    <w:r>
      <w:rPr>
        <w:highlight w:val="none"/>
        <w:lang w:val="de-DE"/>
      </w:rPr>
    </w:r>
    <w:r>
      <w:rPr>
        <w:highlight w:val="none"/>
        <w:lang w:val="de-DE"/>
      </w:rPr>
    </w:r>
    <w:r>
      <w:rPr>
        <w:highlight w:val="none"/>
        <w:lang w:val="de-DE"/>
      </w:rPr>
    </w:r>
    <w:r>
      <w:rPr>
        <w:highlight w:val="none"/>
        <w:lang w:val="de-D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70C829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E3668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ECCDB0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1C751A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3">
    <w:nsid w:val="0188AC0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2026-03-01T13:36:29Z</dcterms:modified>
</cp:coreProperties>
</file>