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40"/>
        <w:pBdr/>
        <w:spacing/>
        <w:ind/>
        <w:jc w:val="center"/>
        <w:rPr>
          <w:lang w:val="en-IE"/>
        </w:rPr>
      </w:pPr>
      <w:r>
        <w:rPr>
          <w:lang w:val="en-IE"/>
        </w:rPr>
        <w:t xml:space="preserve">The </w:t>
      </w:r>
      <w:r>
        <w:rPr>
          <w:lang w:val="en-IE"/>
        </w:rPr>
        <w:t xml:space="preserve">end</w:t>
      </w:r>
      <w:r>
        <w:rPr>
          <w:lang w:val="en-IE"/>
        </w:rPr>
        <w:t xml:space="preserve"> </w:t>
      </w:r>
      <w:r>
        <w:rPr>
          <w:lang w:val="en-IE"/>
        </w:rPr>
        <w:t xml:space="preserve">of the Troubles in Northern Ireland </w:t>
      </w:r>
      <w:r>
        <w:rPr>
          <w:lang w:val="en-IE"/>
        </w:rPr>
      </w:r>
      <w:r>
        <w:rPr>
          <w:lang w:val="en-IE"/>
        </w:rPr>
      </w:r>
    </w:p>
    <w:p w14:paraId="6CD14371">
      <w:pPr>
        <w:pStyle w:val="144"/>
        <w:pBdr/>
        <w:spacing/>
        <w:ind/>
        <w:jc w:val="center"/>
        <w:rPr>
          <w:sz w:val="28"/>
          <w:szCs w:val="28"/>
          <w:lang w:val="en-IE"/>
        </w:rPr>
      </w:pPr>
      <w:r>
        <w:rPr>
          <w:sz w:val="28"/>
          <w:szCs w:val="28"/>
          <w:lang w:val="en-IE"/>
        </w:rPr>
        <w:t xml:space="preserve">The Good </w:t>
      </w:r>
      <w:r>
        <w:rPr>
          <w:sz w:val="28"/>
          <w:szCs w:val="28"/>
          <w:lang w:val="en-IE"/>
        </w:rPr>
        <w:t xml:space="preserve">Friday </w:t>
      </w:r>
      <w:r>
        <w:rPr>
          <w:sz w:val="28"/>
          <w:szCs w:val="28"/>
          <w:lang w:val="en-IE"/>
        </w:rPr>
        <w:t xml:space="preserve">Agreement</w:t>
      </w:r>
      <w:r>
        <w:rPr>
          <w:sz w:val="28"/>
          <w:szCs w:val="28"/>
          <w:lang w:val="en-IE" w:bidi="en-IE"/>
        </w:rPr>
      </w:r>
      <w:r>
        <w:rPr>
          <w:sz w:val="28"/>
          <w:szCs w:val="28"/>
          <w:lang w:val="en-IE"/>
        </w:rPr>
      </w:r>
    </w:p>
    <w:p w14:paraId="59208201">
      <w:pPr>
        <w:pBdr/>
        <w:spacing/>
        <w:ind/>
        <w:rPr>
          <w:lang w:val="en-IE"/>
        </w:rPr>
      </w:pPr>
      <w:r>
        <w:rPr>
          <w:lang w:val="en-IE"/>
        </w:rPr>
      </w:r>
      <w:r>
        <w:rPr>
          <w:lang w:val="en-IE"/>
        </w:rPr>
      </w:r>
      <w:r>
        <w:rPr>
          <w:lang w:val="en-IE"/>
        </w:rPr>
      </w:r>
    </w:p>
    <w:p w14:paraId="01982C76">
      <w:p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8"/>
          <w:szCs w:val="28"/>
          <w:lang w:val="en-IE" w:bidi="en-IE"/>
        </w:rPr>
      </w:r>
      <w:r>
        <w:rPr>
          <w:sz w:val="28"/>
          <w:szCs w:val="28"/>
          <w:lang w:val="en-IE"/>
        </w:rPr>
        <w:t xml:space="preserve">Table of contents:</w:t>
      </w:r>
      <w:r>
        <w:rPr>
          <w:sz w:val="22"/>
          <w:szCs w:val="22"/>
          <w:lang w:val="en-IE" w:bidi="en-IE"/>
        </w:rPr>
      </w:r>
      <w:r>
        <w:rPr>
          <w:sz w:val="22"/>
          <w:szCs w:val="22"/>
          <w:highlight w:val="none"/>
          <w:lang w:val="en-IE"/>
        </w:rPr>
      </w:r>
    </w:p>
    <w:p w14:paraId="265E3EC0">
      <w:pPr>
        <w:pStyle w:val="668"/>
        <w:numPr>
          <w:ilvl w:val="0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Introduction</w:t>
      </w:r>
      <w:r>
        <w:rPr>
          <w:sz w:val="22"/>
          <w:szCs w:val="22"/>
          <w:highlight w:val="none"/>
          <w:lang w:val="en-IE"/>
        </w:rPr>
      </w:r>
    </w:p>
    <w:p w14:paraId="67D01D89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Defining the leading question</w:t>
      </w:r>
      <w:r>
        <w:rPr>
          <w:sz w:val="22"/>
          <w:szCs w:val="22"/>
          <w:highlight w:val="none"/>
          <w:lang w:val="en-IE"/>
        </w:rPr>
      </w:r>
    </w:p>
    <w:p w14:paraId="2D4CA196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Particular focus and why</w:t>
      </w:r>
      <w:r>
        <w:rPr>
          <w:sz w:val="22"/>
          <w:szCs w:val="22"/>
          <w:highlight w:val="none"/>
          <w:lang w:val="en-IE"/>
        </w:rPr>
      </w:r>
    </w:p>
    <w:p w14:paraId="7FAF746A">
      <w:pPr>
        <w:pStyle w:val="668"/>
        <w:numPr>
          <w:ilvl w:val="0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Background: The Troubles</w:t>
      </w:r>
      <w:r>
        <w:rPr>
          <w:sz w:val="22"/>
          <w:szCs w:val="22"/>
          <w:highlight w:val="none"/>
          <w:lang w:val="en-IE"/>
        </w:rPr>
      </w:r>
    </w:p>
    <w:p w14:paraId="1F21309B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Structural causes of the Troubles</w:t>
      </w:r>
      <w:r>
        <w:rPr>
          <w:sz w:val="22"/>
          <w:szCs w:val="22"/>
          <w:highlight w:val="none"/>
          <w:lang w:val="en-IE"/>
        </w:rPr>
      </w:r>
    </w:p>
    <w:p w14:paraId="35CFCB43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Main actors during the conflict</w:t>
      </w:r>
      <w:r>
        <w:rPr>
          <w:sz w:val="22"/>
          <w:szCs w:val="22"/>
          <w:highlight w:val="none"/>
          <w:lang w:val="en-IE"/>
        </w:rPr>
      </w:r>
    </w:p>
    <w:p w14:paraId="09313D27">
      <w:pPr>
        <w:pStyle w:val="668"/>
        <w:numPr>
          <w:ilvl w:val="0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de-DE"/>
        </w:rPr>
        <w:t xml:space="preserve">The Good Friday Agreement</w:t>
      </w:r>
      <w:r>
        <w:rPr>
          <w:sz w:val="22"/>
          <w:szCs w:val="22"/>
          <w:highlight w:val="none"/>
          <w:lang w:val="en-IE"/>
        </w:rPr>
      </w:r>
    </w:p>
    <w:p w14:paraId="180E39D5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de-DE"/>
        </w:rPr>
        <w:t xml:space="preserve">Core provisions</w:t>
      </w:r>
      <w:r>
        <w:rPr>
          <w:sz w:val="22"/>
          <w:szCs w:val="22"/>
          <w:highlight w:val="none"/>
          <w:lang w:val="de-DE"/>
        </w:rPr>
      </w:r>
      <w:r>
        <w:rPr>
          <w:sz w:val="22"/>
          <w:szCs w:val="22"/>
          <w:highlight w:val="none"/>
          <w:lang w:val="de-DE"/>
        </w:rPr>
      </w:r>
    </w:p>
    <w:p w14:paraId="5F4F9226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de-DE"/>
        </w:rPr>
        <w:t xml:space="preserve">Institutional reforms</w:t>
      </w:r>
      <w:r>
        <w:rPr>
          <w:sz w:val="22"/>
          <w:szCs w:val="22"/>
          <w:highlight w:val="none"/>
          <w:lang w:val="en-IE"/>
        </w:rPr>
      </w:r>
    </w:p>
    <w:p w14:paraId="7C8E3D68">
      <w:pPr>
        <w:pStyle w:val="668"/>
        <w:numPr>
          <w:ilvl w:val="2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de-DE"/>
        </w:rPr>
        <w:t xml:space="preserve">Adressal of leading causes of violence</w:t>
      </w:r>
      <w:r>
        <w:rPr>
          <w:sz w:val="22"/>
          <w:szCs w:val="22"/>
          <w:highlight w:val="none"/>
          <w:lang w:val="en-IE"/>
        </w:rPr>
      </w:r>
    </w:p>
    <w:p w14:paraId="0E12BB47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 w:bidi="en-IE"/>
        </w:rPr>
      </w:r>
      <w:r>
        <w:rPr>
          <w:sz w:val="22"/>
          <w:szCs w:val="22"/>
          <w:highlight w:val="none"/>
          <w:lang w:val="en-IE" w:bidi="en-IE"/>
        </w:rPr>
      </w:r>
      <w:r>
        <w:rPr>
          <w:sz w:val="22"/>
          <w:szCs w:val="22"/>
          <w:highlight w:val="none"/>
          <w:lang w:val="en-IE"/>
        </w:rPr>
      </w:r>
    </w:p>
    <w:p w14:paraId="07537AA2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de-DE"/>
        </w:rPr>
        <w:t xml:space="preserve">Reactions of key actors</w:t>
      </w:r>
      <w:r>
        <w:rPr>
          <w:sz w:val="22"/>
          <w:szCs w:val="22"/>
          <w:highlight w:val="none"/>
          <w:lang w:val="en-IE"/>
        </w:rPr>
      </w:r>
    </w:p>
    <w:p w14:paraId="19D70883">
      <w:pPr>
        <w:pBdr/>
        <w:spacing/>
        <w:ind w:firstLine="0" w:left="709"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 w:bidi="en-IE"/>
        </w:rPr>
      </w:r>
      <w:r>
        <w:rPr>
          <w:sz w:val="22"/>
          <w:szCs w:val="22"/>
          <w:highlight w:val="none"/>
          <w:lang w:val="en-IE" w:bidi="en-IE"/>
        </w:rPr>
      </w:r>
      <w:r>
        <w:rPr>
          <w:sz w:val="22"/>
          <w:szCs w:val="22"/>
          <w:highlight w:val="none"/>
          <w:lang w:val="en-IE"/>
        </w:rPr>
      </w:r>
    </w:p>
    <w:sectPr>
      <w:headerReference w:type="default" r:id="rId9"/>
      <w:headerReference w:type="first" r:id="rId10"/>
      <w:footerReference w:type="first" r:id="rId11"/>
      <w:footnotePr/>
      <w:endnotePr/>
      <w:type w:val="nextPage"/>
      <w:pgSz w:h="15840" w:orient="portrait" w:w="12240"/>
      <w:pgMar w:top="1440" w:right="1440" w:bottom="1440" w:left="1440" w:header="504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669E23C">
    <w:pPr>
      <w:pStyle w:val="17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8972788">
    <w:pPr>
      <w:pStyle w:val="176"/>
      <w:pBdr/>
      <w:spacing/>
      <w:ind/>
      <w:rPr>
        <w:highlight w:val="none"/>
        <w:lang w:val="de-DE"/>
      </w:rPr>
    </w:pPr>
    <w:r>
      <w:rPr>
        <w:lang w:val="de-DE"/>
      </w:rPr>
      <w:t xml:space="preserve">Lilienthal-Gymnasium</w:t>
      <w:tab/>
      <w:tab/>
      <w:t xml:space="preserve">Q4</w:t>
    </w:r>
    <w:r/>
  </w:p>
  <w:p w14:paraId="72F70BFE">
    <w:pPr>
      <w:pStyle w:val="176"/>
      <w:pBdr/>
      <w:spacing/>
      <w:ind/>
      <w:rPr>
        <w:highlight w:val="none"/>
        <w:lang w:val="de-DE"/>
      </w:rPr>
    </w:pPr>
    <w:r>
      <w:rPr>
        <w:highlight w:val="none"/>
        <w:lang w:val="de-DE"/>
      </w:rPr>
      <w:t xml:space="preserve">Berlin</w:t>
      <w:tab/>
      <w:tab/>
      <w:t xml:space="preserve">2025/2026</w:t>
    </w:r>
    <w:r>
      <w:rPr>
        <w:highlight w:val="none"/>
        <w:lang w:val="de-DE"/>
      </w:rPr>
    </w:r>
    <w:r>
      <w:rPr>
        <w:highlight w:val="none"/>
        <w:lang w:val="de-DE"/>
      </w:rPr>
    </w:r>
    <w:r>
      <w:rPr>
        <w:highlight w:val="none"/>
        <w:lang w:val="de-DE"/>
      </w:rPr>
    </w:r>
    <w:r>
      <w:rPr>
        <w:highlight w:val="none"/>
        <w:lang w:val="de-DE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070C829">
    <w:pPr>
      <w:pStyle w:val="17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AE3668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7ECCDB0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61C751AB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3">
    <w:nsid w:val="0188AC0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I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ONLYOFFICE/9.3.0.140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2026-03-01T13:43:49Z</dcterms:modified>
</cp:coreProperties>
</file>