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40"/>
        <w:pBdr/>
        <w:spacing/>
        <w:ind/>
        <w:jc w:val="center"/>
        <w:rPr>
          <w:lang w:val="en-IE"/>
        </w:rPr>
      </w:pPr>
      <w:r>
        <w:rPr>
          <w:lang w:val="en-IE"/>
        </w:rPr>
        <w:t xml:space="preserve">The </w:t>
      </w:r>
      <w:r>
        <w:rPr>
          <w:lang w:val="en-IE"/>
        </w:rPr>
        <w:t xml:space="preserve">end</w:t>
      </w:r>
      <w:r>
        <w:rPr>
          <w:lang w:val="en-IE"/>
        </w:rPr>
        <w:t xml:space="preserve"> </w:t>
      </w:r>
      <w:r>
        <w:rPr>
          <w:lang w:val="en-IE"/>
        </w:rPr>
        <w:t xml:space="preserve">of the Troubles in Northern Ireland </w:t>
      </w:r>
      <w:r>
        <w:rPr>
          <w:lang w:val="en-IE"/>
        </w:rPr>
      </w:r>
      <w:r>
        <w:rPr>
          <w:lang w:val="en-IE"/>
        </w:rPr>
      </w:r>
    </w:p>
    <w:p w14:paraId="6CD14371">
      <w:pPr>
        <w:pStyle w:val="144"/>
        <w:pBdr/>
        <w:spacing/>
        <w:ind/>
        <w:jc w:val="center"/>
        <w:rPr>
          <w:sz w:val="28"/>
          <w:szCs w:val="28"/>
          <w:lang w:val="en-IE"/>
        </w:rPr>
      </w:pPr>
      <w:r>
        <w:rPr>
          <w:sz w:val="28"/>
          <w:szCs w:val="28"/>
          <w:lang w:val="en-IE"/>
        </w:rPr>
        <w:t xml:space="preserve">The Good </w:t>
      </w:r>
      <w:r>
        <w:rPr>
          <w:sz w:val="28"/>
          <w:szCs w:val="28"/>
          <w:lang w:val="en-IE"/>
        </w:rPr>
        <w:t xml:space="preserve">Friday </w:t>
      </w:r>
      <w:r>
        <w:rPr>
          <w:sz w:val="28"/>
          <w:szCs w:val="28"/>
          <w:lang w:val="en-IE"/>
        </w:rPr>
        <w:t xml:space="preserve">Agreement</w:t>
      </w:r>
      <w:r>
        <w:rPr>
          <w:sz w:val="28"/>
          <w:szCs w:val="28"/>
          <w:lang w:val="en-IE" w:bidi="en-IE"/>
        </w:rPr>
      </w:r>
      <w:r>
        <w:rPr>
          <w:sz w:val="28"/>
          <w:szCs w:val="28"/>
          <w:lang w:val="en-IE"/>
        </w:rPr>
      </w:r>
    </w:p>
    <w:p w14:paraId="32C5C728">
      <w:pPr>
        <w:pBdr/>
        <w:spacing/>
        <w:ind/>
        <w:rPr>
          <w:lang w:val="en-IE"/>
        </w:rPr>
      </w:pPr>
      <w:r>
        <w:rPr>
          <w:lang w:val="en-IE"/>
        </w:rPr>
      </w:r>
      <w:r>
        <w:rPr>
          <w:lang w:val="en-IE"/>
        </w:rPr>
      </w:r>
      <w:r>
        <w:rPr>
          <w:lang w:val="en-IE"/>
        </w:rPr>
      </w:r>
    </w:p>
    <w:p w14:paraId="16AA21E3">
      <w:pPr>
        <w:pBdr/>
        <w:spacing/>
        <w:ind/>
        <w:rPr>
          <w:sz w:val="22"/>
          <w:szCs w:val="22"/>
          <w:highlight w:val="none"/>
          <w:lang w:val="en-IE"/>
        </w:rPr>
      </w:pPr>
      <w:r>
        <w:rPr>
          <w:sz w:val="22"/>
          <w:szCs w:val="22"/>
          <w:highlight w:val="none"/>
          <w:lang w:val="en-IE" w:bidi="en-IE"/>
        </w:rPr>
      </w:r>
      <w:r>
        <w:rPr>
          <w:sz w:val="22"/>
          <w:szCs w:val="22"/>
          <w:highlight w:val="none"/>
          <w:lang w:val="en-IE" w:bidi="en-IE"/>
        </w:rPr>
      </w:r>
      <w:r>
        <w:rPr>
          <w:sz w:val="22"/>
          <w:szCs w:val="22"/>
          <w:highlight w:val="none"/>
          <w:lang w:val="en-IE"/>
        </w:rPr>
      </w:r>
    </w:p>
    <w:p w14:paraId="1951DAFB">
      <w:pPr>
        <w:pBdr/>
        <w:spacing w:line="240" w:lineRule="auto"/>
        <w:ind/>
        <w:rPr>
          <w:b w:val="0"/>
          <w:bCs w:val="0"/>
          <w:sz w:val="22"/>
          <w:szCs w:val="22"/>
          <w:highlight w:val="none"/>
          <w:lang w:val="en-IE"/>
        </w:rPr>
      </w:pPr>
      <w:r>
        <w:rPr>
          <w:b w:val="0"/>
          <w:bCs w:val="0"/>
          <w:sz w:val="22"/>
          <w:szCs w:val="22"/>
          <w:highlight w:val="none"/>
          <w:lang w:val="en-IE"/>
        </w:rPr>
        <w:t xml:space="preserve">Primary Subject: </w:t>
      </w:r>
      <w:r>
        <w:rPr>
          <w:b w:val="0"/>
          <w:bCs w:val="0"/>
          <w:sz w:val="22"/>
          <w:szCs w:val="22"/>
          <w:highlight w:val="none"/>
          <w:lang w:val="en-IE"/>
        </w:rPr>
        <w:tab/>
        <w:tab/>
        <w:tab/>
        <w:tab/>
        <w:t xml:space="preserve">History</w:t>
      </w:r>
      <w:r>
        <w:rPr>
          <w:b w:val="0"/>
          <w:bCs w:val="0"/>
          <w:sz w:val="22"/>
          <w:szCs w:val="22"/>
          <w:highlight w:val="none"/>
          <w:lang w:val="en-IE" w:bidi="en-IE"/>
        </w:rPr>
      </w:r>
      <w:r>
        <w:rPr>
          <w:b w:val="0"/>
          <w:bCs w:val="0"/>
          <w:sz w:val="22"/>
          <w:szCs w:val="22"/>
          <w:highlight w:val="none"/>
          <w:lang w:val="en-IE"/>
        </w:rPr>
      </w:r>
    </w:p>
    <w:p w14:paraId="41154E9D">
      <w:pPr>
        <w:pBdr/>
        <w:spacing w:line="240" w:lineRule="auto"/>
        <w:ind/>
        <w:rPr>
          <w:b w:val="0"/>
          <w:bCs w:val="0"/>
          <w:sz w:val="22"/>
          <w:szCs w:val="22"/>
          <w:highlight w:val="none"/>
          <w:lang w:val="en-IE"/>
        </w:rPr>
      </w:pPr>
      <w:r>
        <w:rPr>
          <w:b w:val="0"/>
          <w:bCs w:val="0"/>
          <w:sz w:val="22"/>
          <w:szCs w:val="22"/>
          <w:highlight w:val="none"/>
          <w:lang w:val="en-IE"/>
        </w:rPr>
        <w:t xml:space="preserve">Secondary Subject:</w:t>
      </w:r>
      <w:r>
        <w:rPr>
          <w:b w:val="0"/>
          <w:bCs w:val="0"/>
          <w:sz w:val="22"/>
          <w:szCs w:val="22"/>
          <w:highlight w:val="none"/>
          <w:lang w:val="en-IE"/>
        </w:rPr>
        <w:t xml:space="preserve"> </w:t>
        <w:tab/>
        <w:tab/>
        <w:tab/>
        <w:tab/>
        <w:t xml:space="preserve">English</w:t>
      </w:r>
      <w:r>
        <w:rPr>
          <w:b w:val="0"/>
          <w:bCs w:val="0"/>
          <w:sz w:val="22"/>
          <w:szCs w:val="22"/>
          <w:highlight w:val="none"/>
          <w:lang w:val="en-IE" w:bidi="en-IE"/>
        </w:rPr>
      </w:r>
    </w:p>
    <w:p w14:paraId="43C1CDE6">
      <w:pPr>
        <w:pBdr/>
        <w:spacing w:line="240" w:lineRule="auto"/>
        <w:ind/>
        <w:rPr>
          <w:b w:val="0"/>
          <w:bCs w:val="0"/>
          <w:sz w:val="22"/>
          <w:szCs w:val="22"/>
          <w:highlight w:val="none"/>
          <w:lang w:val="en-IE"/>
        </w:rPr>
      </w:pPr>
      <w:r>
        <w:rPr>
          <w:b w:val="0"/>
          <w:bCs w:val="0"/>
          <w:sz w:val="22"/>
          <w:szCs w:val="22"/>
          <w:highlight w:val="none"/>
          <w:lang w:val="en-IE" w:bidi="en-IE"/>
        </w:rPr>
      </w:r>
      <w:r>
        <w:rPr>
          <w:b w:val="0"/>
          <w:bCs w:val="0"/>
          <w:sz w:val="22"/>
          <w:szCs w:val="22"/>
          <w:highlight w:val="none"/>
          <w:lang w:val="en-IE" w:bidi="en-IE"/>
        </w:rPr>
      </w:r>
      <w:r>
        <w:rPr>
          <w:b w:val="0"/>
          <w:bCs w:val="0"/>
          <w:sz w:val="22"/>
          <w:szCs w:val="22"/>
          <w:highlight w:val="none"/>
          <w:lang w:val="en-IE"/>
        </w:rPr>
      </w:r>
    </w:p>
    <w:p w14:paraId="14213B97">
      <w:pPr>
        <w:pBdr/>
        <w:spacing w:line="240" w:lineRule="auto"/>
        <w:ind/>
        <w:rPr>
          <w:b w:val="0"/>
          <w:bCs w:val="0"/>
          <w:sz w:val="22"/>
          <w:szCs w:val="22"/>
          <w:highlight w:val="none"/>
          <w:lang w:val="en-IE"/>
        </w:rPr>
      </w:pPr>
      <w:r>
        <w:rPr>
          <w:b w:val="0"/>
          <w:bCs w:val="0"/>
          <w:sz w:val="22"/>
          <w:szCs w:val="22"/>
          <w:highlight w:val="none"/>
          <w:lang w:val="en-IE"/>
        </w:rPr>
        <w:t xml:space="preserve">Supervisor: </w:t>
      </w:r>
      <w:r>
        <w:rPr>
          <w:b w:val="0"/>
          <w:bCs w:val="0"/>
          <w:sz w:val="22"/>
          <w:szCs w:val="22"/>
          <w:highlight w:val="none"/>
          <w:lang w:val="en-IE"/>
        </w:rPr>
        <w:tab/>
        <w:tab/>
        <w:tab/>
        <w:tab/>
        <w:tab/>
        <w:t xml:space="preserve">Dr. Pohl</w:t>
      </w:r>
      <w:r>
        <w:rPr>
          <w:b w:val="0"/>
          <w:bCs w:val="0"/>
          <w:sz w:val="22"/>
          <w:szCs w:val="22"/>
          <w:highlight w:val="none"/>
          <w:lang w:val="en-IE" w:bidi="en-IE"/>
        </w:rPr>
      </w:r>
      <w:r>
        <w:rPr>
          <w:b w:val="0"/>
          <w:bCs w:val="0"/>
          <w:sz w:val="22"/>
          <w:szCs w:val="22"/>
          <w:highlight w:val="none"/>
          <w:lang w:val="en-IE"/>
        </w:rPr>
      </w:r>
    </w:p>
    <w:p w14:paraId="32997070">
      <w:pPr>
        <w:pBdr/>
        <w:spacing w:line="240" w:lineRule="auto"/>
        <w:ind/>
        <w:rPr>
          <w:b w:val="0"/>
          <w:bCs w:val="0"/>
          <w:sz w:val="22"/>
          <w:szCs w:val="22"/>
          <w:highlight w:val="none"/>
          <w:lang w:val="en-IE"/>
        </w:rPr>
      </w:pPr>
      <w:r>
        <w:rPr>
          <w:b w:val="0"/>
          <w:bCs w:val="0"/>
          <w:sz w:val="22"/>
          <w:szCs w:val="22"/>
          <w:highlight w:val="none"/>
          <w:lang w:val="en-IE" w:bidi="de-DE"/>
        </w:rPr>
        <w:t xml:space="preserve">Submission Deadline:</w:t>
        <w:tab/>
        <w:tab/>
        <w:tab/>
      </w:r>
      <w:r>
        <w:rPr>
          <w:b w:val="0"/>
          <w:bCs w:val="0"/>
          <w:sz w:val="22"/>
          <w:szCs w:val="22"/>
          <w:highlight w:val="none"/>
          <w:lang w:val="en-IE" w:bidi="de-DE"/>
        </w:rPr>
        <w:t xml:space="preserve">12</w:t>
      </w:r>
      <w:r>
        <w:rPr>
          <w:b w:val="0"/>
          <w:bCs w:val="0"/>
          <w:sz w:val="22"/>
          <w:szCs w:val="22"/>
          <w:highlight w:val="none"/>
          <w:lang w:val="en-IE" w:bidi="de-DE"/>
        </w:rPr>
        <w:t xml:space="preserve"> </w:t>
      </w:r>
      <w:r>
        <w:rPr>
          <w:b w:val="0"/>
          <w:bCs w:val="0"/>
          <w:sz w:val="22"/>
          <w:szCs w:val="22"/>
          <w:highlight w:val="none"/>
          <w:lang w:val="en-IE" w:bidi="de-DE"/>
        </w:rPr>
        <w:t xml:space="preserve">March 2026</w:t>
      </w:r>
      <w:r>
        <w:rPr>
          <w:b w:val="0"/>
          <w:bCs w:val="0"/>
          <w:sz w:val="22"/>
          <w:szCs w:val="22"/>
          <w:highlight w:val="none"/>
          <w:lang w:val="en-IE" w:bidi="en-IE"/>
        </w:rPr>
      </w:r>
      <w:r>
        <w:rPr>
          <w:b w:val="0"/>
          <w:bCs w:val="0"/>
          <w:sz w:val="22"/>
          <w:szCs w:val="22"/>
          <w:highlight w:val="none"/>
          <w:lang w:val="en-IE"/>
        </w:rPr>
      </w:r>
    </w:p>
    <w:p w14:paraId="59208201">
      <w:pPr>
        <w:pBdr/>
        <w:spacing/>
        <w:ind/>
        <w:rPr>
          <w:lang w:val="en-IE"/>
        </w:rPr>
      </w:pPr>
      <w:r>
        <w:rPr>
          <w:lang w:val="en-IE"/>
        </w:rPr>
      </w:r>
      <w:r>
        <w:rPr>
          <w:lang w:val="en-IE"/>
        </w:rPr>
      </w:r>
    </w:p>
    <w:p w14:paraId="01982C76">
      <w:pPr>
        <w:pBdr/>
        <w:spacing/>
        <w:ind/>
        <w:rPr>
          <w:sz w:val="22"/>
          <w:szCs w:val="22"/>
          <w:highlight w:val="none"/>
          <w:lang w:val="en-IE"/>
        </w:rPr>
      </w:pPr>
      <w:r>
        <w:rPr>
          <w:sz w:val="28"/>
          <w:szCs w:val="28"/>
          <w:lang w:val="en-IE" w:bidi="en-IE"/>
        </w:rPr>
      </w:r>
      <w:r>
        <w:rPr>
          <w:sz w:val="28"/>
          <w:szCs w:val="28"/>
          <w:lang w:val="en-IE"/>
        </w:rPr>
        <w:t xml:space="preserve">Table of contents:</w:t>
      </w:r>
      <w:r>
        <w:rPr>
          <w:sz w:val="22"/>
          <w:szCs w:val="22"/>
          <w:lang w:val="en-IE" w:bidi="en-IE"/>
        </w:rPr>
      </w:r>
      <w:r>
        <w:rPr>
          <w:sz w:val="22"/>
          <w:szCs w:val="22"/>
          <w:highlight w:val="none"/>
          <w:lang w:val="en-IE"/>
        </w:rPr>
      </w:r>
    </w:p>
    <w:p w14:paraId="265E3EC0">
      <w:pPr>
        <w:pStyle w:val="668"/>
        <w:numPr>
          <w:ilvl w:val="0"/>
          <w:numId w:val="4"/>
        </w:numPr>
        <w:pBdr/>
        <w:spacing/>
        <w:ind/>
        <w:rPr>
          <w:sz w:val="22"/>
          <w:szCs w:val="22"/>
          <w:highlight w:val="none"/>
          <w:lang w:val="en-IE"/>
        </w:rPr>
      </w:pPr>
      <w:r>
        <w:rPr>
          <w:sz w:val="22"/>
          <w:szCs w:val="22"/>
          <w:highlight w:val="none"/>
          <w:lang w:val="en-IE"/>
        </w:rPr>
        <w:t xml:space="preserve">Introduction</w:t>
      </w:r>
      <w:r>
        <w:rPr>
          <w:sz w:val="22"/>
          <w:szCs w:val="22"/>
          <w:highlight w:val="none"/>
          <w:lang w:val="en-IE"/>
        </w:rPr>
      </w:r>
    </w:p>
    <w:p w14:paraId="67D01D89">
      <w:pPr>
        <w:pStyle w:val="668"/>
        <w:numPr>
          <w:ilvl w:val="1"/>
          <w:numId w:val="4"/>
        </w:numPr>
        <w:pBdr/>
        <w:spacing/>
        <w:ind/>
        <w:rPr>
          <w:sz w:val="22"/>
          <w:szCs w:val="22"/>
          <w:highlight w:val="none"/>
          <w:lang w:val="en-IE"/>
        </w:rPr>
      </w:pPr>
      <w:r>
        <w:rPr>
          <w:sz w:val="22"/>
          <w:szCs w:val="22"/>
          <w:highlight w:val="none"/>
          <w:lang w:val="en-IE"/>
        </w:rPr>
        <w:t xml:space="preserve">Defining the leading question</w:t>
      </w:r>
      <w:r>
        <w:rPr>
          <w:sz w:val="22"/>
          <w:szCs w:val="22"/>
          <w:highlight w:val="none"/>
          <w:lang w:val="en-IE"/>
        </w:rPr>
      </w:r>
    </w:p>
    <w:p w14:paraId="2D4CA196">
      <w:pPr>
        <w:pStyle w:val="668"/>
        <w:numPr>
          <w:ilvl w:val="1"/>
          <w:numId w:val="4"/>
        </w:numPr>
        <w:pBdr/>
        <w:spacing/>
        <w:ind/>
        <w:rPr>
          <w:sz w:val="22"/>
          <w:szCs w:val="22"/>
          <w:highlight w:val="none"/>
          <w:lang w:val="en-IE"/>
        </w:rPr>
      </w:pPr>
      <w:r>
        <w:rPr>
          <w:sz w:val="22"/>
          <w:szCs w:val="22"/>
          <w:highlight w:val="none"/>
          <w:lang w:val="en-IE"/>
        </w:rPr>
        <w:t xml:space="preserve">Particular focus and why</w:t>
      </w:r>
      <w:r>
        <w:rPr>
          <w:sz w:val="22"/>
          <w:szCs w:val="22"/>
          <w:highlight w:val="none"/>
          <w:lang w:val="en-IE"/>
        </w:rPr>
      </w:r>
    </w:p>
    <w:p w14:paraId="7FAF746A">
      <w:pPr>
        <w:pStyle w:val="668"/>
        <w:numPr>
          <w:ilvl w:val="0"/>
          <w:numId w:val="4"/>
        </w:numPr>
        <w:pBdr/>
        <w:spacing/>
        <w:ind/>
        <w:rPr>
          <w:sz w:val="22"/>
          <w:szCs w:val="22"/>
          <w:highlight w:val="none"/>
          <w:lang w:val="en-IE"/>
        </w:rPr>
      </w:pPr>
      <w:r>
        <w:rPr>
          <w:sz w:val="22"/>
          <w:szCs w:val="22"/>
          <w:highlight w:val="none"/>
          <w:lang w:val="en-IE"/>
        </w:rPr>
        <w:t xml:space="preserve">Background: The Troubles</w:t>
      </w:r>
      <w:r>
        <w:rPr>
          <w:sz w:val="22"/>
          <w:szCs w:val="22"/>
          <w:highlight w:val="none"/>
          <w:lang w:val="en-IE"/>
        </w:rPr>
      </w:r>
    </w:p>
    <w:p w14:paraId="1F21309B">
      <w:pPr>
        <w:pStyle w:val="668"/>
        <w:numPr>
          <w:ilvl w:val="1"/>
          <w:numId w:val="4"/>
        </w:numPr>
        <w:pBdr/>
        <w:spacing/>
        <w:ind/>
        <w:rPr>
          <w:sz w:val="22"/>
          <w:szCs w:val="22"/>
          <w:highlight w:val="none"/>
          <w:lang w:val="en-IE"/>
        </w:rPr>
      </w:pPr>
      <w:r>
        <w:rPr>
          <w:sz w:val="22"/>
          <w:szCs w:val="22"/>
          <w:highlight w:val="none"/>
          <w:lang w:val="en-IE"/>
        </w:rPr>
        <w:t xml:space="preserve">Structural causes of the Troubles</w:t>
      </w:r>
      <w:r>
        <w:rPr>
          <w:sz w:val="22"/>
          <w:szCs w:val="22"/>
          <w:highlight w:val="none"/>
          <w:lang w:val="en-IE"/>
        </w:rPr>
      </w:r>
    </w:p>
    <w:p w14:paraId="35CFCB43">
      <w:pPr>
        <w:pStyle w:val="668"/>
        <w:numPr>
          <w:ilvl w:val="1"/>
          <w:numId w:val="4"/>
        </w:numPr>
        <w:pBdr/>
        <w:spacing/>
        <w:ind/>
        <w:rPr>
          <w:sz w:val="22"/>
          <w:szCs w:val="22"/>
          <w:highlight w:val="none"/>
          <w:lang w:val="en-IE"/>
        </w:rPr>
      </w:pPr>
      <w:r>
        <w:rPr>
          <w:sz w:val="22"/>
          <w:szCs w:val="22"/>
          <w:highlight w:val="none"/>
          <w:lang w:val="en-IE"/>
        </w:rPr>
        <w:t xml:space="preserve">Main actors during the conflict</w:t>
      </w:r>
      <w:r>
        <w:rPr>
          <w:sz w:val="22"/>
          <w:szCs w:val="22"/>
          <w:highlight w:val="none"/>
          <w:lang w:val="en-IE"/>
        </w:rPr>
      </w:r>
    </w:p>
    <w:p w14:paraId="09313D27">
      <w:pPr>
        <w:pStyle w:val="668"/>
        <w:numPr>
          <w:ilvl w:val="0"/>
          <w:numId w:val="4"/>
        </w:numPr>
        <w:pBdr/>
        <w:spacing/>
        <w:ind/>
        <w:rPr>
          <w:sz w:val="22"/>
          <w:szCs w:val="22"/>
          <w:highlight w:val="none"/>
          <w:lang w:val="en-IE"/>
        </w:rPr>
      </w:pPr>
      <w:r>
        <w:rPr>
          <w:sz w:val="22"/>
          <w:szCs w:val="22"/>
          <w:highlight w:val="none"/>
          <w:lang w:val="en-IE"/>
        </w:rPr>
        <w:t xml:space="preserve">The Good Friday Agreement</w:t>
      </w:r>
      <w:r>
        <w:rPr>
          <w:sz w:val="22"/>
          <w:szCs w:val="22"/>
          <w:highlight w:val="none"/>
          <w:lang w:val="en-IE"/>
        </w:rPr>
      </w:r>
    </w:p>
    <w:p w14:paraId="180E39D5">
      <w:pPr>
        <w:pStyle w:val="668"/>
        <w:numPr>
          <w:ilvl w:val="1"/>
          <w:numId w:val="4"/>
        </w:numPr>
        <w:pBdr/>
        <w:spacing/>
        <w:ind/>
        <w:rPr>
          <w:sz w:val="22"/>
          <w:szCs w:val="22"/>
          <w:highlight w:val="none"/>
          <w:lang w:val="en-IE"/>
        </w:rPr>
      </w:pPr>
      <w:r>
        <w:rPr>
          <w:sz w:val="22"/>
          <w:szCs w:val="22"/>
          <w:highlight w:val="none"/>
          <w:lang w:val="en-IE"/>
        </w:rPr>
        <w:t xml:space="preserve">Core provisions</w:t>
      </w:r>
      <w:r>
        <w:rPr>
          <w:sz w:val="22"/>
          <w:szCs w:val="22"/>
          <w:highlight w:val="none"/>
          <w:lang w:val="en-IE" w:bidi="en-IE"/>
        </w:rPr>
      </w:r>
      <w:r>
        <w:rPr>
          <w:sz w:val="22"/>
          <w:szCs w:val="22"/>
          <w:highlight w:val="none"/>
          <w:lang w:val="en-IE"/>
        </w:rPr>
      </w:r>
    </w:p>
    <w:p w14:paraId="0B4805CB">
      <w:pPr>
        <w:pStyle w:val="668"/>
        <w:numPr>
          <w:ilvl w:val="1"/>
          <w:numId w:val="4"/>
        </w:numPr>
        <w:pBdr/>
        <w:spacing/>
        <w:ind/>
        <w:rPr>
          <w:sz w:val="22"/>
          <w:szCs w:val="22"/>
          <w:highlight w:val="none"/>
          <w:lang w:val="en-IE"/>
        </w:rPr>
      </w:pPr>
      <w:r>
        <w:rPr>
          <w:sz w:val="22"/>
          <w:szCs w:val="22"/>
          <w:highlight w:val="none"/>
          <w:lang w:val="en-IE"/>
        </w:rPr>
        <w:t xml:space="preserve">Influence of key actors on the contents of the agreement</w:t>
      </w:r>
      <w:r>
        <w:rPr>
          <w:sz w:val="22"/>
          <w:szCs w:val="22"/>
          <w:highlight w:val="none"/>
          <w:lang w:val="en-IE" w:bidi="en-IE"/>
        </w:rPr>
      </w:r>
      <w:r>
        <w:rPr>
          <w:sz w:val="22"/>
          <w:szCs w:val="22"/>
          <w:highlight w:val="none"/>
          <w:lang w:val="en-IE"/>
        </w:rPr>
      </w:r>
    </w:p>
    <w:p w14:paraId="5F4F9226">
      <w:pPr>
        <w:pStyle w:val="668"/>
        <w:numPr>
          <w:ilvl w:val="1"/>
          <w:numId w:val="4"/>
        </w:numPr>
        <w:pBdr/>
        <w:spacing/>
        <w:ind/>
        <w:rPr>
          <w:sz w:val="22"/>
          <w:szCs w:val="22"/>
          <w:highlight w:val="none"/>
          <w:lang w:val="en-IE"/>
        </w:rPr>
      </w:pPr>
      <w:r>
        <w:rPr>
          <w:sz w:val="22"/>
          <w:szCs w:val="22"/>
          <w:highlight w:val="none"/>
          <w:lang w:val="en-IE"/>
        </w:rPr>
        <w:t xml:space="preserve">Institutional reforms</w:t>
      </w:r>
      <w:r>
        <w:rPr>
          <w:sz w:val="22"/>
          <w:szCs w:val="22"/>
          <w:highlight w:val="none"/>
          <w:lang w:val="en-IE"/>
        </w:rPr>
      </w:r>
    </w:p>
    <w:p w14:paraId="7C8E3D68">
      <w:pPr>
        <w:pStyle w:val="668"/>
        <w:numPr>
          <w:ilvl w:val="2"/>
          <w:numId w:val="4"/>
        </w:numPr>
        <w:pBdr/>
        <w:spacing/>
        <w:ind/>
        <w:rPr>
          <w:sz w:val="22"/>
          <w:szCs w:val="22"/>
          <w:highlight w:val="none"/>
          <w:lang w:val="en-IE"/>
        </w:rPr>
      </w:pPr>
      <w:r>
        <w:rPr>
          <w:sz w:val="22"/>
          <w:szCs w:val="22"/>
          <w:highlight w:val="none"/>
          <w:lang w:val="en-IE"/>
        </w:rPr>
        <w:t xml:space="preserve">Adressal of leading causes of violence</w:t>
      </w:r>
      <w:r>
        <w:rPr>
          <w:sz w:val="22"/>
          <w:szCs w:val="22"/>
          <w:highlight w:val="none"/>
          <w:lang w:val="en-IE"/>
        </w:rPr>
      </w:r>
    </w:p>
    <w:p w14:paraId="0E12BB47">
      <w:pPr>
        <w:pStyle w:val="668"/>
        <w:numPr>
          <w:ilvl w:val="1"/>
          <w:numId w:val="4"/>
        </w:numPr>
        <w:pBdr/>
        <w:spacing/>
        <w:ind/>
        <w:rPr>
          <w:sz w:val="22"/>
          <w:szCs w:val="22"/>
          <w:highlight w:val="none"/>
          <w:lang w:val="en-IE"/>
        </w:rPr>
      </w:pPr>
      <w:r>
        <w:rPr>
          <w:sz w:val="22"/>
          <w:szCs w:val="22"/>
          <w:highlight w:val="none"/>
          <w:lang w:val="en-IE" w:bidi="en-IE"/>
        </w:rPr>
      </w:r>
      <w:r>
        <w:rPr>
          <w:sz w:val="22"/>
          <w:szCs w:val="22"/>
          <w:highlight w:val="none"/>
          <w:lang w:val="en-IE"/>
        </w:rPr>
        <w:t xml:space="preserve">()</w:t>
      </w:r>
      <w:r>
        <w:rPr>
          <w:sz w:val="22"/>
          <w:szCs w:val="22"/>
          <w:highlight w:val="none"/>
          <w:lang w:val="en-IE"/>
        </w:rPr>
      </w:r>
    </w:p>
    <w:p w14:paraId="07537AA2">
      <w:pPr>
        <w:pStyle w:val="668"/>
        <w:numPr>
          <w:ilvl w:val="1"/>
          <w:numId w:val="4"/>
        </w:numPr>
        <w:pBdr/>
        <w:spacing/>
        <w:ind/>
        <w:rPr>
          <w:sz w:val="22"/>
          <w:szCs w:val="22"/>
          <w:highlight w:val="none"/>
          <w:lang w:val="en-IE"/>
        </w:rPr>
      </w:pPr>
      <w:r>
        <w:rPr>
          <w:sz w:val="22"/>
          <w:szCs w:val="22"/>
          <w:highlight w:val="none"/>
          <w:lang w:val="en-IE"/>
        </w:rPr>
        <w:t xml:space="preserve">Reactions of key actors</w:t>
      </w:r>
      <w:r>
        <w:rPr>
          <w:sz w:val="22"/>
          <w:szCs w:val="22"/>
          <w:highlight w:val="none"/>
          <w:lang w:val="en-IE"/>
        </w:rPr>
      </w:r>
    </w:p>
    <w:p w14:paraId="76FEC1C1">
      <w:pPr>
        <w:pStyle w:val="668"/>
        <w:numPr>
          <w:ilvl w:val="0"/>
          <w:numId w:val="4"/>
        </w:numPr>
        <w:pBdr/>
        <w:spacing/>
        <w:ind/>
        <w:rPr>
          <w:sz w:val="22"/>
          <w:szCs w:val="22"/>
          <w:highlight w:val="none"/>
          <w:lang w:val="en-IE"/>
        </w:rPr>
      </w:pPr>
      <w:r>
        <w:rPr>
          <w:sz w:val="22"/>
          <w:szCs w:val="22"/>
          <w:highlight w:val="none"/>
          <w:lang w:val="en-IE" w:bidi="en-IE"/>
        </w:rPr>
      </w:r>
      <w:r>
        <w:rPr>
          <w:sz w:val="22"/>
          <w:szCs w:val="22"/>
          <w:highlight w:val="none"/>
          <w:lang w:val="en-IE"/>
        </w:rPr>
        <w:t xml:space="preserve">Political Instability after 1998</w:t>
      </w:r>
      <w:r>
        <w:rPr>
          <w:sz w:val="22"/>
          <w:szCs w:val="22"/>
          <w:highlight w:val="none"/>
          <w:lang w:val="en-IE"/>
        </w:rPr>
      </w:r>
    </w:p>
    <w:p w14:paraId="4F470465">
      <w:pPr>
        <w:pStyle w:val="668"/>
        <w:numPr>
          <w:ilvl w:val="1"/>
          <w:numId w:val="4"/>
        </w:numPr>
        <w:pBdr/>
        <w:spacing/>
        <w:ind/>
        <w:rPr>
          <w:sz w:val="22"/>
          <w:szCs w:val="22"/>
          <w:highlight w:val="none"/>
          <w:lang w:val="en-IE"/>
        </w:rPr>
      </w:pPr>
      <w:r>
        <w:rPr>
          <w:sz w:val="22"/>
          <w:szCs w:val="22"/>
          <w:highlight w:val="none"/>
          <w:lang w:val="en-IE"/>
        </w:rPr>
        <w:t xml:space="preserve">Periods of institutional crisis</w:t>
      </w:r>
      <w:r>
        <w:rPr>
          <w:sz w:val="22"/>
          <w:szCs w:val="22"/>
          <w:highlight w:val="none"/>
          <w:lang w:val="en-IE"/>
        </w:rPr>
      </w:r>
    </w:p>
    <w:p w14:paraId="032C118E">
      <w:pPr>
        <w:pStyle w:val="668"/>
        <w:numPr>
          <w:ilvl w:val="0"/>
          <w:numId w:val="4"/>
        </w:numPr>
        <w:pBdr/>
        <w:spacing/>
        <w:ind/>
        <w:rPr>
          <w:sz w:val="22"/>
          <w:szCs w:val="22"/>
          <w:highlight w:val="none"/>
          <w:lang w:val="en-IE"/>
        </w:rPr>
      </w:pPr>
      <w:r>
        <w:rPr>
          <w:sz w:val="22"/>
          <w:szCs w:val="22"/>
          <w:highlight w:val="none"/>
          <w:lang w:val="en-IE"/>
        </w:rPr>
        <w:t xml:space="preserve">Evaluation</w:t>
      </w:r>
      <w:r>
        <w:rPr>
          <w:sz w:val="22"/>
          <w:szCs w:val="22"/>
          <w:highlight w:val="none"/>
          <w:lang w:val="en-IE"/>
        </w:rPr>
      </w:r>
    </w:p>
    <w:p w14:paraId="342E42F0">
      <w:pPr>
        <w:pStyle w:val="668"/>
        <w:numPr>
          <w:ilvl w:val="1"/>
          <w:numId w:val="4"/>
        </w:numPr>
        <w:pBdr/>
        <w:spacing/>
        <w:ind/>
        <w:rPr>
          <w:sz w:val="22"/>
          <w:szCs w:val="22"/>
          <w:highlight w:val="none"/>
          <w:lang w:val="en-IE"/>
        </w:rPr>
      </w:pPr>
      <w:r>
        <w:rPr>
          <w:sz w:val="22"/>
          <w:szCs w:val="22"/>
          <w:highlight w:val="none"/>
          <w:lang w:val="en-IE"/>
        </w:rPr>
        <w:t xml:space="preserve">Weighing the achievements</w:t>
      </w:r>
      <w:r>
        <w:rPr>
          <w:sz w:val="22"/>
          <w:szCs w:val="22"/>
          <w:highlight w:val="none"/>
          <w:lang w:val="en-IE"/>
        </w:rPr>
      </w:r>
    </w:p>
    <w:p w14:paraId="34723F06">
      <w:pPr>
        <w:pStyle w:val="668"/>
        <w:numPr>
          <w:ilvl w:val="1"/>
          <w:numId w:val="4"/>
        </w:numPr>
        <w:pBdr/>
        <w:spacing/>
        <w:ind/>
        <w:rPr>
          <w:sz w:val="22"/>
          <w:szCs w:val="22"/>
          <w:highlight w:val="none"/>
          <w:lang w:val="en-IE"/>
        </w:rPr>
      </w:pPr>
      <w:r>
        <w:rPr>
          <w:sz w:val="22"/>
          <w:szCs w:val="22"/>
          <w:highlight w:val="none"/>
          <w:lang w:val="en-IE"/>
        </w:rPr>
        <w:t xml:space="preserve">Weighing the weakneses</w:t>
      </w:r>
      <w:r>
        <w:rPr>
          <w:sz w:val="22"/>
          <w:szCs w:val="22"/>
          <w:highlight w:val="none"/>
          <w:lang w:val="en-IE"/>
        </w:rPr>
      </w:r>
    </w:p>
    <w:p w14:paraId="4EA4099D">
      <w:pPr>
        <w:pStyle w:val="668"/>
        <w:numPr>
          <w:ilvl w:val="1"/>
          <w:numId w:val="4"/>
        </w:numPr>
        <w:pBdr/>
        <w:spacing/>
        <w:ind/>
        <w:rPr>
          <w:sz w:val="22"/>
          <w:szCs w:val="22"/>
          <w:highlight w:val="none"/>
          <w:lang w:val="en-IE"/>
        </w:rPr>
      </w:pPr>
      <w:r>
        <w:rPr>
          <w:sz w:val="22"/>
          <w:szCs w:val="22"/>
          <w:highlight w:val="none"/>
          <w:lang w:val="en-IE"/>
        </w:rPr>
        <w:t xml:space="preserve">Final judgement</w:t>
      </w:r>
      <w:r>
        <w:rPr>
          <w:sz w:val="22"/>
          <w:szCs w:val="22"/>
          <w:highlight w:val="none"/>
          <w:lang w:val="en-IE"/>
        </w:rPr>
      </w:r>
    </w:p>
    <w:p w14:paraId="15742AD4">
      <w:pPr>
        <w:pBdr/>
        <w:spacing/>
        <w:ind/>
        <w:rPr>
          <w:sz w:val="22"/>
          <w:szCs w:val="22"/>
          <w:highlight w:val="none"/>
          <w:lang w:val="en-IE"/>
        </w:rPr>
      </w:pPr>
      <w:r>
        <w:rPr>
          <w:sz w:val="22"/>
          <w:szCs w:val="22"/>
          <w:highlight w:val="none"/>
          <w:lang w:val="en-IE" w:bidi="en-IE"/>
        </w:rPr>
      </w:r>
      <w:r>
        <w:rPr>
          <w:sz w:val="22"/>
          <w:szCs w:val="22"/>
          <w:highlight w:val="none"/>
          <w:lang w:val="en-IE" w:bidi="en-IE"/>
        </w:rPr>
      </w:r>
      <w:r>
        <w:rPr>
          <w:sz w:val="22"/>
          <w:szCs w:val="22"/>
          <w:highlight w:val="none"/>
          <w:lang w:val="en-IE"/>
        </w:rPr>
      </w:r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6838" w:orient="portrait" w:w="11906"/>
      <w:pgMar w:top="1440" w:right="1440" w:bottom="1440" w:left="1440" w:header="504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F2EC8AB">
    <w:pPr>
      <w:pStyle w:val="178"/>
      <w:pBdr/>
      <w:spacing/>
      <w:ind/>
      <w:rPr>
        <w:highlight w:val="none"/>
        <w:lang w:val="de-DE"/>
      </w:rPr>
    </w:pPr>
    <w:r>
      <w:rPr>
        <w:lang w:val="de-DE"/>
      </w:rPr>
      <w:t xml:space="preserve">Alexander Heering &amp;</w:t>
    </w:r>
    <w:r>
      <w:rPr>
        <w:highlight w:val="none"/>
        <w:lang w:val="de-DE"/>
      </w:rPr>
    </w:r>
    <w:r>
      <w:rPr>
        <w:highlight w:val="none"/>
        <w:lang w:val="de-DE"/>
      </w:rPr>
    </w:r>
  </w:p>
  <w:p w14:paraId="5100B7F0">
    <w:pPr>
      <w:pStyle w:val="178"/>
      <w:pBdr/>
      <w:spacing/>
      <w:ind/>
      <w:rPr>
        <w:color w:val="000000" w:themeColor="text1"/>
        <w:highlight w:val="none"/>
      </w:rPr>
    </w:pPr>
    <w:r>
      <w:rPr>
        <w:highlight w:val="none"/>
        <w:lang w:val="de-DE" w:bidi="de-DE"/>
      </w:rPr>
      <w:t xml:space="preserve">Leander Kühnel</w:t>
      <w:tab/>
      <w:tab/>
    </w:r>
    <w:r>
      <w:rPr>
        <w:color w:val="000000" w:themeColor="text1"/>
        <w:highlight w:val="none"/>
        <w:lang w:val="de-DE" w:bidi="de-DE"/>
      </w:rPr>
      <w:t xml:space="preserve">1</w:t>
    </w:r>
    <w:r>
      <w:rPr>
        <w:color w:val="000000" w:themeColor="text1"/>
      </w:rPr>
    </w:r>
    <w:r>
      <w:rPr>
        <w:color w:val="000000" w:themeColor="text1"/>
        <w:highlight w:val="none"/>
        <w:lang w:val="de-DE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669E23C">
    <w:pPr>
      <w:pStyle w:val="178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8972788">
    <w:pPr>
      <w:pStyle w:val="176"/>
      <w:pBdr/>
      <w:spacing/>
      <w:ind/>
      <w:rPr>
        <w:highlight w:val="none"/>
        <w:lang w:val="de-DE"/>
      </w:rPr>
    </w:pPr>
    <w:r>
      <w:rPr>
        <w:lang w:val="de-DE"/>
      </w:rPr>
      <w:t xml:space="preserve">Lilienthal-Gymnasium</w:t>
      <w:tab/>
      <w:tab/>
      <w:t xml:space="preserve">Q4</w:t>
    </w:r>
    <w:r/>
  </w:p>
  <w:p w14:paraId="72F70BFE">
    <w:pPr>
      <w:pStyle w:val="176"/>
      <w:pBdr/>
      <w:spacing/>
      <w:ind/>
      <w:rPr>
        <w:highlight w:val="none"/>
        <w:lang w:val="de-DE"/>
      </w:rPr>
    </w:pPr>
    <w:r>
      <w:rPr>
        <w:highlight w:val="none"/>
        <w:lang w:val="de-DE"/>
      </w:rPr>
      <w:t xml:space="preserve">Berlin</w:t>
      <w:tab/>
      <w:tab/>
      <w:t xml:space="preserve">2025/2026</w:t>
    </w:r>
    <w:r>
      <w:rPr>
        <w:highlight w:val="none"/>
        <w:lang w:val="de-DE"/>
      </w:rPr>
    </w:r>
    <w:r>
      <w:rPr>
        <w:highlight w:val="none"/>
        <w:lang w:val="de-DE"/>
      </w:rPr>
    </w:r>
    <w:r>
      <w:rPr>
        <w:highlight w:val="none"/>
        <w:lang w:val="de-DE"/>
      </w:rPr>
    </w:r>
    <w:r>
      <w:rPr>
        <w:highlight w:val="none"/>
        <w:lang w:val="de-DE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070C829">
    <w:pPr>
      <w:pStyle w:val="176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AE3668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7ECCDB0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61C751AB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3">
    <w:nsid w:val="0188AC0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IE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ONLYOFFICE/9.3.0.140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2026-03-01T14:13:33Z</dcterms:modified>
</cp:coreProperties>
</file>