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6DE" w:rsidRPr="003816DE" w:rsidRDefault="003816DE" w:rsidP="003816DE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Fonts w:asciiTheme="minorHAnsi" w:hAnsiTheme="minorHAnsi" w:cs="Times"/>
          <w:b/>
          <w:color w:val="000000"/>
          <w:sz w:val="28"/>
          <w:szCs w:val="28"/>
        </w:rPr>
      </w:pPr>
      <w:r w:rsidRPr="003816DE">
        <w:rPr>
          <w:rFonts w:asciiTheme="minorHAnsi" w:hAnsiTheme="minorHAnsi" w:cs="Times"/>
          <w:b/>
          <w:color w:val="000000"/>
          <w:sz w:val="28"/>
          <w:szCs w:val="28"/>
        </w:rPr>
        <w:t>Salivary Lactate:</w:t>
      </w:r>
    </w:p>
    <w:p w:rsidR="003816DE" w:rsidRDefault="003816DE" w:rsidP="003816DE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Fonts w:ascii="Times" w:hAnsi="Times" w:cs="Times"/>
          <w:color w:val="000000"/>
          <w:sz w:val="26"/>
          <w:szCs w:val="26"/>
        </w:rPr>
      </w:pPr>
    </w:p>
    <w:p w:rsidR="003816DE" w:rsidRDefault="003816DE" w:rsidP="003816DE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Fonts w:ascii="Times" w:hAnsi="Times" w:cs="Times"/>
          <w:color w:val="000000"/>
          <w:sz w:val="26"/>
          <w:szCs w:val="26"/>
        </w:rPr>
      </w:pPr>
    </w:p>
    <w:p w:rsidR="003816DE" w:rsidRDefault="003816DE" w:rsidP="003816DE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Fonts w:asciiTheme="minorHAnsi" w:hAnsiTheme="minorHAnsi" w:cs="Times"/>
          <w:color w:val="000000"/>
          <w:sz w:val="22"/>
          <w:szCs w:val="22"/>
        </w:rPr>
      </w:pPr>
      <w:r w:rsidRPr="003816DE">
        <w:rPr>
          <w:rFonts w:asciiTheme="minorHAnsi" w:hAnsiTheme="minorHAnsi" w:cs="Times"/>
          <w:color w:val="000000"/>
          <w:sz w:val="22"/>
          <w:szCs w:val="22"/>
        </w:rPr>
        <w:t xml:space="preserve">At low oxygen levels cells are forced to </w:t>
      </w:r>
      <w:proofErr w:type="spellStart"/>
      <w:r w:rsidRPr="003816DE">
        <w:rPr>
          <w:rFonts w:asciiTheme="minorHAnsi" w:hAnsiTheme="minorHAnsi" w:cs="Times"/>
          <w:color w:val="000000"/>
          <w:sz w:val="22"/>
          <w:szCs w:val="22"/>
        </w:rPr>
        <w:t>metabolise</w:t>
      </w:r>
      <w:proofErr w:type="spellEnd"/>
      <w:r w:rsidRPr="003816DE">
        <w:rPr>
          <w:rFonts w:asciiTheme="minorHAnsi" w:hAnsiTheme="minorHAnsi" w:cs="Times"/>
          <w:color w:val="000000"/>
          <w:sz w:val="22"/>
          <w:szCs w:val="22"/>
        </w:rPr>
        <w:t xml:space="preserve"> glucose anaerobically leading to the production of lactic acid as a primary by-product. During elevated levels of lactic acid (hyperlactatemia) in blood a significant drop in the blood pH occurs. This physiological condition is known as </w:t>
      </w:r>
      <w:r w:rsidRPr="003816DE">
        <w:rPr>
          <w:rFonts w:asciiTheme="minorHAnsi" w:hAnsiTheme="minorHAnsi" w:cs="Times"/>
          <w:b/>
          <w:color w:val="000000"/>
          <w:sz w:val="22"/>
          <w:szCs w:val="22"/>
        </w:rPr>
        <w:t>lactic acidosis</w:t>
      </w:r>
      <w:r w:rsidRPr="003816DE">
        <w:rPr>
          <w:rFonts w:asciiTheme="minorHAnsi" w:hAnsiTheme="minorHAnsi" w:cs="Times"/>
          <w:color w:val="000000"/>
          <w:sz w:val="22"/>
          <w:szCs w:val="22"/>
        </w:rPr>
        <w:t xml:space="preserve">. Hence, it is important to monitor </w:t>
      </w:r>
      <w:r w:rsidRPr="003816DE">
        <w:rPr>
          <w:rFonts w:asciiTheme="minorHAnsi" w:hAnsiTheme="minorHAnsi" w:cs="Times"/>
          <w:b/>
          <w:color w:val="000000"/>
          <w:sz w:val="22"/>
          <w:szCs w:val="22"/>
        </w:rPr>
        <w:t>capillary blood lactate (CBL)</w:t>
      </w:r>
      <w:r w:rsidRPr="003816DE">
        <w:rPr>
          <w:rFonts w:asciiTheme="minorHAnsi" w:hAnsiTheme="minorHAnsi" w:cs="Times"/>
          <w:color w:val="000000"/>
          <w:sz w:val="22"/>
          <w:szCs w:val="22"/>
        </w:rPr>
        <w:t xml:space="preserve"> concentration, especially among patients in intensive care units and operating rooms as lactic acidosis can lead to muscle damage that may result in heart attack [</w:t>
      </w:r>
      <w:hyperlink r:id="rId4" w:anchor="B36" w:history="1">
        <w:r w:rsidRPr="003816DE">
          <w:rPr>
            <w:rStyle w:val="Hyperlink"/>
            <w:rFonts w:asciiTheme="minorHAnsi" w:hAnsiTheme="minorHAnsi" w:cs="Times"/>
            <w:color w:val="418B34"/>
            <w:sz w:val="22"/>
            <w:szCs w:val="22"/>
            <w:u w:val="none"/>
            <w:bdr w:val="none" w:sz="0" w:space="0" w:color="auto" w:frame="1"/>
          </w:rPr>
          <w:t>36</w:t>
        </w:r>
      </w:hyperlink>
      <w:r w:rsidRPr="003816DE">
        <w:rPr>
          <w:rFonts w:asciiTheme="minorHAnsi" w:hAnsiTheme="minorHAnsi" w:cs="Times"/>
          <w:color w:val="000000"/>
          <w:sz w:val="22"/>
          <w:szCs w:val="22"/>
        </w:rPr>
        <w:t xml:space="preserve">]. </w:t>
      </w:r>
    </w:p>
    <w:p w:rsidR="003816DE" w:rsidRDefault="003816DE" w:rsidP="003816DE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Fonts w:asciiTheme="minorHAnsi" w:hAnsiTheme="minorHAnsi" w:cs="Times"/>
          <w:color w:val="000000"/>
          <w:sz w:val="22"/>
          <w:szCs w:val="22"/>
        </w:rPr>
      </w:pPr>
    </w:p>
    <w:p w:rsidR="003816DE" w:rsidRPr="003816DE" w:rsidRDefault="003816DE" w:rsidP="003816DE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Fonts w:asciiTheme="minorHAnsi" w:hAnsiTheme="minorHAnsi" w:cs="Times"/>
          <w:color w:val="000000"/>
          <w:sz w:val="22"/>
          <w:szCs w:val="22"/>
        </w:rPr>
      </w:pPr>
      <w:r w:rsidRPr="003816DE">
        <w:rPr>
          <w:rFonts w:asciiTheme="minorHAnsi" w:hAnsiTheme="minorHAnsi" w:cs="Times"/>
          <w:color w:val="000000"/>
          <w:sz w:val="22"/>
          <w:szCs w:val="22"/>
        </w:rPr>
        <w:t>It is also essential to measure CBL levels among diabetics due to the close metabolic relationship between glucose and lactate [</w:t>
      </w:r>
      <w:hyperlink r:id="rId5" w:anchor="B36" w:history="1">
        <w:r w:rsidRPr="003816DE">
          <w:rPr>
            <w:rStyle w:val="Hyperlink"/>
            <w:rFonts w:asciiTheme="minorHAnsi" w:hAnsiTheme="minorHAnsi" w:cs="Times"/>
            <w:color w:val="418B34"/>
            <w:sz w:val="22"/>
            <w:szCs w:val="22"/>
            <w:u w:val="none"/>
            <w:bdr w:val="none" w:sz="0" w:space="0" w:color="auto" w:frame="1"/>
          </w:rPr>
          <w:t>36</w:t>
        </w:r>
      </w:hyperlink>
      <w:r w:rsidRPr="003816DE">
        <w:rPr>
          <w:rFonts w:asciiTheme="minorHAnsi" w:hAnsiTheme="minorHAnsi" w:cs="Times"/>
          <w:color w:val="000000"/>
          <w:sz w:val="22"/>
          <w:szCs w:val="22"/>
        </w:rPr>
        <w:t>,</w:t>
      </w:r>
      <w:r w:rsidRPr="003816DE">
        <w:rPr>
          <w:rStyle w:val="apple-converted-space"/>
          <w:rFonts w:asciiTheme="minorHAnsi" w:hAnsiTheme="minorHAnsi" w:cs="Times"/>
          <w:color w:val="000000"/>
          <w:sz w:val="22"/>
          <w:szCs w:val="22"/>
        </w:rPr>
        <w:t> </w:t>
      </w:r>
      <w:hyperlink r:id="rId6" w:anchor="B37" w:history="1">
        <w:r w:rsidRPr="003816DE">
          <w:rPr>
            <w:rStyle w:val="Hyperlink"/>
            <w:rFonts w:asciiTheme="minorHAnsi" w:hAnsiTheme="minorHAnsi" w:cs="Times"/>
            <w:color w:val="418B34"/>
            <w:sz w:val="22"/>
            <w:szCs w:val="22"/>
            <w:u w:val="none"/>
            <w:bdr w:val="none" w:sz="0" w:space="0" w:color="auto" w:frame="1"/>
          </w:rPr>
          <w:t>37</w:t>
        </w:r>
      </w:hyperlink>
      <w:r w:rsidRPr="003816DE">
        <w:rPr>
          <w:rFonts w:asciiTheme="minorHAnsi" w:hAnsiTheme="minorHAnsi" w:cs="Times"/>
          <w:color w:val="000000"/>
          <w:sz w:val="22"/>
          <w:szCs w:val="22"/>
        </w:rPr>
        <w:t xml:space="preserve">]. </w:t>
      </w:r>
      <w:r w:rsidRPr="003816DE">
        <w:rPr>
          <w:rFonts w:asciiTheme="minorHAnsi" w:hAnsiTheme="minorHAnsi" w:cs="Times"/>
          <w:b/>
          <w:color w:val="000000"/>
          <w:sz w:val="22"/>
          <w:szCs w:val="22"/>
        </w:rPr>
        <w:t xml:space="preserve">Besides that, analysis of CBL concentration is of high interest in sports medicine for athletes to tailor their training in order to </w:t>
      </w:r>
      <w:proofErr w:type="spellStart"/>
      <w:r w:rsidRPr="003816DE">
        <w:rPr>
          <w:rFonts w:asciiTheme="minorHAnsi" w:hAnsiTheme="minorHAnsi" w:cs="Times"/>
          <w:b/>
          <w:color w:val="000000"/>
          <w:sz w:val="22"/>
          <w:szCs w:val="22"/>
        </w:rPr>
        <w:t>optimise</w:t>
      </w:r>
      <w:proofErr w:type="spellEnd"/>
      <w:r w:rsidRPr="003816DE">
        <w:rPr>
          <w:rFonts w:asciiTheme="minorHAnsi" w:hAnsiTheme="minorHAnsi" w:cs="Times"/>
          <w:b/>
          <w:color w:val="000000"/>
          <w:sz w:val="22"/>
          <w:szCs w:val="22"/>
        </w:rPr>
        <w:t xml:space="preserve"> their performance</w:t>
      </w:r>
      <w:r w:rsidRPr="003816DE">
        <w:rPr>
          <w:rFonts w:asciiTheme="minorHAnsi" w:hAnsiTheme="minorHAnsi" w:cs="Times"/>
          <w:color w:val="000000"/>
          <w:sz w:val="22"/>
          <w:szCs w:val="22"/>
        </w:rPr>
        <w:t xml:space="preserve"> [</w:t>
      </w:r>
      <w:hyperlink r:id="rId7" w:anchor="B38" w:history="1">
        <w:r w:rsidRPr="003816DE">
          <w:rPr>
            <w:rStyle w:val="Hyperlink"/>
            <w:rFonts w:asciiTheme="minorHAnsi" w:hAnsiTheme="minorHAnsi" w:cs="Times"/>
            <w:color w:val="418B34"/>
            <w:sz w:val="22"/>
            <w:szCs w:val="22"/>
            <w:u w:val="none"/>
            <w:bdr w:val="none" w:sz="0" w:space="0" w:color="auto" w:frame="1"/>
          </w:rPr>
          <w:t>38</w:t>
        </w:r>
      </w:hyperlink>
      <w:r w:rsidRPr="003816DE">
        <w:rPr>
          <w:rFonts w:asciiTheme="minorHAnsi" w:hAnsiTheme="minorHAnsi" w:cs="Times"/>
          <w:color w:val="000000"/>
          <w:sz w:val="22"/>
          <w:szCs w:val="22"/>
        </w:rPr>
        <w:t>,</w:t>
      </w:r>
      <w:r w:rsidRPr="003816DE">
        <w:rPr>
          <w:rStyle w:val="apple-converted-space"/>
          <w:rFonts w:asciiTheme="minorHAnsi" w:hAnsiTheme="minorHAnsi" w:cs="Times"/>
          <w:color w:val="000000"/>
          <w:sz w:val="22"/>
          <w:szCs w:val="22"/>
        </w:rPr>
        <w:t> </w:t>
      </w:r>
      <w:hyperlink r:id="rId8" w:anchor="B39" w:history="1">
        <w:r w:rsidRPr="003816DE">
          <w:rPr>
            <w:rStyle w:val="Hyperlink"/>
            <w:rFonts w:asciiTheme="minorHAnsi" w:hAnsiTheme="minorHAnsi" w:cs="Times"/>
            <w:color w:val="418B34"/>
            <w:sz w:val="22"/>
            <w:szCs w:val="22"/>
            <w:u w:val="none"/>
            <w:bdr w:val="none" w:sz="0" w:space="0" w:color="auto" w:frame="1"/>
          </w:rPr>
          <w:t>39</w:t>
        </w:r>
      </w:hyperlink>
      <w:r w:rsidRPr="003816DE">
        <w:rPr>
          <w:rFonts w:asciiTheme="minorHAnsi" w:hAnsiTheme="minorHAnsi" w:cs="Times"/>
          <w:color w:val="000000"/>
          <w:sz w:val="22"/>
          <w:szCs w:val="22"/>
        </w:rPr>
        <w:t xml:space="preserve">]. For instance, it is important to determine the </w:t>
      </w:r>
      <w:r w:rsidRPr="003816DE">
        <w:rPr>
          <w:rFonts w:asciiTheme="minorHAnsi" w:hAnsiTheme="minorHAnsi" w:cs="Times"/>
          <w:b/>
          <w:color w:val="000000"/>
          <w:sz w:val="22"/>
          <w:szCs w:val="22"/>
        </w:rPr>
        <w:t>anaerobic threshold (AT) or maximum lactate steady state (MLSS)</w:t>
      </w:r>
      <w:r w:rsidRPr="003816DE">
        <w:rPr>
          <w:rFonts w:asciiTheme="minorHAnsi" w:hAnsiTheme="minorHAnsi" w:cs="Times"/>
          <w:color w:val="000000"/>
          <w:sz w:val="22"/>
          <w:szCs w:val="22"/>
        </w:rPr>
        <w:t xml:space="preserve"> from the lactate load curves during exercise, which is the maximum load when </w:t>
      </w:r>
      <w:r w:rsidRPr="003816DE">
        <w:rPr>
          <w:rFonts w:asciiTheme="minorHAnsi" w:hAnsiTheme="minorHAnsi" w:cs="Times"/>
          <w:b/>
          <w:color w:val="000000"/>
          <w:sz w:val="22"/>
          <w:szCs w:val="22"/>
        </w:rPr>
        <w:t>lactate production is in equilibrium with lactate elimination</w:t>
      </w:r>
      <w:r w:rsidRPr="003816DE">
        <w:rPr>
          <w:rFonts w:asciiTheme="minorHAnsi" w:hAnsiTheme="minorHAnsi" w:cs="Times"/>
          <w:color w:val="000000"/>
          <w:sz w:val="22"/>
          <w:szCs w:val="22"/>
        </w:rPr>
        <w:t>. Based on the AT, suitable exercise intensity can be precisely given to the athletes for different types of sports in order to produce optimal results [</w:t>
      </w:r>
      <w:hyperlink r:id="rId9" w:anchor="B38" w:history="1">
        <w:r w:rsidRPr="003816DE">
          <w:rPr>
            <w:rStyle w:val="Hyperlink"/>
            <w:rFonts w:asciiTheme="minorHAnsi" w:hAnsiTheme="minorHAnsi" w:cs="Times"/>
            <w:color w:val="418B34"/>
            <w:sz w:val="22"/>
            <w:szCs w:val="22"/>
            <w:u w:val="none"/>
            <w:bdr w:val="none" w:sz="0" w:space="0" w:color="auto" w:frame="1"/>
          </w:rPr>
          <w:t>38</w:t>
        </w:r>
      </w:hyperlink>
      <w:r w:rsidRPr="003816DE">
        <w:rPr>
          <w:rFonts w:asciiTheme="minorHAnsi" w:hAnsiTheme="minorHAnsi" w:cs="Times"/>
          <w:color w:val="000000"/>
          <w:sz w:val="22"/>
          <w:szCs w:val="22"/>
        </w:rPr>
        <w:t>].</w:t>
      </w:r>
    </w:p>
    <w:p w:rsidR="003816DE" w:rsidRPr="003816DE" w:rsidRDefault="003816DE" w:rsidP="003816DE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Fonts w:asciiTheme="minorHAnsi" w:hAnsiTheme="minorHAnsi" w:cs="Times"/>
          <w:color w:val="000000"/>
          <w:sz w:val="22"/>
          <w:szCs w:val="22"/>
        </w:rPr>
      </w:pPr>
    </w:p>
    <w:p w:rsidR="003816DE" w:rsidRDefault="003816DE" w:rsidP="003816DE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Fonts w:asciiTheme="minorHAnsi" w:hAnsiTheme="minorHAnsi" w:cs="Times"/>
          <w:color w:val="000000"/>
          <w:sz w:val="22"/>
          <w:szCs w:val="22"/>
        </w:rPr>
      </w:pPr>
      <w:r w:rsidRPr="003816DE">
        <w:rPr>
          <w:rFonts w:asciiTheme="minorHAnsi" w:hAnsiTheme="minorHAnsi" w:cs="Times"/>
          <w:color w:val="000000"/>
          <w:sz w:val="22"/>
          <w:szCs w:val="22"/>
        </w:rPr>
        <w:t>Lactate can also be detected in saliva due to the passive diffusion of lactate from blood and secretion from salivary glands [</w:t>
      </w:r>
      <w:hyperlink r:id="rId10" w:anchor="B40" w:history="1">
        <w:r w:rsidRPr="003816DE">
          <w:rPr>
            <w:rStyle w:val="Hyperlink"/>
            <w:rFonts w:asciiTheme="minorHAnsi" w:hAnsiTheme="minorHAnsi" w:cs="Times"/>
            <w:color w:val="418B34"/>
            <w:sz w:val="22"/>
            <w:szCs w:val="22"/>
            <w:u w:val="none"/>
            <w:bdr w:val="none" w:sz="0" w:space="0" w:color="auto" w:frame="1"/>
          </w:rPr>
          <w:t>40</w:t>
        </w:r>
      </w:hyperlink>
      <w:r w:rsidRPr="003816DE">
        <w:rPr>
          <w:rFonts w:asciiTheme="minorHAnsi" w:hAnsiTheme="minorHAnsi" w:cs="Times"/>
          <w:color w:val="000000"/>
          <w:sz w:val="22"/>
          <w:szCs w:val="22"/>
        </w:rPr>
        <w:t xml:space="preserve">]. </w:t>
      </w:r>
      <w:r w:rsidRPr="003816DE">
        <w:rPr>
          <w:rFonts w:asciiTheme="minorHAnsi" w:hAnsiTheme="minorHAnsi" w:cs="Times"/>
          <w:b/>
          <w:color w:val="000000"/>
          <w:sz w:val="22"/>
          <w:szCs w:val="22"/>
        </w:rPr>
        <w:t>The typical lactate concentration in saliva ranges from 0.1 to 2.5 </w:t>
      </w:r>
      <w:proofErr w:type="spellStart"/>
      <w:r w:rsidRPr="003816DE">
        <w:rPr>
          <w:rFonts w:asciiTheme="minorHAnsi" w:hAnsiTheme="minorHAnsi" w:cs="Times"/>
          <w:b/>
          <w:color w:val="000000"/>
          <w:sz w:val="22"/>
          <w:szCs w:val="22"/>
        </w:rPr>
        <w:t>mM</w:t>
      </w:r>
      <w:proofErr w:type="spellEnd"/>
      <w:r w:rsidRPr="003816DE">
        <w:rPr>
          <w:rFonts w:asciiTheme="minorHAnsi" w:hAnsiTheme="minorHAnsi" w:cs="Times"/>
          <w:color w:val="000000"/>
          <w:sz w:val="22"/>
          <w:szCs w:val="22"/>
        </w:rPr>
        <w:t xml:space="preserve"> [</w:t>
      </w:r>
      <w:hyperlink r:id="rId11" w:anchor="B38" w:history="1">
        <w:r w:rsidRPr="003816DE">
          <w:rPr>
            <w:rStyle w:val="Hyperlink"/>
            <w:rFonts w:asciiTheme="minorHAnsi" w:hAnsiTheme="minorHAnsi" w:cs="Times"/>
            <w:color w:val="418B34"/>
            <w:sz w:val="22"/>
            <w:szCs w:val="22"/>
            <w:u w:val="none"/>
            <w:bdr w:val="none" w:sz="0" w:space="0" w:color="auto" w:frame="1"/>
          </w:rPr>
          <w:t>38</w:t>
        </w:r>
      </w:hyperlink>
      <w:r w:rsidRPr="003816DE">
        <w:rPr>
          <w:rFonts w:asciiTheme="minorHAnsi" w:hAnsiTheme="minorHAnsi" w:cs="Times"/>
          <w:color w:val="000000"/>
          <w:sz w:val="22"/>
          <w:szCs w:val="22"/>
        </w:rPr>
        <w:t xml:space="preserve">]. Since SL has a high correlation to CBL concentration, typically a </w:t>
      </w:r>
      <w:proofErr w:type="gramStart"/>
      <w:r w:rsidRPr="003816DE">
        <w:rPr>
          <w:rFonts w:asciiTheme="minorHAnsi" w:hAnsiTheme="minorHAnsi" w:cs="Times"/>
          <w:color w:val="000000"/>
          <w:sz w:val="22"/>
          <w:szCs w:val="22"/>
        </w:rPr>
        <w:t>1 :</w:t>
      </w:r>
      <w:proofErr w:type="gramEnd"/>
      <w:r w:rsidRPr="003816DE">
        <w:rPr>
          <w:rFonts w:asciiTheme="minorHAnsi" w:hAnsiTheme="minorHAnsi" w:cs="Times"/>
          <w:color w:val="000000"/>
          <w:sz w:val="22"/>
          <w:szCs w:val="22"/>
        </w:rPr>
        <w:t> 4 saliva/blood ratio, SL is suitable for noninvasive CBL analysis [</w:t>
      </w:r>
      <w:hyperlink r:id="rId12" w:anchor="B41" w:history="1">
        <w:r w:rsidRPr="003816DE">
          <w:rPr>
            <w:rStyle w:val="Hyperlink"/>
            <w:rFonts w:asciiTheme="minorHAnsi" w:hAnsiTheme="minorHAnsi" w:cs="Times"/>
            <w:color w:val="418B34"/>
            <w:sz w:val="22"/>
            <w:szCs w:val="22"/>
            <w:u w:val="none"/>
            <w:bdr w:val="none" w:sz="0" w:space="0" w:color="auto" w:frame="1"/>
          </w:rPr>
          <w:t>41</w:t>
        </w:r>
      </w:hyperlink>
      <w:r w:rsidRPr="003816DE">
        <w:rPr>
          <w:rFonts w:asciiTheme="minorHAnsi" w:hAnsiTheme="minorHAnsi" w:cs="Times"/>
          <w:color w:val="000000"/>
          <w:sz w:val="22"/>
          <w:szCs w:val="22"/>
        </w:rPr>
        <w:t>], especially for critical-care patients, diabetics, and athletes</w:t>
      </w:r>
      <w:r w:rsidR="00D845EF">
        <w:rPr>
          <w:rFonts w:asciiTheme="minorHAnsi" w:hAnsiTheme="minorHAnsi" w:cs="Times"/>
          <w:color w:val="000000"/>
          <w:sz w:val="22"/>
          <w:szCs w:val="22"/>
        </w:rPr>
        <w:t>.</w:t>
      </w:r>
    </w:p>
    <w:p w:rsidR="00D845EF" w:rsidRDefault="00D845EF" w:rsidP="003816DE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Fonts w:asciiTheme="minorHAnsi" w:hAnsiTheme="minorHAnsi" w:cs="Times"/>
          <w:color w:val="000000"/>
          <w:sz w:val="22"/>
          <w:szCs w:val="22"/>
        </w:rPr>
      </w:pPr>
    </w:p>
    <w:p w:rsidR="00D845EF" w:rsidRDefault="00D845EF" w:rsidP="003816DE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Fonts w:asciiTheme="minorHAnsi" w:hAnsiTheme="minorHAnsi" w:cs="Times"/>
          <w:b/>
          <w:color w:val="000000"/>
          <w:sz w:val="32"/>
          <w:szCs w:val="32"/>
        </w:rPr>
      </w:pPr>
      <w:r w:rsidRPr="00D845EF">
        <w:rPr>
          <w:rFonts w:asciiTheme="minorHAnsi" w:hAnsiTheme="minorHAnsi" w:cs="Times"/>
          <w:b/>
          <w:color w:val="000000"/>
          <w:sz w:val="32"/>
          <w:szCs w:val="32"/>
        </w:rPr>
        <w:t xml:space="preserve">Devices used to </w:t>
      </w:r>
      <w:proofErr w:type="spellStart"/>
      <w:r w:rsidRPr="00D845EF">
        <w:rPr>
          <w:rFonts w:asciiTheme="minorHAnsi" w:hAnsiTheme="minorHAnsi" w:cs="Times"/>
          <w:b/>
          <w:color w:val="000000"/>
          <w:sz w:val="32"/>
          <w:szCs w:val="32"/>
        </w:rPr>
        <w:t>analyse</w:t>
      </w:r>
      <w:proofErr w:type="spellEnd"/>
      <w:r w:rsidRPr="00D845EF">
        <w:rPr>
          <w:rFonts w:asciiTheme="minorHAnsi" w:hAnsiTheme="minorHAnsi" w:cs="Times"/>
          <w:b/>
          <w:color w:val="000000"/>
          <w:sz w:val="32"/>
          <w:szCs w:val="32"/>
        </w:rPr>
        <w:t xml:space="preserve"> salivary lactate:</w:t>
      </w:r>
    </w:p>
    <w:p w:rsidR="00D845EF" w:rsidRDefault="00D845EF" w:rsidP="003816DE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Fonts w:asciiTheme="minorHAnsi" w:hAnsiTheme="minorHAnsi" w:cs="Times"/>
          <w:b/>
          <w:color w:val="000000"/>
          <w:sz w:val="32"/>
          <w:szCs w:val="32"/>
        </w:rPr>
      </w:pPr>
    </w:p>
    <w:p w:rsidR="00D845EF" w:rsidRPr="00D845EF" w:rsidRDefault="00D845EF" w:rsidP="00D845EF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Fonts w:ascii="Times" w:hAnsi="Times" w:cs="Times"/>
          <w:color w:val="000000"/>
        </w:rPr>
      </w:pPr>
      <w:r w:rsidRPr="00D845EF">
        <w:rPr>
          <w:rFonts w:ascii="Times" w:hAnsi="Times" w:cs="Times"/>
          <w:color w:val="000000"/>
        </w:rPr>
        <w:t xml:space="preserve">More recently, a </w:t>
      </w:r>
      <w:proofErr w:type="spellStart"/>
      <w:r w:rsidRPr="00D845EF">
        <w:rPr>
          <w:rFonts w:ascii="Times" w:hAnsi="Times" w:cs="Times"/>
          <w:b/>
          <w:color w:val="000000"/>
        </w:rPr>
        <w:t>mouthguard</w:t>
      </w:r>
      <w:proofErr w:type="spellEnd"/>
      <w:r w:rsidRPr="00D845EF">
        <w:rPr>
          <w:rFonts w:ascii="Times" w:hAnsi="Times" w:cs="Times"/>
          <w:b/>
          <w:color w:val="000000"/>
        </w:rPr>
        <w:t xml:space="preserve"> sensor</w:t>
      </w:r>
      <w:r w:rsidRPr="00D845EF">
        <w:rPr>
          <w:rFonts w:ascii="Times" w:hAnsi="Times" w:cs="Times"/>
          <w:color w:val="000000"/>
        </w:rPr>
        <w:t xml:space="preserve"> based on printable Prussian-blue (PB) transducer and poly-</w:t>
      </w:r>
      <w:proofErr w:type="spellStart"/>
      <w:r w:rsidRPr="00D845EF">
        <w:rPr>
          <w:rFonts w:ascii="Times" w:hAnsi="Times" w:cs="Times"/>
          <w:color w:val="000000"/>
        </w:rPr>
        <w:t>orthophenylenediamine</w:t>
      </w:r>
      <w:proofErr w:type="spellEnd"/>
      <w:r w:rsidRPr="00D845EF">
        <w:rPr>
          <w:rFonts w:ascii="Times" w:hAnsi="Times" w:cs="Times"/>
          <w:color w:val="000000"/>
        </w:rPr>
        <w:t xml:space="preserve"> (PPD)/</w:t>
      </w:r>
      <w:proofErr w:type="spellStart"/>
      <w:r w:rsidRPr="00D845EF">
        <w:rPr>
          <w:rFonts w:ascii="Times" w:hAnsi="Times" w:cs="Times"/>
          <w:color w:val="000000"/>
        </w:rPr>
        <w:t>LOx</w:t>
      </w:r>
      <w:proofErr w:type="spellEnd"/>
      <w:r w:rsidRPr="00D845EF">
        <w:rPr>
          <w:rFonts w:ascii="Times" w:hAnsi="Times" w:cs="Times"/>
          <w:color w:val="000000"/>
        </w:rPr>
        <w:t xml:space="preserve"> reagent layer was reported for continuous SL monitoring [</w:t>
      </w:r>
      <w:hyperlink r:id="rId13" w:anchor="B44" w:history="1">
        <w:r w:rsidRPr="00D845EF">
          <w:rPr>
            <w:rStyle w:val="Hyperlink"/>
            <w:rFonts w:ascii="inherit" w:hAnsi="inherit" w:cs="Times"/>
            <w:color w:val="418B34"/>
            <w:u w:val="none"/>
            <w:bdr w:val="none" w:sz="0" w:space="0" w:color="auto" w:frame="1"/>
          </w:rPr>
          <w:t>44</w:t>
        </w:r>
      </w:hyperlink>
      <w:r w:rsidRPr="00D845EF">
        <w:rPr>
          <w:rFonts w:ascii="Times" w:hAnsi="Times" w:cs="Times"/>
          <w:color w:val="000000"/>
        </w:rPr>
        <w:t>]. The extremely low detection potential for H</w:t>
      </w:r>
      <w:r w:rsidRPr="00D845EF">
        <w:rPr>
          <w:rFonts w:ascii="inherit" w:hAnsi="inherit" w:cs="Times"/>
          <w:color w:val="000000"/>
          <w:bdr w:val="none" w:sz="0" w:space="0" w:color="auto" w:frame="1"/>
          <w:vertAlign w:val="subscript"/>
        </w:rPr>
        <w:t>2</w:t>
      </w:r>
      <w:r w:rsidRPr="00D845EF">
        <w:rPr>
          <w:rFonts w:ascii="Times" w:hAnsi="Times" w:cs="Times"/>
          <w:color w:val="000000"/>
        </w:rPr>
        <w:t>O</w:t>
      </w:r>
      <w:r w:rsidRPr="00D845EF">
        <w:rPr>
          <w:rFonts w:ascii="inherit" w:hAnsi="inherit" w:cs="Times"/>
          <w:color w:val="000000"/>
          <w:bdr w:val="none" w:sz="0" w:space="0" w:color="auto" w:frame="1"/>
          <w:vertAlign w:val="subscript"/>
        </w:rPr>
        <w:t>2</w:t>
      </w:r>
      <w:r w:rsidRPr="00D845EF">
        <w:rPr>
          <w:rStyle w:val="apple-converted-space"/>
          <w:rFonts w:ascii="Times" w:hAnsi="Times" w:cs="Times"/>
          <w:color w:val="000000"/>
        </w:rPr>
        <w:t> </w:t>
      </w:r>
      <w:r w:rsidRPr="00D845EF">
        <w:rPr>
          <w:rFonts w:ascii="Times" w:hAnsi="Times" w:cs="Times"/>
          <w:color w:val="000000"/>
        </w:rPr>
        <w:t>(0.042 V versus Ag/</w:t>
      </w:r>
      <w:proofErr w:type="spellStart"/>
      <w:r w:rsidRPr="00D845EF">
        <w:rPr>
          <w:rFonts w:ascii="Times" w:hAnsi="Times" w:cs="Times"/>
          <w:color w:val="000000"/>
        </w:rPr>
        <w:t>AgCl</w:t>
      </w:r>
      <w:proofErr w:type="spellEnd"/>
      <w:r w:rsidRPr="00D845EF">
        <w:rPr>
          <w:rFonts w:ascii="Times" w:hAnsi="Times" w:cs="Times"/>
          <w:color w:val="000000"/>
        </w:rPr>
        <w:t xml:space="preserve">) provided by the PB layer and the </w:t>
      </w:r>
      <w:proofErr w:type="spellStart"/>
      <w:r w:rsidRPr="00D845EF">
        <w:rPr>
          <w:rFonts w:ascii="Times" w:hAnsi="Times" w:cs="Times"/>
          <w:color w:val="000000"/>
        </w:rPr>
        <w:t>permselective</w:t>
      </w:r>
      <w:proofErr w:type="spellEnd"/>
      <w:r w:rsidRPr="00D845EF">
        <w:rPr>
          <w:rFonts w:ascii="Times" w:hAnsi="Times" w:cs="Times"/>
          <w:color w:val="000000"/>
        </w:rPr>
        <w:t xml:space="preserve"> </w:t>
      </w:r>
      <w:proofErr w:type="spellStart"/>
      <w:r w:rsidRPr="00D845EF">
        <w:rPr>
          <w:rFonts w:ascii="Times" w:hAnsi="Times" w:cs="Times"/>
          <w:color w:val="000000"/>
        </w:rPr>
        <w:t>behaviour</w:t>
      </w:r>
      <w:proofErr w:type="spellEnd"/>
      <w:r w:rsidRPr="00D845EF">
        <w:rPr>
          <w:rFonts w:ascii="Times" w:hAnsi="Times" w:cs="Times"/>
          <w:color w:val="000000"/>
        </w:rPr>
        <w:t xml:space="preserve"> of the PPD layer </w:t>
      </w:r>
      <w:proofErr w:type="spellStart"/>
      <w:r w:rsidRPr="00D845EF">
        <w:rPr>
          <w:rFonts w:ascii="Times" w:hAnsi="Times" w:cs="Times"/>
          <w:color w:val="000000"/>
        </w:rPr>
        <w:t>minimised</w:t>
      </w:r>
      <w:proofErr w:type="spellEnd"/>
      <w:r w:rsidRPr="00D845EF">
        <w:rPr>
          <w:rFonts w:ascii="Times" w:hAnsi="Times" w:cs="Times"/>
          <w:color w:val="000000"/>
        </w:rPr>
        <w:t xml:space="preserve"> the effect of possible interferences that are commonly present in saliva matrix. The sensor displayed dynamic range for lactate determination from 0.1 to 1 </w:t>
      </w:r>
      <w:proofErr w:type="spellStart"/>
      <w:r w:rsidRPr="00D845EF">
        <w:rPr>
          <w:rFonts w:ascii="Times" w:hAnsi="Times" w:cs="Times"/>
          <w:color w:val="000000"/>
        </w:rPr>
        <w:t>mM</w:t>
      </w:r>
      <w:proofErr w:type="spellEnd"/>
      <w:r w:rsidRPr="00D845EF">
        <w:rPr>
          <w:rFonts w:ascii="Times" w:hAnsi="Times" w:cs="Times"/>
          <w:color w:val="000000"/>
        </w:rPr>
        <w:t xml:space="preserve"> with sensitivity of 0.553 </w:t>
      </w:r>
      <w:proofErr w:type="spellStart"/>
      <w:r w:rsidRPr="00D845EF">
        <w:rPr>
          <w:rFonts w:ascii="Minion W08 Italic" w:hAnsi="Minion W08 Italic" w:cs="Times"/>
          <w:color w:val="000000"/>
        </w:rPr>
        <w:t>μ</w:t>
      </w:r>
      <w:r w:rsidRPr="00D845EF">
        <w:rPr>
          <w:rFonts w:ascii="Times" w:hAnsi="Times" w:cs="Times"/>
          <w:color w:val="000000"/>
        </w:rPr>
        <w:t>A</w:t>
      </w:r>
      <w:proofErr w:type="spellEnd"/>
      <w:r w:rsidRPr="00D845EF">
        <w:rPr>
          <w:rFonts w:ascii="Times" w:hAnsi="Times" w:cs="Times"/>
          <w:color w:val="000000"/>
        </w:rPr>
        <w:t> mM</w:t>
      </w:r>
      <w:r w:rsidRPr="00D845EF">
        <w:rPr>
          <w:rFonts w:ascii="Times" w:hAnsi="Times" w:cs="Times"/>
          <w:color w:val="000000"/>
          <w:vertAlign w:val="superscript"/>
        </w:rPr>
        <w:t>−1</w:t>
      </w:r>
      <w:r w:rsidRPr="00D845EF">
        <w:rPr>
          <w:rStyle w:val="apple-converted-space"/>
          <w:rFonts w:ascii="Times" w:hAnsi="Times" w:cs="Times"/>
          <w:color w:val="000000"/>
        </w:rPr>
        <w:t> </w:t>
      </w:r>
      <w:r w:rsidRPr="00D845EF">
        <w:rPr>
          <w:rFonts w:ascii="Times" w:hAnsi="Times" w:cs="Times"/>
          <w:color w:val="000000"/>
        </w:rPr>
        <w:t>and DL of 50</w:t>
      </w:r>
      <w:r w:rsidRPr="00D845EF">
        <w:rPr>
          <w:rStyle w:val="apple-converted-space"/>
          <w:rFonts w:ascii="Times" w:hAnsi="Times" w:cs="Times"/>
          <w:color w:val="000000"/>
        </w:rPr>
        <w:t> </w:t>
      </w:r>
      <w:proofErr w:type="spellStart"/>
      <w:r w:rsidRPr="00D845EF">
        <w:rPr>
          <w:rFonts w:ascii="Minion W08 Italic" w:hAnsi="Minion W08 Italic" w:cs="Times"/>
          <w:color w:val="000000"/>
        </w:rPr>
        <w:t>μ</w:t>
      </w:r>
      <w:r w:rsidRPr="00D845EF">
        <w:rPr>
          <w:rFonts w:ascii="Times" w:hAnsi="Times" w:cs="Times"/>
          <w:color w:val="000000"/>
        </w:rPr>
        <w:t>M</w:t>
      </w:r>
      <w:proofErr w:type="spellEnd"/>
      <w:r w:rsidRPr="00D845EF">
        <w:rPr>
          <w:rFonts w:ascii="Times" w:hAnsi="Times" w:cs="Times"/>
          <w:color w:val="000000"/>
        </w:rPr>
        <w:t>. It also exhibited good stability for continuous SL measurement (2 h duration with repeated measurement every 10 min) due to the PPD layer that protected the sensor surface against coexisting fouling constituents. The device was proposed as a practical wearable sensor that could always be in contact with saliva for continuous noninvasive monitoring of lactate in real time.</w:t>
      </w:r>
    </w:p>
    <w:p w:rsidR="00D845EF" w:rsidRDefault="00D845EF" w:rsidP="00D845EF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Fonts w:ascii="Times" w:hAnsi="Times" w:cs="Times"/>
          <w:color w:val="000000"/>
        </w:rPr>
      </w:pPr>
    </w:p>
    <w:p w:rsidR="00D845EF" w:rsidRDefault="00D845EF" w:rsidP="00D845EF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Fonts w:ascii="Times" w:hAnsi="Times" w:cs="Times"/>
          <w:color w:val="000000"/>
        </w:rPr>
      </w:pPr>
      <w:bookmarkStart w:id="0" w:name="_GoBack"/>
      <w:bookmarkEnd w:id="0"/>
      <w:r w:rsidRPr="00D845EF">
        <w:rPr>
          <w:rFonts w:ascii="Times" w:hAnsi="Times" w:cs="Times"/>
          <w:color w:val="000000"/>
        </w:rPr>
        <w:t>Since the material and fabrication process employed in constructing the aforementioned SL sensors were relatively expensive, complicated, and inappropriate for applications in the developing world, our group [</w:t>
      </w:r>
      <w:hyperlink r:id="rId14" w:anchor="B45" w:history="1">
        <w:r w:rsidRPr="00D845EF">
          <w:rPr>
            <w:rStyle w:val="Hyperlink"/>
            <w:rFonts w:ascii="inherit" w:hAnsi="inherit" w:cs="Times"/>
            <w:color w:val="418B34"/>
            <w:u w:val="none"/>
            <w:bdr w:val="none" w:sz="0" w:space="0" w:color="auto" w:frame="1"/>
          </w:rPr>
          <w:t>45</w:t>
        </w:r>
      </w:hyperlink>
      <w:r w:rsidRPr="00D845EF">
        <w:rPr>
          <w:rFonts w:ascii="Times" w:hAnsi="Times" w:cs="Times"/>
          <w:color w:val="000000"/>
        </w:rPr>
        <w:t xml:space="preserve">] developed a cotton fabric-based electrochemical device (FED) based on carbon modified with PB (C-PB) electrodes and </w:t>
      </w:r>
      <w:proofErr w:type="spellStart"/>
      <w:r w:rsidRPr="00D845EF">
        <w:rPr>
          <w:rFonts w:ascii="Times" w:hAnsi="Times" w:cs="Times"/>
          <w:color w:val="000000"/>
        </w:rPr>
        <w:t>LOx</w:t>
      </w:r>
      <w:proofErr w:type="spellEnd"/>
      <w:r w:rsidRPr="00D845EF">
        <w:rPr>
          <w:rFonts w:ascii="Times" w:hAnsi="Times" w:cs="Times"/>
          <w:color w:val="000000"/>
        </w:rPr>
        <w:t xml:space="preserve"> enzyme for SL measurement. The device was fabricated using a simple template method for patterning the three-electrode configuration and wax patterning technique to create the sample placement/reaction area on the </w:t>
      </w:r>
      <w:r w:rsidRPr="00D845EF">
        <w:rPr>
          <w:rFonts w:ascii="Times" w:hAnsi="Times" w:cs="Times"/>
          <w:color w:val="000000"/>
        </w:rPr>
        <w:lastRenderedPageBreak/>
        <w:t>cotton fabric substrate. The FED exhibited a linear working range for lactate detection from 0.1 to 5 </w:t>
      </w:r>
      <w:proofErr w:type="spellStart"/>
      <w:r w:rsidRPr="00D845EF">
        <w:rPr>
          <w:rFonts w:ascii="Times" w:hAnsi="Times" w:cs="Times"/>
          <w:color w:val="000000"/>
        </w:rPr>
        <w:t>mM</w:t>
      </w:r>
      <w:proofErr w:type="spellEnd"/>
      <w:r w:rsidRPr="00D845EF">
        <w:rPr>
          <w:rFonts w:ascii="Times" w:hAnsi="Times" w:cs="Times"/>
          <w:color w:val="000000"/>
        </w:rPr>
        <w:t xml:space="preserve"> with sensitivity of 0.3169 </w:t>
      </w:r>
      <w:proofErr w:type="spellStart"/>
      <w:r w:rsidRPr="00D845EF">
        <w:rPr>
          <w:rFonts w:ascii="Minion W08 Italic" w:hAnsi="Minion W08 Italic" w:cs="Times"/>
          <w:color w:val="000000"/>
        </w:rPr>
        <w:t>μ</w:t>
      </w:r>
      <w:r w:rsidRPr="00D845EF">
        <w:rPr>
          <w:rFonts w:ascii="Times" w:hAnsi="Times" w:cs="Times"/>
          <w:color w:val="000000"/>
        </w:rPr>
        <w:t>A</w:t>
      </w:r>
      <w:proofErr w:type="spellEnd"/>
      <w:r w:rsidRPr="00D845EF">
        <w:rPr>
          <w:rFonts w:ascii="Times" w:hAnsi="Times" w:cs="Times"/>
          <w:color w:val="000000"/>
        </w:rPr>
        <w:t> mM</w:t>
      </w:r>
      <w:r w:rsidRPr="00D845EF">
        <w:rPr>
          <w:rFonts w:ascii="Times" w:hAnsi="Times" w:cs="Times"/>
          <w:color w:val="000000"/>
          <w:vertAlign w:val="superscript"/>
        </w:rPr>
        <w:t>−1</w:t>
      </w:r>
      <w:r w:rsidRPr="00D845EF">
        <w:rPr>
          <w:rStyle w:val="apple-converted-space"/>
          <w:rFonts w:ascii="Times" w:hAnsi="Times" w:cs="Times"/>
          <w:color w:val="000000"/>
        </w:rPr>
        <w:t> </w:t>
      </w:r>
      <w:r w:rsidRPr="00D845EF">
        <w:rPr>
          <w:rFonts w:ascii="Times" w:hAnsi="Times" w:cs="Times"/>
          <w:color w:val="000000"/>
        </w:rPr>
        <w:t>and DL of 0.3 </w:t>
      </w:r>
      <w:proofErr w:type="spellStart"/>
      <w:r w:rsidRPr="00D845EF">
        <w:rPr>
          <w:rFonts w:ascii="Times" w:hAnsi="Times" w:cs="Times"/>
          <w:color w:val="000000"/>
        </w:rPr>
        <w:t>mM.</w:t>
      </w:r>
      <w:proofErr w:type="spellEnd"/>
      <w:r w:rsidRPr="00D845EF">
        <w:rPr>
          <w:rFonts w:ascii="Times" w:hAnsi="Times" w:cs="Times"/>
          <w:color w:val="000000"/>
        </w:rPr>
        <w:t xml:space="preserve"> Since the fluid flow in the cotton fabric platform occurred via capillary forces, it was envisioned that the use of pipettes could be eliminated by incorporating a hydrophilic cotton thread or an extension of the cotton fabric to enable both sampling and analysis within a single device.</w:t>
      </w:r>
    </w:p>
    <w:p w:rsidR="00D845EF" w:rsidRPr="00D845EF" w:rsidRDefault="00D845EF" w:rsidP="00D845EF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Fonts w:ascii="Times" w:hAnsi="Times" w:cs="Times"/>
          <w:color w:val="000000"/>
        </w:rPr>
      </w:pPr>
    </w:p>
    <w:p w:rsidR="00D845EF" w:rsidRDefault="00D845EF" w:rsidP="00D845EF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Fonts w:ascii="Times" w:hAnsi="Times" w:cs="Times"/>
          <w:color w:val="000000"/>
        </w:rPr>
      </w:pPr>
      <w:r w:rsidRPr="00D845EF">
        <w:rPr>
          <w:rFonts w:ascii="Times" w:hAnsi="Times" w:cs="Times"/>
          <w:color w:val="000000"/>
        </w:rPr>
        <w:t>Since continuous assessment of lactate is essential for clinical applications and sports monitoring, two of such wearable sensor concepts [</w:t>
      </w:r>
      <w:hyperlink r:id="rId15" w:anchor="B38" w:history="1">
        <w:r w:rsidRPr="00D845EF">
          <w:rPr>
            <w:rStyle w:val="Hyperlink"/>
            <w:rFonts w:ascii="inherit" w:hAnsi="inherit" w:cs="Times"/>
            <w:color w:val="418B34"/>
            <w:u w:val="none"/>
            <w:bdr w:val="none" w:sz="0" w:space="0" w:color="auto" w:frame="1"/>
          </w:rPr>
          <w:t>38</w:t>
        </w:r>
      </w:hyperlink>
      <w:r w:rsidRPr="00D845EF">
        <w:rPr>
          <w:rFonts w:ascii="Times" w:hAnsi="Times" w:cs="Times"/>
          <w:color w:val="000000"/>
        </w:rPr>
        <w:t>,</w:t>
      </w:r>
      <w:r w:rsidRPr="00D845EF">
        <w:rPr>
          <w:rStyle w:val="apple-converted-space"/>
          <w:rFonts w:ascii="Times" w:hAnsi="Times" w:cs="Times"/>
          <w:color w:val="000000"/>
        </w:rPr>
        <w:t> </w:t>
      </w:r>
      <w:hyperlink r:id="rId16" w:anchor="B44" w:history="1">
        <w:r w:rsidRPr="00D845EF">
          <w:rPr>
            <w:rStyle w:val="Hyperlink"/>
            <w:rFonts w:ascii="inherit" w:hAnsi="inherit" w:cs="Times"/>
            <w:color w:val="418B34"/>
            <w:u w:val="none"/>
            <w:bdr w:val="none" w:sz="0" w:space="0" w:color="auto" w:frame="1"/>
          </w:rPr>
          <w:t>44</w:t>
        </w:r>
      </w:hyperlink>
      <w:r w:rsidRPr="00D845EF">
        <w:rPr>
          <w:rFonts w:ascii="Times" w:hAnsi="Times" w:cs="Times"/>
          <w:color w:val="000000"/>
        </w:rPr>
        <w:t xml:space="preserve">] based on saliva samples have been reported in the literature. </w:t>
      </w:r>
    </w:p>
    <w:p w:rsidR="00D845EF" w:rsidRDefault="00D845EF" w:rsidP="00D845EF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Fonts w:ascii="Times" w:hAnsi="Times" w:cs="Times"/>
          <w:color w:val="000000"/>
        </w:rPr>
      </w:pPr>
    </w:p>
    <w:p w:rsidR="00D845EF" w:rsidRPr="00D845EF" w:rsidRDefault="00D845EF" w:rsidP="00D845EF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Fonts w:ascii="Times" w:hAnsi="Times" w:cs="Times"/>
          <w:b/>
          <w:color w:val="000000"/>
        </w:rPr>
      </w:pPr>
      <w:r w:rsidRPr="00D845EF">
        <w:rPr>
          <w:rFonts w:ascii="Times" w:hAnsi="Times" w:cs="Times"/>
          <w:color w:val="000000"/>
        </w:rPr>
        <w:t xml:space="preserve">However, </w:t>
      </w:r>
      <w:r w:rsidRPr="00D845EF">
        <w:rPr>
          <w:rFonts w:ascii="Times" w:hAnsi="Times" w:cs="Times"/>
          <w:b/>
          <w:color w:val="000000"/>
        </w:rPr>
        <w:t>critical assessment of all potential toxicity and biocompatibility concerns should be addressed in order to allow it to be adapted as a safe and practical wearable sensor to be placed inside the mouth</w:t>
      </w:r>
      <w:r w:rsidRPr="00D845EF">
        <w:rPr>
          <w:rFonts w:ascii="Times" w:hAnsi="Times" w:cs="Times"/>
          <w:color w:val="000000"/>
        </w:rPr>
        <w:t xml:space="preserve"> [</w:t>
      </w:r>
      <w:hyperlink r:id="rId17" w:anchor="B44" w:history="1">
        <w:r w:rsidRPr="00D845EF">
          <w:rPr>
            <w:rStyle w:val="Hyperlink"/>
            <w:rFonts w:ascii="inherit" w:hAnsi="inherit" w:cs="Times"/>
            <w:color w:val="418B34"/>
            <w:u w:val="none"/>
            <w:bdr w:val="none" w:sz="0" w:space="0" w:color="auto" w:frame="1"/>
          </w:rPr>
          <w:t>44</w:t>
        </w:r>
      </w:hyperlink>
      <w:r w:rsidRPr="00D845EF">
        <w:rPr>
          <w:rFonts w:ascii="Times" w:hAnsi="Times" w:cs="Times"/>
          <w:color w:val="000000"/>
        </w:rPr>
        <w:t xml:space="preserve">]. In addition, </w:t>
      </w:r>
      <w:r w:rsidRPr="00D845EF">
        <w:rPr>
          <w:rFonts w:ascii="Times" w:hAnsi="Times" w:cs="Times"/>
          <w:b/>
          <w:color w:val="000000"/>
        </w:rPr>
        <w:t>the sensors should also be easily removable and washable to maintain good oral hygiene. In order to make it feasible for long-term continuous SL monitoring, it is also crucial for the sensors to exhibit high operational stability.</w:t>
      </w:r>
      <w:r w:rsidRPr="00D845EF">
        <w:rPr>
          <w:rFonts w:ascii="Times" w:hAnsi="Times" w:cs="Times"/>
          <w:color w:val="000000"/>
        </w:rPr>
        <w:t xml:space="preserve"> Finally, </w:t>
      </w:r>
      <w:r w:rsidRPr="00D845EF">
        <w:rPr>
          <w:rFonts w:ascii="Times" w:hAnsi="Times" w:cs="Times"/>
          <w:b/>
          <w:color w:val="000000"/>
        </w:rPr>
        <w:t xml:space="preserve">the sensors should be integrated with </w:t>
      </w:r>
      <w:proofErr w:type="spellStart"/>
      <w:r w:rsidRPr="00D845EF">
        <w:rPr>
          <w:rFonts w:ascii="Times" w:hAnsi="Times" w:cs="Times"/>
          <w:b/>
          <w:color w:val="000000"/>
        </w:rPr>
        <w:t>amperometric</w:t>
      </w:r>
      <w:proofErr w:type="spellEnd"/>
      <w:r w:rsidRPr="00D845EF">
        <w:rPr>
          <w:rFonts w:ascii="Times" w:hAnsi="Times" w:cs="Times"/>
          <w:b/>
          <w:color w:val="000000"/>
        </w:rPr>
        <w:t xml:space="preserve"> circuits and electronics for data acquisition, signal processing, and wireless transmission to provide real-time information of the wearer’s health status</w:t>
      </w:r>
    </w:p>
    <w:p w:rsidR="00D845EF" w:rsidRPr="00D845EF" w:rsidRDefault="00D845EF" w:rsidP="003816DE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Fonts w:asciiTheme="minorHAnsi" w:hAnsiTheme="minorHAnsi" w:cs="Times"/>
          <w:b/>
          <w:color w:val="000000"/>
        </w:rPr>
      </w:pPr>
    </w:p>
    <w:p w:rsidR="00D845EF" w:rsidRDefault="00D845EF" w:rsidP="003816DE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Fonts w:asciiTheme="minorHAnsi" w:hAnsiTheme="minorHAnsi" w:cs="Times"/>
          <w:color w:val="000000"/>
          <w:sz w:val="22"/>
          <w:szCs w:val="22"/>
        </w:rPr>
      </w:pPr>
    </w:p>
    <w:p w:rsidR="00D845EF" w:rsidRPr="003816DE" w:rsidRDefault="00D845EF" w:rsidP="003816DE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Fonts w:asciiTheme="minorHAnsi" w:hAnsiTheme="minorHAnsi" w:cs="Times"/>
          <w:color w:val="000000"/>
          <w:sz w:val="22"/>
          <w:szCs w:val="22"/>
        </w:rPr>
      </w:pPr>
    </w:p>
    <w:p w:rsidR="005833C6" w:rsidRDefault="00D845EF"/>
    <w:sectPr w:rsidR="00583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inion W08 Ital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6DE"/>
    <w:rsid w:val="001E71B0"/>
    <w:rsid w:val="003816DE"/>
    <w:rsid w:val="00D845EF"/>
    <w:rsid w:val="00FC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C93911-7852-4DD5-8947-CBD9C06C7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1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816D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816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7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indawi.com/journals/bmri/2014/962903/" TargetMode="External"/><Relationship Id="rId13" Type="http://schemas.openxmlformats.org/officeDocument/2006/relationships/hyperlink" Target="http://www.hindawi.com/journals/bmri/2014/962903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hindawi.com/journals/bmri/2014/962903/" TargetMode="External"/><Relationship Id="rId12" Type="http://schemas.openxmlformats.org/officeDocument/2006/relationships/hyperlink" Target="http://www.hindawi.com/journals/bmri/2014/962903/" TargetMode="External"/><Relationship Id="rId17" Type="http://schemas.openxmlformats.org/officeDocument/2006/relationships/hyperlink" Target="http://www.hindawi.com/journals/bmri/2014/962903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hindawi.com/journals/bmri/2014/962903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hindawi.com/journals/bmri/2014/962903/" TargetMode="External"/><Relationship Id="rId11" Type="http://schemas.openxmlformats.org/officeDocument/2006/relationships/hyperlink" Target="http://www.hindawi.com/journals/bmri/2014/962903/" TargetMode="External"/><Relationship Id="rId5" Type="http://schemas.openxmlformats.org/officeDocument/2006/relationships/hyperlink" Target="http://www.hindawi.com/journals/bmri/2014/962903/" TargetMode="External"/><Relationship Id="rId15" Type="http://schemas.openxmlformats.org/officeDocument/2006/relationships/hyperlink" Target="http://www.hindawi.com/journals/bmri/2014/962903/" TargetMode="External"/><Relationship Id="rId10" Type="http://schemas.openxmlformats.org/officeDocument/2006/relationships/hyperlink" Target="http://www.hindawi.com/journals/bmri/2014/962903/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www.hindawi.com/journals/bmri/2014/962903/" TargetMode="External"/><Relationship Id="rId9" Type="http://schemas.openxmlformats.org/officeDocument/2006/relationships/hyperlink" Target="http://www.hindawi.com/journals/bmri/2014/962903/" TargetMode="External"/><Relationship Id="rId14" Type="http://schemas.openxmlformats.org/officeDocument/2006/relationships/hyperlink" Target="http://www.hindawi.com/journals/bmri/2014/96290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835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Leandra Menezes</dc:creator>
  <cp:keywords/>
  <dc:description/>
  <cp:lastModifiedBy>Leandra Menezes</cp:lastModifiedBy>
  <cp:revision>1</cp:revision>
  <dcterms:created xsi:type="dcterms:W3CDTF">2015-10-27T16:31:00Z</dcterms:created>
  <dcterms:modified xsi:type="dcterms:W3CDTF">2015-10-27T16:57:00Z</dcterms:modified>
</cp:coreProperties>
</file>