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i w:val="false"/>
          <w:iCs w:val="false"/>
          <w:color w:val="39393B"/>
          <w:sz w:val="26"/>
          <w:szCs w:val="26"/>
        </w:rPr>
        <w:t xml:space="preserve">MARADEL</w:t>
      </w:r>
    </w:p>
    <w:p>
      <w:pPr>
        <w:spacing w:after="600"/>
        <w:jc w:val="center"/>
      </w:pPr>
      <w:r>
        <w:rPr>
          <w:b/>
          <w:bCs/>
          <w:i w:val="false"/>
          <w:iCs w:val="false"/>
          <w:color w:val="DB8438"/>
          <w:sz w:val="22"/>
          <w:szCs w:val="22"/>
        </w:rPr>
        <w:t xml:space="preserve">R E E M B O L S O S</w:t>
      </w:r>
    </w:p>
    <w:p>
      <w:pPr>
        <w:spacing w:after="120"/>
        <w:jc w:val="center"/>
      </w:pPr>
      <w:r>
        <w:rPr>
          <w:b/>
          <w:bCs/>
          <w:i w:val="false"/>
          <w:iCs w:val="false"/>
          <w:color w:val="39393B"/>
          <w:sz w:val="36"/>
          <w:szCs w:val="36"/>
        </w:rPr>
        <w:t xml:space="preserve">Detalhamento Técnico do Produto e Finalidade</w:t>
      </w:r>
    </w:p>
    <w:p>
      <w:pPr>
        <w:spacing w:after="80"/>
        <w:jc w:val="center"/>
      </w:pPr>
      <w:r>
        <w:rPr>
          <w:b w:val="false"/>
          <w:bCs w:val="false"/>
          <w:i/>
          <w:iCs/>
          <w:color w:val="5C5C5E"/>
          <w:sz w:val="22"/>
          <w:szCs w:val="22"/>
        </w:rPr>
        <w:t xml:space="preserve">Documento de referência para planejamento de melhorias, remanejamento de módulos e escalabilidade</w:t>
      </w:r>
    </w:p>
    <w:p>
      <w:pPr>
        <w:spacing w:after="900"/>
        <w:jc w:val="center"/>
      </w:pPr>
      <w:r>
        <w:rPr>
          <w:b w:val="false"/>
          <w:bCs w:val="false"/>
          <w:i/>
          <w:iCs/>
          <w:color w:val="5C5C5E"/>
          <w:sz w:val="20"/>
          <w:szCs w:val="20"/>
        </w:rPr>
        <w:t xml:space="preserve">Insumo para uso com Claude Code (briefing técnico) e consultoria de mercado</w:t>
      </w:r>
    </w:p>
    <w:p>
      <w:pPr>
        <w:spacing w:after="40"/>
        <w:jc w:val="center"/>
      </w:pPr>
      <w:r>
        <w:rPr>
          <w:b/>
          <w:bCs/>
          <w:i w:val="false"/>
          <w:iCs w:val="false"/>
          <w:color w:val="39393B"/>
          <w:sz w:val="22"/>
          <w:szCs w:val="22"/>
        </w:rPr>
        <w:t xml:space="preserve">Versão 1.0  ·  21/07/2026</w:t>
      </w:r>
    </w:p>
    <w:p>
      <w:pPr>
        <w:jc w:val="center"/>
      </w:pPr>
      <w:r>
        <w:rPr>
          <w:b w:val="false"/>
          <w:bCs w:val="false"/>
          <w:i w:val="false"/>
          <w:iCs w:val="false"/>
          <w:color w:val="5C5C5E"/>
          <w:sz w:val="20"/>
          <w:szCs w:val="20"/>
        </w:rPr>
        <w:t xml:space="preserve">Produto: aplicativo web (PWA) de gestão de reembolsos corporativos, multiempresa (SaaS)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39393B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39393B"/>
        </w:rPr>
        <w:t xml:space="preserve">1. Finalidade deste documento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D"/>
        </w:rPr>
        <w:t xml:space="preserve">Este documento descreve, de forma técnica e objetiva, o produto de reembolsos da Maradel: o que ele faz, para quem, como está construído e em que estágio se encontra. Ele foi escrito para servir de insumo a dois trabalhos distintos: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i w:val="false"/>
          <w:iCs w:val="false"/>
          <w:color w:val="2B2B2D"/>
        </w:rPr>
        <w:t xml:space="preserve">Planejamento técnico (Claude Code): </w:t>
      </w:r>
      <w:r>
        <w:rPr>
          <w:b w:val="false"/>
          <w:bCs w:val="false"/>
          <w:i w:val="false"/>
          <w:iCs w:val="false"/>
          <w:color w:val="2B2B2D"/>
        </w:rPr>
        <w:t xml:space="preserve">a partir deste detalhamento, planejar um briefing de melhorias de fluidez de uso e de remanejamento dos módulos, da maneira mais adequada tanto para o usuário final quanto para a empresa, nos dois níveis do negócio — contratante (cliente) e vendedor (provedor do SaaS).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i w:val="false"/>
          <w:iCs w:val="false"/>
          <w:color w:val="2B2B2D"/>
        </w:rPr>
        <w:t xml:space="preserve">Consultoria de mercado (assistente no navegador): </w:t>
      </w:r>
      <w:r>
        <w:rPr>
          <w:b w:val="false"/>
          <w:bCs w:val="false"/>
          <w:i w:val="false"/>
          <w:iCs w:val="false"/>
          <w:color w:val="2B2B2D"/>
        </w:rPr>
        <w:t xml:space="preserve">apoiar a pesquisa de mercado, entender as necessidades do público-alvo e transformar o aplicativo em um produto escalável.</w:t>
      </w:r>
    </w:p>
    <w:p>
      <w:pPr>
        <w:spacing w:after="120" w:line="276"/>
      </w:pPr>
      <w:r>
        <w:rPr>
          <w:b w:val="false"/>
          <w:bCs w:val="false"/>
          <w:i/>
          <w:iCs/>
          <w:color w:val="5C5C5E"/>
        </w:rPr>
        <w:t xml:space="preserve">Por isso o texto combina descrição técnica (arquitetura, dados, segurança) com contexto estratégico (níveis de usuário, estado atual e oportunidades). As seções finais trazem perguntas-guia para orientar cada um desses trabalhos.</w:t>
      </w:r>
    </w:p>
    <w:p>
      <w:pPr>
        <w:pStyle w:val="Heading1"/>
        <w:spacing w:after="120" w:before="280"/>
      </w:pPr>
      <w:r>
        <w:rPr>
          <w:b/>
          <w:bCs/>
          <w:color w:val="39393B"/>
        </w:rPr>
        <w:t xml:space="preserve">2. Visão geral do produto</w:t>
      </w:r>
    </w:p>
    <w:p>
      <w:pPr>
        <w:pStyle w:val="Heading2"/>
        <w:spacing w:after="90" w:before="200"/>
      </w:pPr>
      <w:r>
        <w:rPr>
          <w:b/>
          <w:bCs/>
          <w:color w:val="DB8438"/>
        </w:rPr>
        <w:t xml:space="preserve">2.1. O que é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D"/>
        </w:rPr>
        <w:t xml:space="preserve">Aplicativo web instalável (PWA) para gestão de reembolsos e pagamentos a colaboradores/diretores de uma empresa. O usuário fotografa o comprovante (nota, cupom, recibo, comprovante de maquininha), a Inteligência Artificial lê os dados (fornecedor, CNPJ, valor, data, categoria, parcelas) e pré-preenche o lançamento. O sistema controla o que há a pagar/receber, vencimentos, aprovações e o fechamento (baixa em lote) com anexo de comprovante de pagamento.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D"/>
        </w:rPr>
        <w:t xml:space="preserve">O produto nasceu de uso interno (Maradel Assessoria Contábil) e foi refundado como plataforma multiempresa (SaaS): a mesma base atende várias empresas com isolamento total de dados.</w:t>
      </w:r>
    </w:p>
    <w:p>
      <w:pPr>
        <w:pStyle w:val="Heading2"/>
        <w:spacing w:after="90" w:before="200"/>
      </w:pPr>
      <w:r>
        <w:rPr>
          <w:b/>
          <w:bCs/>
          <w:color w:val="DB8438"/>
        </w:rPr>
        <w:t xml:space="preserve">2.2. Problema que resolve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Reembolsos e adiantamentos controlados em planilhas/mensagens, sem rastreabilidade nem padrão.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Digitação manual de notas, sujeita a erro e lenta.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Falta de visão de "quanto há a pagar/receber", por pessoa, por categoria e por período.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Dificuldade de conciliar com o sistema contábil/ERP (ex.: Omie) e de comprovar pagamentos.</w:t>
      </w:r>
    </w:p>
    <w:p>
      <w:pPr>
        <w:pStyle w:val="Heading2"/>
        <w:spacing w:after="90" w:before="200"/>
      </w:pPr>
      <w:r>
        <w:rPr>
          <w:b/>
          <w:bCs/>
          <w:color w:val="DB8438"/>
        </w:rPr>
        <w:t xml:space="preserve">2.3. Proposta de valor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Lançamento em segundos pela foto, com IA — menos digitação e menos erro.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Visão gerencial clara (dashboard, indicadores, a receber por período futuro).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Fluxo de aprovação e fechamento com comprovante, pronto para a contabilidade.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Multiempresa com segurança por linha (cada empresa só vê o seu), pronto para escalar como SaaS.</w:t>
      </w:r>
    </w:p>
    <w:p>
      <w:pPr>
        <w:pStyle w:val="Heading1"/>
        <w:spacing w:after="120" w:before="280"/>
      </w:pPr>
      <w:r>
        <w:rPr>
          <w:b/>
          <w:bCs/>
          <w:color w:val="39393B"/>
        </w:rPr>
        <w:t xml:space="preserve">3. Modelo de negócio e níveis de usuário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D"/>
        </w:rPr>
        <w:t xml:space="preserve">O produto opera em dois níveis de negócio, que precisam ser considerados em qualquer decisão de produto: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i w:val="false"/>
          <w:iCs w:val="false"/>
          <w:color w:val="2B2B2D"/>
        </w:rPr>
        <w:t xml:space="preserve">Vendedor / Provedor do SaaS (dono): </w:t>
      </w:r>
      <w:r>
        <w:rPr>
          <w:b w:val="false"/>
          <w:bCs w:val="false"/>
          <w:i w:val="false"/>
          <w:iCs w:val="false"/>
          <w:color w:val="2B2B2D"/>
        </w:rPr>
        <w:t xml:space="preserve">a Maradel (Leandro). Cria as empresas clientes, define planos e cotas, acompanha o consumo e — futuramente — cobra a assinatura. Marcado no sistema como "is_owner"; enxerga todas as empresas.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i w:val="false"/>
          <w:iCs w:val="false"/>
          <w:color w:val="2B2B2D"/>
        </w:rPr>
        <w:t xml:space="preserve">Contratante (empresa cliente): </w:t>
      </w:r>
      <w:r>
        <w:rPr>
          <w:b w:val="false"/>
          <w:bCs w:val="false"/>
          <w:i w:val="false"/>
          <w:iCs w:val="false"/>
          <w:color w:val="2B2B2D"/>
        </w:rPr>
        <w:t xml:space="preserve">a empresa que usa o sistema para controlar seus reembolsos. Dentro dela existem papéis com níveis de acesso distintos.</w:t>
      </w:r>
    </w:p>
    <w:p>
      <w:pPr>
        <w:pStyle w:val="Heading2"/>
        <w:spacing w:after="90" w:before="200"/>
      </w:pPr>
      <w:r>
        <w:rPr>
          <w:b/>
          <w:bCs/>
          <w:color w:val="DB8438"/>
        </w:rPr>
        <w:t xml:space="preserve">3.1. Papéis e acesso</w:t>
      </w:r>
    </w:p>
    <w:tbl>
      <w:tblPr>
        <w:tblW w:type="dxa" w:w="9020"/>
        <w:tblBorders>
          <w:top w:val="single" w:color="DDDAD6" w:sz="2"/>
          <w:left w:val="single" w:color="DDDAD6" w:sz="2"/>
          <w:bottom w:val="single" w:color="DDDAD6" w:sz="2"/>
          <w:right w:val="single" w:color="DDDAD6" w:sz="2"/>
          <w:insideH w:val="single" w:color="EDEBE9" w:sz="2"/>
          <w:insideV w:val="single" w:color="EDEBE9" w:sz="2"/>
        </w:tblBorders>
      </w:tblPr>
      <w:tblGrid>
        <w:gridCol w:w="2100"/>
        <w:gridCol w:w="2620"/>
        <w:gridCol w:w="4300"/>
      </w:tblGrid>
      <w:tr>
        <w:trPr>
          <w:tblHeader/>
        </w:trPr>
        <w:tc>
          <w:tcPr>
            <w:tcW w:type="dxa" w:w="2100"/>
            <w:shd w:fill="393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2620"/>
            <w:shd w:fill="393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Quem é</w:t>
            </w:r>
          </w:p>
        </w:tc>
        <w:tc>
          <w:tcPr>
            <w:tcW w:type="dxa" w:w="4300"/>
            <w:shd w:fill="393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acessa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Dono do SaaS (is_owner)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Maradel / Leandro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Tudo, em todas as empresas. Onboarding de empresas, planos, consumo, integrações.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Gestor (admin)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Diretor/responsável da empresa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Toda a empresa: gestão, aprovação, cadastros, relatórios, administração.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Financeiro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Setor financeiro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Vê a empresa (leitura), dá baixa/fechamento, aprova.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Operador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Colaborador que lança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Os próprios lançamentos (lança, anexa, acompanha status).</w:t>
            </w:r>
          </w:p>
        </w:tc>
      </w:tr>
    </w:tbl>
    <w:p>
      <w:pPr>
        <w:spacing w:after="120" w:line="276"/>
      </w:pPr>
      <w:r>
        <w:rPr>
          <w:b w:val="false"/>
          <w:bCs w:val="false"/>
          <w:i/>
          <w:iCs/>
          <w:color w:val="5C5C5E"/>
        </w:rPr>
        <w:t xml:space="preserve">O isolamento é garantido no banco (Row Level Security por empresa) e não depende da interface — mesmo que a tela mude, o dado permanece protegido.</w:t>
      </w:r>
    </w:p>
    <w:p>
      <w:pPr>
        <w:pStyle w:val="Heading1"/>
        <w:spacing w:after="120" w:before="280"/>
      </w:pPr>
      <w:r>
        <w:rPr>
          <w:b/>
          <w:bCs/>
          <w:color w:val="39393B"/>
        </w:rPr>
        <w:t xml:space="preserve">4. Arquitetura técnica</w:t>
      </w:r>
    </w:p>
    <w:p>
      <w:pPr>
        <w:pStyle w:val="Heading2"/>
        <w:spacing w:after="90" w:before="200"/>
      </w:pPr>
      <w:r>
        <w:rPr>
          <w:b/>
          <w:bCs/>
          <w:color w:val="DB8438"/>
        </w:rPr>
        <w:t xml:space="preserve">4.1. Visão macro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D"/>
        </w:rPr>
        <w:t xml:space="preserve">Aplicação 100% web, sem framework de frontend (HTML/CSS/JavaScript puro), servida como site estático e apoiada em serviços gerenciados. Há dois front-ends que compartilham o mesmo backend e o mesmo login: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i w:val="false"/>
          <w:iCs w:val="false"/>
          <w:color w:val="2B2B2D"/>
        </w:rPr>
        <w:t xml:space="preserve">App Operacional (index.html): </w:t>
      </w:r>
      <w:r>
        <w:rPr>
          <w:b w:val="false"/>
          <w:bCs w:val="false"/>
          <w:i w:val="false"/>
          <w:iCs w:val="false"/>
          <w:color w:val="2B2B2D"/>
        </w:rPr>
        <w:t xml:space="preserve">mobile-first, para o uso do dia a dia — lançar, anexar, dar baixa, acompanhar. É um PWA instalável e funciona offline (service worker).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i w:val="false"/>
          <w:iCs w:val="false"/>
          <w:color w:val="2B2B2D"/>
        </w:rPr>
        <w:t xml:space="preserve">Console de Gestão (console.html): </w:t>
      </w:r>
      <w:r>
        <w:rPr>
          <w:b w:val="false"/>
          <w:bCs w:val="false"/>
          <w:i w:val="false"/>
          <w:iCs w:val="false"/>
          <w:color w:val="2B2B2D"/>
        </w:rPr>
        <w:t xml:space="preserve">desktop-first, para administração — empresas, usuários, cadastros, integrações, aprovação, consumo, auditoria e (em breve) relatórios. Acesso restrito a gestor/dono.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D"/>
        </w:rPr>
        <w:t xml:space="preserve">O fluxo, em resumo: Navegador (PWA) → Supabase (banco/auth/arquivos) e → Edge Functions (IA e integrações). A IA usa o Google Gemini; a integração de ERP usa a API do Omie. Hospedagem no GitHub Pages; publicação e migrações automatizadas por GitHub Actions.</w:t>
      </w:r>
    </w:p>
    <w:p>
      <w:pPr>
        <w:pStyle w:val="Heading2"/>
        <w:spacing w:after="90" w:before="200"/>
      </w:pPr>
      <w:r>
        <w:rPr>
          <w:b/>
          <w:bCs/>
          <w:color w:val="DB8438"/>
        </w:rPr>
        <w:t xml:space="preserve">4.2. Componentes e stack</w:t>
      </w:r>
    </w:p>
    <w:tbl>
      <w:tblPr>
        <w:tblW w:type="dxa" w:w="9020"/>
        <w:tblBorders>
          <w:top w:val="single" w:color="DDDAD6" w:sz="2"/>
          <w:left w:val="single" w:color="DDDAD6" w:sz="2"/>
          <w:bottom w:val="single" w:color="DDDAD6" w:sz="2"/>
          <w:right w:val="single" w:color="DDDAD6" w:sz="2"/>
          <w:insideH w:val="single" w:color="EDEBE9" w:sz="2"/>
          <w:insideV w:val="single" w:color="EDEBE9" w:sz="2"/>
        </w:tblBorders>
      </w:tblPr>
      <w:tblGrid>
        <w:gridCol w:w="1700"/>
        <w:gridCol w:w="2600"/>
        <w:gridCol w:w="4720"/>
      </w:tblGrid>
      <w:tr>
        <w:trPr>
          <w:tblHeader/>
        </w:trPr>
        <w:tc>
          <w:tcPr>
            <w:tcW w:type="dxa" w:w="1700"/>
            <w:shd w:fill="393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2600"/>
            <w:shd w:fill="393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4720"/>
            <w:shd w:fill="393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 no produto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Frontend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HTML/CSS/JS puro, PWA, Service Worker</w:t>
            </w:r>
          </w:p>
        </w:tc>
        <w:tc>
          <w:tcPr>
            <w:tcW w:type="dxa" w:w="4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App operacional e Console; instalável; cache offline.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Supabase Auth (e-mail/senha)</w:t>
            </w:r>
          </w:p>
        </w:tc>
        <w:tc>
          <w:tcPr>
            <w:tcW w:type="dxa" w:w="4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Login único para app e console; sessão do usuário.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Supabase Postgres + RLS</w:t>
            </w:r>
          </w:p>
        </w:tc>
        <w:tc>
          <w:tcPr>
            <w:tcW w:type="dxa" w:w="4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Dados multiempresa isolados por linha (empresa_id).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Arquivos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Supabase Storage (bucket privado)</w:t>
            </w:r>
          </w:p>
        </w:tc>
        <w:tc>
          <w:tcPr>
            <w:tcW w:type="dxa" w:w="4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Comprovantes de nota e de pagamento (URLs assinadas).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Funções servidor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Supabase Edge Functions (Deno/TypeScript)</w:t>
            </w:r>
          </w:p>
        </w:tc>
        <w:tc>
          <w:tcPr>
            <w:tcW w:type="dxa" w:w="4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Leitura por IA e integração com ERP; guardam segredos.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Inteligência Artificial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Google Gemini 2.5 Flash</w:t>
            </w:r>
          </w:p>
        </w:tc>
        <w:tc>
          <w:tcPr>
            <w:tcW w:type="dxa" w:w="4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Lê o comprovante e devolve JSON estruturado.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Integração ERP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API Omie (estrutura para outros)</w:t>
            </w:r>
          </w:p>
        </w:tc>
        <w:tc>
          <w:tcPr>
            <w:tcW w:type="dxa" w:w="4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Importa categorias do plano de contas do cliente.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Hospedagem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GitHub Pages</w:t>
            </w:r>
          </w:p>
        </w:tc>
        <w:tc>
          <w:tcPr>
            <w:tcW w:type="dxa" w:w="4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Servir o site estático (app + console).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CI/CD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4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Aplicar migrações SQL, publicar funções, criar usuários.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Relatórios/Export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jsPDF, SheetJS (XLSX), PDF.js</w:t>
            </w:r>
          </w:p>
        </w:tc>
        <w:tc>
          <w:tcPr>
            <w:tcW w:type="dxa" w:w="4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PDF do balancete, exportação e conversão de comprovantes.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39393B"/>
        </w:rPr>
        <w:t xml:space="preserve">5. Modelo de dados (multiempresa)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D"/>
        </w:rPr>
        <w:t xml:space="preserve">Banco relacional (Postgres) com Row Level Security (RLS) por empresa. Funções auxiliares no banco (empresas_do_usuario, usuario_e_owner, meu_papel, minha_empresa) decidem o acesso de cada linha. Gatilhos preenchem automaticamente empresa_id, numeração sequencial por empresa (#0001…) e auditoria. As alterações do banco são versionadas em migrações SQL idempotentes.</w:t>
      </w:r>
    </w:p>
    <w:p>
      <w:pPr>
        <w:pStyle w:val="Heading2"/>
        <w:spacing w:after="90" w:before="200"/>
      </w:pPr>
      <w:r>
        <w:rPr>
          <w:b/>
          <w:bCs/>
          <w:color w:val="DB8438"/>
        </w:rPr>
        <w:t xml:space="preserve">5.1. Principais tabelas</w:t>
      </w:r>
    </w:p>
    <w:tbl>
      <w:tblPr>
        <w:tblW w:type="dxa" w:w="9020"/>
        <w:tblBorders>
          <w:top w:val="single" w:color="DDDAD6" w:sz="2"/>
          <w:left w:val="single" w:color="DDDAD6" w:sz="2"/>
          <w:bottom w:val="single" w:color="DDDAD6" w:sz="2"/>
          <w:right w:val="single" w:color="DDDAD6" w:sz="2"/>
          <w:insideH w:val="single" w:color="EDEBE9" w:sz="2"/>
          <w:insideV w:val="single" w:color="EDEBE9" w:sz="2"/>
        </w:tblBorders>
      </w:tblPr>
      <w:tblGrid>
        <w:gridCol w:w="2500"/>
        <w:gridCol w:w="6520"/>
      </w:tblGrid>
      <w:tr>
        <w:trPr>
          <w:tblHeader/>
        </w:trPr>
        <w:tc>
          <w:tcPr>
            <w:tcW w:type="dxa" w:w="2500"/>
            <w:shd w:fill="393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6520"/>
            <w:shd w:fill="393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planos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Planos do SaaS (cota de leituras de IA por mês, etc.).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empresas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As empresas clientes (razão, fantasia, plano, exige_aprovacao).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usuarios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Espelho dos usuários (nome, e-mail, is_owner do SaaS).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empresa_usuarios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Vínculo usuário↔empresa com papel (operador/financeiro/gestor) e setor.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setores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Setores/centros de custo da empresa (com código externo do ERP).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categorias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Categorias de despesa (tipo de cálculo valor/km; código externo do ERP).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contadores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Numeração sequencial de lançamentos por empresa.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lancamentos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Coração do sistema: cada reembolso/pagamento (valor, datas, status, aprovação, IA).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fornecedores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Fornecedores/estabelecimentos (CNPJ/CPF, contato, cidade).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parcelas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Estrutura para compras parceladas (evolução do modelo atual por linha).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comprovantes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Metadados e hash dos comprovantes anexados (dedup por hash).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politicas_limite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Limites que geram alerta (nunca bloqueiam) por lançamento ou mês.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alertas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Alertas em aberto (duplicata, fora da política).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uso_ia / consumo_mensal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Metering: registro de cada leitura por IA e consumo mensal vs cota.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eventos_auditoria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Trilha de auditoria dos lançamentos (criar/editar/pagar/estornar/excluir).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eventos_seguranca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Quarentena de segurança da IA (tentativas de injeção).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integracoes_erp</w:t>
            </w:r>
          </w:p>
        </w:tc>
        <w:tc>
          <w:tcPr>
            <w:tcW w:type="dxa" w:w="6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Credenciais e estado da integração com o ERP (ex.: Omie), por empresa.</w:t>
            </w:r>
          </w:p>
        </w:tc>
      </w:tr>
    </w:tbl>
    <w:p>
      <w:pPr>
        <w:spacing w:after="120" w:line="276"/>
      </w:pPr>
      <w:r>
        <w:rPr>
          <w:b w:val="false"/>
          <w:bCs w:val="false"/>
          <w:i/>
          <w:iCs/>
          <w:color w:val="5C5C5E"/>
        </w:rPr>
        <w:t xml:space="preserve">Migrações aplicadas até aqui: 0000 (backup), 0001 (fundação multiempresa), 0002 (metering e segurança), 0003 (auditoria), 0004 (aprovação e onboarding), 0005 (código externo em categorias/setores), 0006 (integrações de ERP).</w:t>
      </w:r>
    </w:p>
    <w:p>
      <w:pPr>
        <w:pStyle w:val="Heading1"/>
        <w:spacing w:after="120" w:before="280"/>
      </w:pPr>
      <w:r>
        <w:rPr>
          <w:b/>
          <w:bCs/>
          <w:color w:val="39393B"/>
        </w:rPr>
        <w:t xml:space="preserve">6. Módulos e funcionalidades</w:t>
      </w:r>
    </w:p>
    <w:p>
      <w:pPr>
        <w:pStyle w:val="Heading2"/>
        <w:spacing w:after="90" w:before="200"/>
      </w:pPr>
      <w:r>
        <w:rPr>
          <w:b/>
          <w:bCs/>
          <w:color w:val="DB8438"/>
        </w:rPr>
        <w:t xml:space="preserve">6.1. App Operacional (celular)</w:t>
      </w:r>
    </w:p>
    <w:tbl>
      <w:tblPr>
        <w:tblW w:type="dxa" w:w="9020"/>
        <w:tblBorders>
          <w:top w:val="single" w:color="DDDAD6" w:sz="2"/>
          <w:left w:val="single" w:color="DDDAD6" w:sz="2"/>
          <w:bottom w:val="single" w:color="DDDAD6" w:sz="2"/>
          <w:right w:val="single" w:color="DDDAD6" w:sz="2"/>
          <w:insideH w:val="single" w:color="EDEBE9" w:sz="2"/>
          <w:insideV w:val="single" w:color="EDEBE9" w:sz="2"/>
        </w:tblBorders>
      </w:tblPr>
      <w:tblGrid>
        <w:gridCol w:w="1900"/>
        <w:gridCol w:w="5300"/>
        <w:gridCol w:w="1820"/>
      </w:tblGrid>
      <w:tr>
        <w:trPr>
          <w:tblHeader/>
        </w:trPr>
        <w:tc>
          <w:tcPr>
            <w:tcW w:type="dxa" w:w="1900"/>
            <w:shd w:fill="393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5300"/>
            <w:shd w:fill="393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1820"/>
            <w:shd w:fill="393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Quem usa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Dashboard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Indicadores: próximo vencimento, a receber, em atraso, recebido no mês; a receber por categoria/mês; top fornecedores; por pessoa.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Todos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Novo lançamento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Foto → IA lê e pré-preenche; detecta parcelado; quilometragem por taxa; anexa comprovante.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Operador+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Lançamentos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Lista com filtros por período (inclui períodos futuros) e por pessoa; ações (editar, baixar, estornar).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Todos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Fornecedores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Cadastro de fornecedores (CNPJ/CPF com máscara, telefone, e-mail, cidade).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Gestor/Financeiro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Fechamento do mês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Baixa em lote dos pagamentos do mês, com anexo de comprovante único.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Financeiro/Gestor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Ajustes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Dados de PIX, troca de senha, escopo de visualização (meus/todos).</w:t>
            </w:r>
          </w:p>
        </w:tc>
        <w:tc>
          <w:tcPr>
            <w:tcW w:type="dxa" w:w="1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Todos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DB8438"/>
        </w:rPr>
        <w:t xml:space="preserve">6.2. Console de Gestão (computador)</w:t>
      </w:r>
    </w:p>
    <w:tbl>
      <w:tblPr>
        <w:tblW w:type="dxa" w:w="9020"/>
        <w:tblBorders>
          <w:top w:val="single" w:color="DDDAD6" w:sz="2"/>
          <w:left w:val="single" w:color="DDDAD6" w:sz="2"/>
          <w:bottom w:val="single" w:color="DDDAD6" w:sz="2"/>
          <w:right w:val="single" w:color="DDDAD6" w:sz="2"/>
          <w:insideH w:val="single" w:color="EDEBE9" w:sz="2"/>
          <w:insideV w:val="single" w:color="EDEBE9" w:sz="2"/>
        </w:tblBorders>
      </w:tblPr>
      <w:tblGrid>
        <w:gridCol w:w="2400"/>
        <w:gridCol w:w="6620"/>
      </w:tblGrid>
      <w:tr>
        <w:trPr>
          <w:tblHeader/>
        </w:trPr>
        <w:tc>
          <w:tcPr>
            <w:tcW w:type="dxa" w:w="2400"/>
            <w:shd w:fill="393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620"/>
            <w:shd w:fill="393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Empresas</w:t>
            </w:r>
          </w:p>
        </w:tc>
        <w:tc>
          <w:tcPr>
            <w:tcW w:type="dxa" w:w="6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Dono cria empresas (com plano, categorias e setor padrão) e vincula usuários com papel.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Usuários e papéis</w:t>
            </w:r>
          </w:p>
        </w:tc>
        <w:tc>
          <w:tcPr>
            <w:tcW w:type="dxa" w:w="6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Lista os vínculos da empresa e altera o papel de cada usuário.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Categorias e setores</w:t>
            </w:r>
          </w:p>
        </w:tc>
        <w:tc>
          <w:tcPr>
            <w:tcW w:type="dxa" w:w="6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Cadastro, renomear e ligar/desligar; código do ERP como selo.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Integrações (ERP)</w:t>
            </w:r>
          </w:p>
        </w:tc>
        <w:tc>
          <w:tcPr>
            <w:tcW w:type="dxa" w:w="6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Configura Omie (App Key/Secret no servidor), ativa e importa categorias.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Políticas de limite</w:t>
            </w:r>
          </w:p>
        </w:tc>
        <w:tc>
          <w:tcPr>
            <w:tcW w:type="dxa" w:w="6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Define limites que geram alerta (por lançamento ou mensal).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Aprovação</w:t>
            </w:r>
          </w:p>
        </w:tc>
        <w:tc>
          <w:tcPr>
            <w:tcW w:type="dxa" w:w="6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Liga a exigência de aprovação e decide os pendentes.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Consumo de IA</w:t>
            </w:r>
          </w:p>
        </w:tc>
        <w:tc>
          <w:tcPr>
            <w:tcW w:type="dxa" w:w="6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Consumo do mês vs cota do plano.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Auditoria e segurança</w:t>
            </w:r>
          </w:p>
        </w:tc>
        <w:tc>
          <w:tcPr>
            <w:tcW w:type="dxa" w:w="6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Trilha de auditoria, quarentena de IA e alertas em aberto.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Relatórios</w:t>
            </w:r>
          </w:p>
        </w:tc>
        <w:tc>
          <w:tcPr>
            <w:tcW w:type="dxa" w:w="6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Em desenvolvimento (Fase B): visões amplas e exportação.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39393B"/>
        </w:rPr>
        <w:t xml:space="preserve">7. Fluxos principais</w:t>
      </w:r>
    </w:p>
    <w:p>
      <w:pPr>
        <w:pStyle w:val="Heading2"/>
        <w:spacing w:after="90" w:before="200"/>
      </w:pPr>
      <w:r>
        <w:rPr>
          <w:b/>
          <w:bCs/>
          <w:color w:val="DB8438"/>
        </w:rPr>
        <w:t xml:space="preserve">7.1. Lançamento com IA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Usuário tira/seleciona a foto do comprovante (imagem ou PDF).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A Edge Function envia o conteúdo ao Gemini com um schema estrito e um vocabulário fechado de categorias.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Retorna fornecedor, CNPJ, valor, data, categoria e número de parcelas; o formulário é pré-preenchido; parcelado gera as parcelas.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O usuário confere e salva. Duplicatas são checadas (por hash do arquivo e por valor+data+CNPJ).</w:t>
      </w:r>
    </w:p>
    <w:p>
      <w:pPr>
        <w:pStyle w:val="Heading2"/>
        <w:spacing w:after="90" w:before="200"/>
      </w:pPr>
      <w:r>
        <w:rPr>
          <w:b/>
          <w:bCs/>
          <w:color w:val="DB8438"/>
        </w:rPr>
        <w:t xml:space="preserve">7.2. Aprovação multinível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Se a empresa exige aprovação, o lançamento do operador entra como "pendente".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Gestor/financeiro aprovam ou rejeitam (na lista e no console); rejeitado sai do "a pagar".</w:t>
      </w:r>
    </w:p>
    <w:p>
      <w:pPr>
        <w:pStyle w:val="Heading2"/>
        <w:spacing w:after="90" w:before="200"/>
      </w:pPr>
      <w:r>
        <w:rPr>
          <w:b/>
          <w:bCs/>
          <w:color w:val="DB8438"/>
        </w:rPr>
        <w:t xml:space="preserve">7.3. Fechamento (baixa em lote)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Filtra os pagamentos do mês; gera um resumo; anexa um comprovante de pagamento único que cobre vários lançamentos; marca todos como pagos.</w:t>
      </w:r>
    </w:p>
    <w:p>
      <w:pPr>
        <w:pStyle w:val="Heading2"/>
        <w:spacing w:after="90" w:before="200"/>
      </w:pPr>
      <w:r>
        <w:rPr>
          <w:b/>
          <w:bCs/>
          <w:color w:val="DB8438"/>
        </w:rPr>
        <w:t xml:space="preserve">7.4. Onboarding de empresa (dono)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O dono cria a empresa (plano + categorias + setor padrão + contador) e vincula o gestor por e-mail. O gestor precisa ter login criado.</w:t>
      </w:r>
    </w:p>
    <w:p>
      <w:pPr>
        <w:pStyle w:val="Heading2"/>
        <w:spacing w:after="90" w:before="200"/>
      </w:pPr>
      <w:r>
        <w:rPr>
          <w:b/>
          <w:bCs/>
          <w:color w:val="DB8438"/>
        </w:rPr>
        <w:t xml:space="preserve">7.5. Integração ERP (Omie)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No console, informa App Key/Secret (guardados no servidor), ativa e importa as categorias do plano de contas; casa por código/nome e cria/atualiza.</w:t>
      </w:r>
    </w:p>
    <w:p>
      <w:pPr>
        <w:pStyle w:val="Heading1"/>
        <w:spacing w:after="120" w:before="280"/>
      </w:pPr>
      <w:r>
        <w:rPr>
          <w:b/>
          <w:bCs/>
          <w:color w:val="39393B"/>
        </w:rPr>
        <w:t xml:space="preserve">8. Inteligência Artificial e segurança da IA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D"/>
        </w:rPr>
        <w:t xml:space="preserve">A leitura por IA foi construída com defesa desde o início, tratando o conteúdo do comprovante como dado não confiável: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Detector de injeção de prompt (padrões PT/EN): tentativas suspeitas vão para quarentena (eventos_seguranca) e não chegam à IA.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Saída em schema estrito e vocabulário de categoria fechado (a IA não inventa categoria).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Validação do dígito verificador do CNPJ e teto de sanidade de valor (acima do teto vai para revisão manual).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Metering: checa a cota do plano antes e registra cada leitura; lançamento manual nunca consome cota.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Chaves (Gemini, service role) e segredos de ERP ficam no servidor (Edge Functions); o app nunca os recebe.</w:t>
      </w:r>
    </w:p>
    <w:p>
      <w:pPr>
        <w:pStyle w:val="Heading1"/>
        <w:spacing w:after="120" w:before="280"/>
      </w:pPr>
      <w:r>
        <w:rPr>
          <w:b/>
          <w:bCs/>
          <w:color w:val="39393B"/>
        </w:rPr>
        <w:t xml:space="preserve">9. Segurança, privacidade e conformidade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Isolamento multiempresa por RLS (empresa_id) com funções SECURITY DEFINER; operador vê o seu, financeiro/gestor veem a empresa, dono vê tudo.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Storage privado com URLs assinadas para comprovantes.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Soft-delete (exclusão lógica) e trilha de auditoria automática por gatilho.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Segredos fora do repositório (GitHub Secrets) e fora do cliente (Edge Functions).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i w:val="false"/>
          <w:iCs w:val="false"/>
          <w:color w:val="2B2B2D"/>
        </w:rPr>
        <w:t xml:space="preserve">A fazer: </w:t>
      </w:r>
      <w:r>
        <w:rPr>
          <w:b w:val="false"/>
          <w:bCs w:val="false"/>
          <w:i w:val="false"/>
          <w:iCs w:val="false"/>
          <w:color w:val="2B2B2D"/>
        </w:rPr>
        <w:t xml:space="preserve">tratamento formal de LGPD (política, retenção, consentimento), antifraude avançado e cofre de segredos (vault) para as credenciais de ERP.</w:t>
      </w:r>
    </w:p>
    <w:p>
      <w:pPr>
        <w:pStyle w:val="Heading1"/>
        <w:spacing w:after="120" w:before="280"/>
      </w:pPr>
      <w:r>
        <w:rPr>
          <w:b/>
          <w:bCs/>
          <w:color w:val="39393B"/>
        </w:rPr>
        <w:t xml:space="preserve">10. Estado atual do produto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D"/>
        </w:rPr>
        <w:t xml:space="preserve">Já implantado e em produção: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Fundação multiempresa (SaaS) com RLS, papéis, numeração por empresa e auditoria.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Leitura por IA endurecida (anti-injeção, cota, schema, CNPJ, teto), com detecção de parcelado.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Aprovação multinível, políticas de limite, alertas e quarentena de segurança.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Onboarding de empresas (dono) e cadastro de categorias/setores; renomear e ligar/desligar.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Integração de ERP (Omie): configuração e importação de categorias (aguarda validação com credenciais reais do cliente).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Console de Gestão (desktop) separado, com menu por módulos e seletor de empresa; botão de voltar ao app.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Navegação por módulos no app com menu lateral recolhível (só ícones) no computador e gaveta no celular.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Fechamento do mês com comprovante em lote; filtros de período (incl. futuros) e por pessoa.</w:t>
      </w:r>
    </w:p>
    <w:p>
      <w:pPr>
        <w:pStyle w:val="Heading1"/>
        <w:spacing w:after="120" w:before="280"/>
      </w:pPr>
      <w:r>
        <w:rPr>
          <w:b/>
          <w:bCs/>
          <w:color w:val="39393B"/>
        </w:rPr>
        <w:t xml:space="preserve">11. Roadmap e pontos em aberto</w:t>
      </w:r>
    </w:p>
    <w:tbl>
      <w:tblPr>
        <w:tblW w:type="dxa" w:w="9020"/>
        <w:tblBorders>
          <w:top w:val="single" w:color="DDDAD6" w:sz="2"/>
          <w:left w:val="single" w:color="DDDAD6" w:sz="2"/>
          <w:bottom w:val="single" w:color="DDDAD6" w:sz="2"/>
          <w:right w:val="single" w:color="DDDAD6" w:sz="2"/>
          <w:insideH w:val="single" w:color="EDEBE9" w:sz="2"/>
          <w:insideV w:val="single" w:color="EDEBE9" w:sz="2"/>
        </w:tblBorders>
      </w:tblPr>
      <w:tblGrid>
        <w:gridCol w:w="2200"/>
        <w:gridCol w:w="5320"/>
        <w:gridCol w:w="1500"/>
      </w:tblGrid>
      <w:tr>
        <w:trPr>
          <w:tblHeader/>
        </w:trPr>
        <w:tc>
          <w:tcPr>
            <w:tcW w:type="dxa" w:w="2200"/>
            <w:shd w:fill="393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320"/>
            <w:shd w:fill="393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shd w:fill="393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Depende de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Relatórios gerenciais (Fase B)</w:t>
            </w:r>
          </w:p>
        </w:tc>
        <w:tc>
          <w:tcPr>
            <w:tcW w:type="dxa" w:w="5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Visões amplas por empresa/setor/pessoa/período no console + exportação PDF/XLSX/CSV e fechamento completo.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Desenvolvimento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Enxugar o app (Fase C)</w:t>
            </w:r>
          </w:p>
        </w:tc>
        <w:tc>
          <w:tcPr>
            <w:tcW w:type="dxa" w:w="5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Definir os poucos indicadores que ficam no celular; separar bem operação (celular) de gestão (computador).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Decisão de produto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Multiempresa (Fase D)</w:t>
            </w:r>
          </w:p>
        </w:tc>
        <w:tc>
          <w:tcPr>
            <w:tcW w:type="dxa" w:w="5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Onboarding self-service completo e gestão aprofundada de várias empresas.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Desenvolvimento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Cobrança / assinatura</w:t>
            </w:r>
          </w:p>
        </w:tc>
        <w:tc>
          <w:tcPr>
            <w:tcW w:type="dxa" w:w="5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Gateway de pagamento, planos e faturamento do SaaS.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Conta/gateway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E-mails</w:t>
            </w:r>
          </w:p>
        </w:tc>
        <w:tc>
          <w:tcPr>
            <w:tcW w:type="dxa" w:w="5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Avisos e notificações por e-mail (provedor SMTP/serviço).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Provedor de e-mail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Integração ERP real</w:t>
            </w:r>
          </w:p>
        </w:tc>
        <w:tc>
          <w:tcPr>
            <w:tcW w:type="dxa" w:w="5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Validar Omie com conta real; ampliar para outros ERPs; sincronizar mais entidades.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Credenciais do cliente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LGPD e antifraude</w:t>
            </w:r>
          </w:p>
        </w:tc>
        <w:tc>
          <w:tcPr>
            <w:tcW w:type="dxa" w:w="5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Política formal de dados e antifraude avançado.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Definição jurídica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Login de gestor pelo app</w:t>
            </w:r>
          </w:p>
        </w:tc>
        <w:tc>
          <w:tcPr>
            <w:tcW w:type="dxa" w:w="5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Criar o acesso do gestor de uma nova empresa direto no fluxo (hoje via convite/painel).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Desenvolvimento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39393B"/>
        </w:rPr>
        <w:t xml:space="preserve">12. Oportunidades de escalabilidade e monetização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D"/>
        </w:rPr>
        <w:t xml:space="preserve">Direções a explorar com a consultoria de mercado para transformar o app em produto escalável: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Planos por porte/uso (nº de usuários, volume de leituras de IA, empresas) e cobrança recorrente.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Onboarding self-service (a empresa se cadastra sozinha) e trial.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Marketplace de integrações (Omie, outros ERPs, bancos, cartões corporativos).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White-label para escritórios de contabilidade revenderem aos seus clientes.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Módulos premium: relatórios avançados, antifraude, conciliação bancária, aprovação por alçada.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App de aprovação para gestores e notificações (push/e-mail/WhatsApp).</w:t>
      </w:r>
    </w:p>
    <w:p>
      <w:pPr>
        <w:pStyle w:val="Heading1"/>
        <w:spacing w:after="120" w:before="280"/>
      </w:pPr>
      <w:r>
        <w:rPr>
          <w:b/>
          <w:bCs/>
          <w:color w:val="39393B"/>
        </w:rPr>
        <w:t xml:space="preserve">13. Perguntas-guia para o briefing técnico (Claude Code)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D"/>
        </w:rPr>
        <w:t xml:space="preserve">Para orientar o planejamento de fluidez e remanejamento de módulos: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Qual o conjunto mínimo de módulos/indicadores que deve ficar no celular (operação) versus no console (gestão)?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O celular deve manter duas navegações (barra inferior + gaveta lateral) ou simplificar para uma só?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Como reduzir o número de toques para lançar e para dar baixa (fluxos mais curtos)?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Que reorganização de módulos melhor atende cada papel (operador, financeiro, gestor, dono)?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Onde o console deveria ter uma tela inicial (home) com cartões de cada módulo?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Que atalhos e automações reduziriam trabalho repetitivo do dia a dia?</w:t>
      </w:r>
    </w:p>
    <w:p>
      <w:pPr>
        <w:pStyle w:val="Heading1"/>
        <w:spacing w:after="120" w:before="280"/>
      </w:pPr>
      <w:r>
        <w:rPr>
          <w:b/>
          <w:bCs/>
          <w:color w:val="39393B"/>
        </w:rPr>
        <w:t xml:space="preserve">14. Perguntas-guia para a consultoria de mercado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Quem é o cliente ideal (porte, setor, dor principal) e qual o tamanho desse mercado no Brasil?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Quais concorrentes existem (despesas corporativas, reembolso, cartões) e como se diferenciam?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Que modelo de preço o mercado aceita (por usuário, por volume, por empresa)?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Quais integrações são decisivas para a venda (ERPs, bancos, cartões)?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Que requisitos de conformidade (LGPD, fiscal) são obrigatórios para vender a empresas maiores?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Qual o canal de aquisição mais eficiente (venda direta, contadores parceiros, self-service)?</w:t>
      </w:r>
    </w:p>
    <w:p>
      <w:pPr>
        <w:pStyle w:val="Heading1"/>
        <w:spacing w:after="120" w:before="280"/>
      </w:pPr>
      <w:r>
        <w:rPr>
          <w:b/>
          <w:bCs/>
          <w:color w:val="39393B"/>
        </w:rPr>
        <w:t xml:space="preserve">15. Identidade e design system (resumo)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Cor de marca: terracota #DB8438 sobre neutros; temas claro e escuro.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Tipografia: Raleway (texto) e JetBrains Mono (números/códigos).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Ícones Lucide; sem emojis; valores em R$ 1.234,56; datas DD/MM/AAAA.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B2B2D"/>
        </w:rPr>
        <w:t xml:space="preserve">Padrões: cartões, tabelas, selos de status, menu lateral, alternadores (switch).</w:t>
      </w:r>
    </w:p>
    <w:p>
      <w:pPr>
        <w:pStyle w:val="Heading1"/>
        <w:spacing w:after="120" w:before="280"/>
      </w:pPr>
      <w:r>
        <w:rPr>
          <w:b/>
          <w:bCs/>
          <w:color w:val="39393B"/>
        </w:rPr>
        <w:t xml:space="preserve">16. Glossário</w:t>
      </w:r>
    </w:p>
    <w:tbl>
      <w:tblPr>
        <w:tblW w:type="dxa" w:w="9020"/>
        <w:tblBorders>
          <w:top w:val="single" w:color="DDDAD6" w:sz="2"/>
          <w:left w:val="single" w:color="DDDAD6" w:sz="2"/>
          <w:bottom w:val="single" w:color="DDDAD6" w:sz="2"/>
          <w:right w:val="single" w:color="DDDAD6" w:sz="2"/>
          <w:insideH w:val="single" w:color="EDEBE9" w:sz="2"/>
          <w:insideV w:val="single" w:color="EDEBE9" w:sz="2"/>
        </w:tblBorders>
      </w:tblPr>
      <w:tblGrid>
        <w:gridCol w:w="2200"/>
        <w:gridCol w:w="6820"/>
      </w:tblGrid>
      <w:tr>
        <w:trPr>
          <w:tblHeader/>
        </w:trPr>
        <w:tc>
          <w:tcPr>
            <w:tcW w:type="dxa" w:w="2200"/>
            <w:shd w:fill="393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6820"/>
            <w:shd w:fill="39393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PWA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Aplicativo web instalável, com cache offline (parece um app nativo).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SaaS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Software como serviço: uma base atende várias empresas por assinatura.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RLS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Row Level Security: regra no banco que filtra cada linha por permissão.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Edge Function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Função no servidor (Supabase/Deno) que roda com segredos protegidos.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Metering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Medição de consumo (aqui, leituras de IA) contra a cota do plano.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Multi-tenant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Multiempresa: dados de vários clientes isolados na mesma base.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is_owner</w:t>
            </w:r>
          </w:p>
        </w:tc>
        <w:tc>
          <w:tcPr>
            <w:tcW w:type="dxa" w:w="6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B2B2D"/>
                <w:sz w:val="19"/>
                <w:szCs w:val="19"/>
              </w:rPr>
              <w:t xml:space="preserve">Marca do dono do SaaS (Maradel), que enxerga todas as empresas.</w:t>
            </w:r>
          </w:p>
        </w:tc>
      </w:tr>
    </w:tbl>
    <w:p>
      <w:pPr>
        <w:spacing w:before="240"/>
      </w:pPr>
      <w:r>
        <w:rPr>
          <w:b w:val="false"/>
          <w:bCs w:val="false"/>
          <w:i/>
          <w:iCs/>
          <w:color w:val="5C5C5E"/>
          <w:sz w:val="18"/>
          <w:szCs w:val="18"/>
        </w:rPr>
        <w:t xml:space="preserve">Documento gerado como referência técnica interna. Não contém credenciais nem segredos — estes ficam em GitHub Secrets e nas Edge Functions.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  <w:rPr>
        <w:color w:val="DB8438"/>
      </w:rPr>
    </w:lvl>
    <w:lvl w:ilvl="1" w15:tentative="1">
      <w:start w:val="1"/>
      <w:numFmt w:val="bullet"/>
      <w:lvlText w:val="◦"/>
      <w:lvlJc w:val="left"/>
      <w:pPr>
        <w:ind w:left="10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B8438" w:sz="6" w:space="4"/>
      </w:pBdr>
      <w:spacing w:after="120" w:before="280"/>
    </w:pPr>
    <w:rPr>
      <w:rFonts w:ascii="Calibri" w:cs="Calibri" w:eastAsia="Calibri" w:hAnsi="Calibri"/>
      <w:b/>
      <w:bCs/>
      <w:color w:val="39393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DB843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Reembolsos Maradel — Detalhamento Técnico</dc:title>
  <dc:creator>Maradel</dc:creator>
  <cp:lastModifiedBy>Un-named</cp:lastModifiedBy>
  <cp:revision>1</cp:revision>
  <dcterms:created xsi:type="dcterms:W3CDTF">2026-07-21T01:18:31.456Z</dcterms:created>
  <dcterms:modified xsi:type="dcterms:W3CDTF">2026-07-21T01:18:31.456Z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