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94F9" w14:textId="55019CB2" w:rsidR="00F646A1" w:rsidRPr="00F646A1" w:rsidRDefault="00F646A1" w:rsidP="00F646A1">
      <w:pPr>
        <w:pStyle w:val="Heading2"/>
        <w:rPr>
          <w:rFonts w:ascii="Arial" w:hAnsi="Arial" w:cs="Arial"/>
          <w:color w:val="000000" w:themeColor="text1"/>
          <w:sz w:val="24"/>
          <w:szCs w:val="24"/>
        </w:rPr>
      </w:pPr>
      <w:bookmarkStart w:id="0" w:name="_Toc228918625"/>
      <w:r w:rsidRPr="00F646A1">
        <w:rPr>
          <w:rFonts w:ascii="Arial" w:hAnsi="Arial" w:cs="Arial"/>
          <w:color w:val="000000" w:themeColor="text1"/>
          <w:sz w:val="24"/>
          <w:szCs w:val="24"/>
        </w:rPr>
        <w:t>Results of Evaluation Based on ISO/IEC 25010</w:t>
      </w:r>
      <w:bookmarkEnd w:id="0"/>
    </w:p>
    <w:p w14:paraId="09B0F737" w14:textId="77777777" w:rsidR="00F646A1" w:rsidRPr="00F646A1" w:rsidRDefault="00F646A1" w:rsidP="00F646A1">
      <w:pPr>
        <w:shd w:val="clear" w:color="auto" w:fill="FFFFFF"/>
        <w:spacing w:before="240" w:line="480" w:lineRule="auto"/>
        <w:ind w:firstLine="720"/>
        <w:jc w:val="both"/>
        <w:rPr>
          <w:rFonts w:ascii="Arial" w:hAnsi="Arial" w:cs="Arial"/>
          <w:color w:val="000000" w:themeColor="text1"/>
        </w:rPr>
      </w:pPr>
      <w:r w:rsidRPr="00F646A1">
        <w:rPr>
          <w:rFonts w:ascii="Arial" w:hAnsi="Arial" w:cs="Arial"/>
          <w:color w:val="000000" w:themeColor="text1"/>
        </w:rPr>
        <w:t>The proposed system was evaluated using the ISO/IEC 25010 software quality model, which assesses software quality across eight characteristics: Functional Suitability, Performance Efficiency, Compatibility, Usability, Reliability, Security, Maintainability, and Portability. The evaluation was conducted in two distinct phases, corresponding to different stages of system implementation and deployment.</w:t>
      </w:r>
    </w:p>
    <w:p w14:paraId="6508BC0A" w14:textId="5DF4958A" w:rsidR="00F646A1" w:rsidRPr="00F646A1" w:rsidRDefault="00F646A1" w:rsidP="00F646A1">
      <w:pPr>
        <w:pStyle w:val="Heading3"/>
        <w:rPr>
          <w:rFonts w:ascii="Arial" w:hAnsi="Arial" w:cs="Arial"/>
          <w:color w:val="000000" w:themeColor="text1"/>
          <w:sz w:val="24"/>
          <w:szCs w:val="24"/>
        </w:rPr>
      </w:pPr>
      <w:bookmarkStart w:id="1" w:name="_Toc228918626"/>
      <w:r w:rsidRPr="00F646A1">
        <w:rPr>
          <w:rFonts w:ascii="Arial" w:hAnsi="Arial" w:cs="Arial"/>
          <w:color w:val="000000" w:themeColor="text1"/>
          <w:sz w:val="24"/>
          <w:szCs w:val="24"/>
        </w:rPr>
        <w:t>Phase 1: Partial Implementation</w:t>
      </w:r>
      <w:bookmarkEnd w:id="1"/>
    </w:p>
    <w:p w14:paraId="752BCAD4" w14:textId="77777777" w:rsidR="00F646A1" w:rsidRPr="00F646A1" w:rsidRDefault="00F646A1" w:rsidP="00F646A1">
      <w:pPr>
        <w:rPr>
          <w:rFonts w:ascii="Arial" w:hAnsi="Arial" w:cs="Arial"/>
        </w:rPr>
      </w:pPr>
    </w:p>
    <w:p w14:paraId="1B22BB47" w14:textId="77777777" w:rsidR="00F646A1" w:rsidRPr="00F646A1" w:rsidRDefault="00F646A1" w:rsidP="00F646A1">
      <w:pPr>
        <w:shd w:val="clear" w:color="auto" w:fill="FFFFFF"/>
        <w:spacing w:after="120" w:line="480" w:lineRule="auto"/>
        <w:ind w:firstLine="720"/>
        <w:jc w:val="both"/>
        <w:rPr>
          <w:rFonts w:ascii="Arial" w:hAnsi="Arial" w:cs="Arial"/>
          <w:color w:val="000000" w:themeColor="text1"/>
        </w:rPr>
      </w:pPr>
      <w:r w:rsidRPr="00F646A1">
        <w:rPr>
          <w:rFonts w:ascii="Arial" w:hAnsi="Arial" w:cs="Arial"/>
          <w:color w:val="000000" w:themeColor="text1"/>
        </w:rPr>
        <w:t xml:space="preserve">During the partial implementation phase, the system was deployed and used in a real conference environment during the International Research Conference on Information Technology Education (IRCITE) 2025. In this phase, the system served as the official platform for key conference processes, including reviewer invitations, research paper submissions, reviewer assignments, peer reviews, acceptance and rejection decisions, and author notifications. During this phase, the AI-based components of the system—specifically the </w:t>
      </w:r>
      <w:proofErr w:type="spellStart"/>
      <w:r w:rsidRPr="00F646A1">
        <w:rPr>
          <w:rFonts w:ascii="Arial" w:hAnsi="Arial" w:cs="Arial"/>
          <w:color w:val="000000" w:themeColor="text1"/>
        </w:rPr>
        <w:t>SciBERT</w:t>
      </w:r>
      <w:proofErr w:type="spellEnd"/>
      <w:r w:rsidRPr="00F646A1">
        <w:rPr>
          <w:rFonts w:ascii="Arial" w:hAnsi="Arial" w:cs="Arial"/>
          <w:color w:val="000000" w:themeColor="text1"/>
        </w:rPr>
        <w:t>-based research paper classification and automatic reviewer recommendation modules—were not yet integrated and activated. At this stage, reviewer assignment and paper categorization were handled manually and, via rule-based mechanisms, managed by the Program Chair. The evaluation results for Phase 1, therefore, reflect the quality of the core conference management, submission, review, and notification modules, rather than the AI-enhanced functionalities.</w:t>
      </w:r>
    </w:p>
    <w:p w14:paraId="1E775EFF" w14:textId="77777777" w:rsidR="00F646A1" w:rsidRPr="00F646A1" w:rsidRDefault="00F646A1" w:rsidP="00F646A1">
      <w:pPr>
        <w:shd w:val="clear" w:color="auto" w:fill="FFFFFF"/>
        <w:spacing w:after="120" w:line="480" w:lineRule="auto"/>
        <w:ind w:firstLine="720"/>
        <w:jc w:val="both"/>
        <w:rPr>
          <w:rFonts w:ascii="Arial" w:hAnsi="Arial" w:cs="Arial"/>
          <w:color w:val="000000" w:themeColor="text1"/>
        </w:rPr>
      </w:pPr>
      <w:r w:rsidRPr="00F646A1">
        <w:rPr>
          <w:rFonts w:ascii="Arial" w:hAnsi="Arial" w:cs="Arial"/>
          <w:color w:val="000000" w:themeColor="text1"/>
        </w:rPr>
        <w:t xml:space="preserve">A total of 257 respondents participated in the evaluation, consisting of 1 Conference Paper Chair, 2 PSITE Region III officers, 195 authors, and 56 reviewers. These respondents were the system’s actual end users, and their evaluations were based on direct interaction with the system’s modules throughout the conference lifecycle. This </w:t>
      </w:r>
      <w:r w:rsidRPr="00F646A1">
        <w:rPr>
          <w:rFonts w:ascii="Arial" w:hAnsi="Arial" w:cs="Arial"/>
          <w:color w:val="000000" w:themeColor="text1"/>
        </w:rPr>
        <w:lastRenderedPageBreak/>
        <w:t>large, diverse respondent group provided a comprehensive, user-centered assessment of the system’s performance, usability, and reliability under real operational conditions.</w:t>
      </w:r>
    </w:p>
    <w:p w14:paraId="64842C0F" w14:textId="2548B977" w:rsidR="00F646A1" w:rsidRPr="00F646A1" w:rsidRDefault="00F646A1" w:rsidP="00F646A1">
      <w:pPr>
        <w:pStyle w:val="Heading3"/>
        <w:rPr>
          <w:rFonts w:ascii="Arial" w:hAnsi="Arial" w:cs="Arial"/>
          <w:color w:val="000000" w:themeColor="text1"/>
          <w:sz w:val="24"/>
          <w:szCs w:val="24"/>
        </w:rPr>
      </w:pPr>
      <w:bookmarkStart w:id="2" w:name="_Toc228918627"/>
      <w:r w:rsidRPr="00F646A1">
        <w:rPr>
          <w:rFonts w:ascii="Arial" w:hAnsi="Arial" w:cs="Arial"/>
          <w:color w:val="000000" w:themeColor="text1"/>
          <w:sz w:val="24"/>
          <w:szCs w:val="24"/>
        </w:rPr>
        <w:t>Phase 2: Full Implementation (Expert-Based Evaluation)</w:t>
      </w:r>
      <w:bookmarkEnd w:id="2"/>
    </w:p>
    <w:p w14:paraId="290EE19C" w14:textId="77777777" w:rsidR="00F646A1" w:rsidRPr="00F646A1" w:rsidRDefault="00F646A1" w:rsidP="00F646A1">
      <w:pPr>
        <w:rPr>
          <w:rFonts w:ascii="Arial" w:hAnsi="Arial" w:cs="Arial"/>
        </w:rPr>
      </w:pPr>
    </w:p>
    <w:p w14:paraId="3D9B29F8" w14:textId="77777777" w:rsidR="00F646A1" w:rsidRPr="00F646A1" w:rsidRDefault="00F646A1" w:rsidP="00F646A1">
      <w:pPr>
        <w:shd w:val="clear" w:color="auto" w:fill="FFFFFF"/>
        <w:spacing w:after="120" w:line="480" w:lineRule="auto"/>
        <w:ind w:firstLine="720"/>
        <w:jc w:val="both"/>
        <w:rPr>
          <w:rFonts w:ascii="Arial" w:hAnsi="Arial" w:cs="Arial"/>
          <w:color w:val="000000" w:themeColor="text1"/>
        </w:rPr>
      </w:pPr>
      <w:r w:rsidRPr="00F646A1">
        <w:rPr>
          <w:rFonts w:ascii="Arial" w:hAnsi="Arial" w:cs="Arial"/>
          <w:color w:val="000000" w:themeColor="text1"/>
        </w:rPr>
        <w:t>The full implementation phase was conducted after all system modules, including the AI-based components, had been fully developed, integrated, and deployed. Unlike the first phase, this evaluation adopted a purposive, expert-based approach, consistent with ISO/IEC 25010 practices for post-implementation software quality assessment.</w:t>
      </w:r>
    </w:p>
    <w:p w14:paraId="04A5E5DD" w14:textId="77777777" w:rsidR="00F646A1" w:rsidRPr="00F646A1" w:rsidRDefault="00F646A1" w:rsidP="00F646A1">
      <w:pPr>
        <w:shd w:val="clear" w:color="auto" w:fill="FFFFFF"/>
        <w:spacing w:after="120" w:line="480" w:lineRule="auto"/>
        <w:ind w:firstLine="720"/>
        <w:jc w:val="both"/>
        <w:rPr>
          <w:rFonts w:ascii="Arial" w:hAnsi="Arial" w:cs="Arial"/>
          <w:color w:val="000000" w:themeColor="text1"/>
        </w:rPr>
      </w:pPr>
      <w:r w:rsidRPr="00F646A1">
        <w:rPr>
          <w:rFonts w:ascii="Arial" w:hAnsi="Arial" w:cs="Arial"/>
          <w:color w:val="000000" w:themeColor="text1"/>
        </w:rPr>
        <w:t>For this phase, only four (4) expert respondents evaluated the system through a Google Forms–based questionnaire. These respondents were deliberately selected based on their critical system roles, authority, and depth of involvement in academic conferences and organizational operations, rather than usage volume. The expert evaluators were:</w:t>
      </w:r>
    </w:p>
    <w:p w14:paraId="6B700FCC" w14:textId="77777777" w:rsidR="00F646A1" w:rsidRPr="00F646A1" w:rsidRDefault="00F646A1" w:rsidP="00F646A1">
      <w:pPr>
        <w:numPr>
          <w:ilvl w:val="0"/>
          <w:numId w:val="1"/>
        </w:numPr>
        <w:pBdr>
          <w:top w:val="nil"/>
          <w:left w:val="nil"/>
          <w:bottom w:val="nil"/>
          <w:right w:val="nil"/>
          <w:between w:val="nil"/>
        </w:pBdr>
        <w:shd w:val="clear" w:color="auto" w:fill="FFFFFF"/>
        <w:spacing w:after="120" w:line="480" w:lineRule="auto"/>
        <w:ind w:left="1080"/>
        <w:jc w:val="both"/>
        <w:rPr>
          <w:rFonts w:ascii="Arial" w:hAnsi="Arial" w:cs="Arial"/>
          <w:color w:val="000000" w:themeColor="text1"/>
        </w:rPr>
      </w:pPr>
      <w:r w:rsidRPr="00F646A1">
        <w:rPr>
          <w:rFonts w:ascii="Arial" w:hAnsi="Arial" w:cs="Arial"/>
          <w:color w:val="000000" w:themeColor="text1"/>
        </w:rPr>
        <w:t>Two (2) Program Chair / Conference Chairs who served during IRCITE 2025 and IRCITE 2026, responsible for overseeing paper submissions, reviewer assignment, and final acceptance decisions;</w:t>
      </w:r>
    </w:p>
    <w:p w14:paraId="451AEE02" w14:textId="77777777" w:rsidR="00F646A1" w:rsidRPr="00F646A1" w:rsidRDefault="00F646A1" w:rsidP="00F646A1">
      <w:pPr>
        <w:numPr>
          <w:ilvl w:val="0"/>
          <w:numId w:val="1"/>
        </w:numPr>
        <w:pBdr>
          <w:top w:val="nil"/>
          <w:left w:val="nil"/>
          <w:bottom w:val="nil"/>
          <w:right w:val="nil"/>
          <w:between w:val="nil"/>
        </w:pBdr>
        <w:shd w:val="clear" w:color="auto" w:fill="FFFFFF"/>
        <w:spacing w:after="120" w:line="480" w:lineRule="auto"/>
        <w:ind w:left="1080"/>
        <w:jc w:val="both"/>
        <w:rPr>
          <w:rFonts w:ascii="Arial" w:hAnsi="Arial" w:cs="Arial"/>
          <w:color w:val="000000" w:themeColor="text1"/>
        </w:rPr>
      </w:pPr>
      <w:r w:rsidRPr="00F646A1">
        <w:rPr>
          <w:rFonts w:ascii="Arial" w:hAnsi="Arial" w:cs="Arial"/>
          <w:color w:val="000000" w:themeColor="text1"/>
        </w:rPr>
        <w:t>The PSITE President, who also served as a Program Chair and provided senior academic and governance oversight; and</w:t>
      </w:r>
    </w:p>
    <w:p w14:paraId="3529A7F5" w14:textId="77777777" w:rsidR="00F646A1" w:rsidRPr="00F646A1" w:rsidRDefault="00F646A1" w:rsidP="00F646A1">
      <w:pPr>
        <w:numPr>
          <w:ilvl w:val="0"/>
          <w:numId w:val="1"/>
        </w:numPr>
        <w:pBdr>
          <w:top w:val="nil"/>
          <w:left w:val="nil"/>
          <w:bottom w:val="nil"/>
          <w:right w:val="nil"/>
          <w:between w:val="nil"/>
        </w:pBdr>
        <w:shd w:val="clear" w:color="auto" w:fill="FFFFFF"/>
        <w:spacing w:after="120" w:line="480" w:lineRule="auto"/>
        <w:ind w:left="1080"/>
        <w:jc w:val="both"/>
        <w:rPr>
          <w:rFonts w:ascii="Arial" w:hAnsi="Arial" w:cs="Arial"/>
          <w:color w:val="000000" w:themeColor="text1"/>
        </w:rPr>
      </w:pPr>
      <w:r w:rsidRPr="00F646A1">
        <w:rPr>
          <w:rFonts w:ascii="Arial" w:hAnsi="Arial" w:cs="Arial"/>
          <w:color w:val="000000" w:themeColor="text1"/>
        </w:rPr>
        <w:t>The PSITE Treasurer was responsible for validating memberships validation and verifying payments within the system.</w:t>
      </w:r>
    </w:p>
    <w:p w14:paraId="1A1D24B1" w14:textId="77777777" w:rsidR="00F646A1" w:rsidRPr="00F646A1" w:rsidRDefault="00F646A1" w:rsidP="00F646A1">
      <w:pPr>
        <w:shd w:val="clear" w:color="auto" w:fill="FFFFFF"/>
        <w:spacing w:after="120" w:line="480" w:lineRule="auto"/>
        <w:ind w:firstLine="720"/>
        <w:jc w:val="both"/>
        <w:rPr>
          <w:rFonts w:ascii="Arial" w:hAnsi="Arial" w:cs="Arial"/>
          <w:color w:val="000000" w:themeColor="text1"/>
        </w:rPr>
      </w:pPr>
      <w:r w:rsidRPr="00F646A1">
        <w:rPr>
          <w:rFonts w:ascii="Arial" w:hAnsi="Arial" w:cs="Arial"/>
          <w:color w:val="000000" w:themeColor="text1"/>
        </w:rPr>
        <w:t xml:space="preserve">The use of four (4) expert respondents is methodologically acceptable and well-supported in software engineering research. The ISO/IEC 25010 standard does not prescribe a minimum number of evaluators; instead, it emphasizes the use of qualified </w:t>
      </w:r>
      <w:r w:rsidRPr="00F646A1">
        <w:rPr>
          <w:rFonts w:ascii="Arial" w:hAnsi="Arial" w:cs="Arial"/>
          <w:color w:val="000000" w:themeColor="text1"/>
        </w:rPr>
        <w:lastRenderedPageBreak/>
        <w:t>experts when evaluating higher-level quality attributes such as security, maintainability, portability, and functional suitability. Expert-based evaluation is particularly appropriate when assessing fully implemented systems, where informed judgment, managerial perspective, and domain expertise are more critical than large-scale end-user sampling.</w:t>
      </w:r>
    </w:p>
    <w:p w14:paraId="6B15671A" w14:textId="77777777" w:rsidR="00F646A1" w:rsidRPr="00F646A1" w:rsidRDefault="00F646A1" w:rsidP="00F646A1">
      <w:pPr>
        <w:shd w:val="clear" w:color="auto" w:fill="FFFFFF"/>
        <w:spacing w:after="120" w:line="480" w:lineRule="auto"/>
        <w:ind w:firstLine="720"/>
        <w:jc w:val="both"/>
        <w:rPr>
          <w:rFonts w:ascii="Arial" w:hAnsi="Arial" w:cs="Arial"/>
          <w:color w:val="000000" w:themeColor="text1"/>
        </w:rPr>
      </w:pPr>
      <w:r w:rsidRPr="00F646A1">
        <w:rPr>
          <w:rFonts w:ascii="Arial" w:hAnsi="Arial" w:cs="Arial"/>
          <w:color w:val="000000" w:themeColor="text1"/>
        </w:rPr>
        <w:t>This expert-based evaluation complements the large-scale user evaluation conducted during the partial implementation phase, thereby providing a balanced and comprehensive assessment of both user experience and system-level quality.</w:t>
      </w:r>
    </w:p>
    <w:p w14:paraId="2F213141" w14:textId="77777777" w:rsidR="00F646A1" w:rsidRPr="00F646A1" w:rsidRDefault="00F646A1" w:rsidP="00F646A1">
      <w:pPr>
        <w:shd w:val="clear" w:color="auto" w:fill="FFFFFF"/>
        <w:spacing w:after="120" w:line="480" w:lineRule="auto"/>
        <w:ind w:firstLine="720"/>
        <w:jc w:val="both"/>
        <w:rPr>
          <w:rFonts w:ascii="Arial" w:hAnsi="Arial" w:cs="Arial"/>
          <w:color w:val="000000" w:themeColor="text1"/>
        </w:rPr>
      </w:pPr>
    </w:p>
    <w:p w14:paraId="276B582A" w14:textId="77777777" w:rsidR="00F646A1" w:rsidRPr="00F646A1" w:rsidRDefault="00F646A1" w:rsidP="00F646A1">
      <w:pPr>
        <w:pBdr>
          <w:top w:val="nil"/>
          <w:left w:val="nil"/>
          <w:bottom w:val="nil"/>
          <w:right w:val="nil"/>
          <w:between w:val="nil"/>
        </w:pBdr>
        <w:spacing w:after="200" w:line="360" w:lineRule="auto"/>
        <w:jc w:val="center"/>
        <w:rPr>
          <w:rFonts w:ascii="Arial" w:hAnsi="Arial" w:cs="Arial"/>
          <w:color w:val="000000" w:themeColor="text1"/>
        </w:rPr>
      </w:pPr>
      <w:bookmarkStart w:id="3" w:name="bookmark=id.uzgtld9fl2" w:colFirst="0" w:colLast="0"/>
      <w:bookmarkStart w:id="4" w:name="_heading=h.2j7hi7shkf16" w:colFirst="0" w:colLast="0"/>
      <w:bookmarkEnd w:id="3"/>
      <w:bookmarkEnd w:id="4"/>
      <w:r w:rsidRPr="00F646A1">
        <w:rPr>
          <w:rFonts w:ascii="Arial" w:hAnsi="Arial" w:cs="Arial"/>
          <w:b/>
          <w:bCs/>
          <w:color w:val="000000" w:themeColor="text1"/>
        </w:rPr>
        <w:t>Table 4-17. Rating Scale Interpretation</w:t>
      </w:r>
    </w:p>
    <w:tbl>
      <w:tblPr>
        <w:tblW w:w="37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5"/>
        <w:gridCol w:w="2219"/>
      </w:tblGrid>
      <w:tr w:rsidR="00F646A1" w:rsidRPr="00F646A1" w14:paraId="2079709D" w14:textId="77777777" w:rsidTr="0084777D">
        <w:trPr>
          <w:trHeight w:val="522"/>
          <w:jc w:val="center"/>
        </w:trPr>
        <w:tc>
          <w:tcPr>
            <w:tcW w:w="1485" w:type="dxa"/>
          </w:tcPr>
          <w:p w14:paraId="5C221D05"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Rating Range</w:t>
            </w:r>
          </w:p>
        </w:tc>
        <w:tc>
          <w:tcPr>
            <w:tcW w:w="2219" w:type="dxa"/>
          </w:tcPr>
          <w:p w14:paraId="23C039E3"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Interpretation</w:t>
            </w:r>
          </w:p>
        </w:tc>
      </w:tr>
      <w:tr w:rsidR="00F646A1" w:rsidRPr="00F646A1" w14:paraId="0DE6FE65" w14:textId="77777777" w:rsidTr="0084777D">
        <w:trPr>
          <w:trHeight w:val="510"/>
          <w:jc w:val="center"/>
        </w:trPr>
        <w:tc>
          <w:tcPr>
            <w:tcW w:w="1485" w:type="dxa"/>
          </w:tcPr>
          <w:p w14:paraId="6DE204E2"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4.51–5.00</w:t>
            </w:r>
          </w:p>
        </w:tc>
        <w:tc>
          <w:tcPr>
            <w:tcW w:w="2219" w:type="dxa"/>
          </w:tcPr>
          <w:p w14:paraId="12E247BE"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Highly Acceptable</w:t>
            </w:r>
          </w:p>
        </w:tc>
      </w:tr>
      <w:tr w:rsidR="00F646A1" w:rsidRPr="00F646A1" w14:paraId="3AF8E3D5" w14:textId="77777777" w:rsidTr="0084777D">
        <w:trPr>
          <w:trHeight w:val="261"/>
          <w:jc w:val="center"/>
        </w:trPr>
        <w:tc>
          <w:tcPr>
            <w:tcW w:w="1485" w:type="dxa"/>
          </w:tcPr>
          <w:p w14:paraId="71BA2F45"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3.51–4.50</w:t>
            </w:r>
          </w:p>
        </w:tc>
        <w:tc>
          <w:tcPr>
            <w:tcW w:w="2219" w:type="dxa"/>
          </w:tcPr>
          <w:p w14:paraId="0EB46E51"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Acceptable</w:t>
            </w:r>
          </w:p>
        </w:tc>
      </w:tr>
      <w:tr w:rsidR="00F646A1" w:rsidRPr="00F646A1" w14:paraId="04BA923D" w14:textId="77777777" w:rsidTr="0084777D">
        <w:trPr>
          <w:trHeight w:val="522"/>
          <w:jc w:val="center"/>
        </w:trPr>
        <w:tc>
          <w:tcPr>
            <w:tcW w:w="1485" w:type="dxa"/>
          </w:tcPr>
          <w:p w14:paraId="79492403"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2.51–3.50</w:t>
            </w:r>
          </w:p>
        </w:tc>
        <w:tc>
          <w:tcPr>
            <w:tcW w:w="2219" w:type="dxa"/>
          </w:tcPr>
          <w:p w14:paraId="05F78BCB"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Moderately Acceptable</w:t>
            </w:r>
          </w:p>
        </w:tc>
      </w:tr>
      <w:tr w:rsidR="00F646A1" w:rsidRPr="00F646A1" w14:paraId="3EB7BA45" w14:textId="77777777" w:rsidTr="0084777D">
        <w:trPr>
          <w:trHeight w:val="522"/>
          <w:jc w:val="center"/>
        </w:trPr>
        <w:tc>
          <w:tcPr>
            <w:tcW w:w="1485" w:type="dxa"/>
          </w:tcPr>
          <w:p w14:paraId="0488D713"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1.51–2.50</w:t>
            </w:r>
          </w:p>
        </w:tc>
        <w:tc>
          <w:tcPr>
            <w:tcW w:w="2219" w:type="dxa"/>
          </w:tcPr>
          <w:p w14:paraId="10AFAE20"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Slightly Acceptable</w:t>
            </w:r>
          </w:p>
        </w:tc>
      </w:tr>
      <w:tr w:rsidR="00F646A1" w:rsidRPr="00F646A1" w14:paraId="753FB319" w14:textId="77777777" w:rsidTr="0084777D">
        <w:trPr>
          <w:trHeight w:val="510"/>
          <w:jc w:val="center"/>
        </w:trPr>
        <w:tc>
          <w:tcPr>
            <w:tcW w:w="1485" w:type="dxa"/>
          </w:tcPr>
          <w:p w14:paraId="2971CF32"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1.00–1.50</w:t>
            </w:r>
          </w:p>
        </w:tc>
        <w:tc>
          <w:tcPr>
            <w:tcW w:w="2219" w:type="dxa"/>
          </w:tcPr>
          <w:p w14:paraId="0E267ABF"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Not Acceptable</w:t>
            </w:r>
          </w:p>
        </w:tc>
      </w:tr>
    </w:tbl>
    <w:p w14:paraId="27C6AB63" w14:textId="77777777" w:rsidR="00F646A1" w:rsidRPr="00F646A1" w:rsidRDefault="00F646A1" w:rsidP="00F646A1">
      <w:pPr>
        <w:shd w:val="clear" w:color="auto" w:fill="FFFFFF"/>
        <w:rPr>
          <w:rFonts w:ascii="Arial" w:hAnsi="Arial" w:cs="Arial"/>
          <w:color w:val="000000" w:themeColor="text1"/>
        </w:rPr>
      </w:pPr>
    </w:p>
    <w:p w14:paraId="0BA9BE9F" w14:textId="77777777" w:rsidR="00F646A1" w:rsidRPr="00F646A1" w:rsidRDefault="00F646A1" w:rsidP="00F646A1">
      <w:pPr>
        <w:shd w:val="clear" w:color="auto" w:fill="FFFFFF"/>
        <w:rPr>
          <w:rFonts w:ascii="Arial" w:hAnsi="Arial" w:cs="Arial"/>
          <w:color w:val="000000" w:themeColor="text1"/>
        </w:rPr>
      </w:pPr>
    </w:p>
    <w:p w14:paraId="0A02A272" w14:textId="77777777" w:rsidR="00F646A1" w:rsidRPr="00F646A1" w:rsidRDefault="00F646A1" w:rsidP="00F646A1">
      <w:pPr>
        <w:pStyle w:val="Heading4"/>
        <w:rPr>
          <w:rFonts w:ascii="Arial" w:hAnsi="Arial" w:cs="Arial"/>
          <w:b/>
          <w:bCs/>
          <w:color w:val="000000" w:themeColor="text1"/>
        </w:rPr>
      </w:pPr>
      <w:bookmarkStart w:id="5" w:name="_heading=h.m73n5yj8bsnf" w:colFirst="0" w:colLast="0"/>
      <w:bookmarkEnd w:id="5"/>
      <w:r w:rsidRPr="00F646A1">
        <w:rPr>
          <w:rFonts w:ascii="Arial" w:hAnsi="Arial" w:cs="Arial"/>
          <w:color w:val="000000" w:themeColor="text1"/>
        </w:rPr>
        <w:t xml:space="preserve">4.4.2.1 </w:t>
      </w:r>
      <w:r w:rsidRPr="00F646A1">
        <w:rPr>
          <w:rFonts w:ascii="Arial" w:hAnsi="Arial" w:cs="Arial"/>
          <w:b/>
          <w:bCs/>
          <w:color w:val="000000" w:themeColor="text1"/>
        </w:rPr>
        <w:t>Functional Suitability</w:t>
      </w:r>
    </w:p>
    <w:p w14:paraId="221EAA3C" w14:textId="77777777" w:rsidR="00F646A1" w:rsidRPr="00F646A1" w:rsidRDefault="00F646A1" w:rsidP="00F646A1">
      <w:pPr>
        <w:shd w:val="clear" w:color="auto" w:fill="FFFFFF"/>
        <w:spacing w:before="240" w:after="120" w:line="480" w:lineRule="auto"/>
        <w:ind w:firstLine="720"/>
        <w:jc w:val="both"/>
        <w:rPr>
          <w:rFonts w:ascii="Arial" w:hAnsi="Arial" w:cs="Arial"/>
          <w:color w:val="000000" w:themeColor="text1"/>
        </w:rPr>
      </w:pPr>
      <w:r w:rsidRPr="00F646A1">
        <w:rPr>
          <w:rFonts w:ascii="Arial" w:hAnsi="Arial" w:cs="Arial"/>
          <w:color w:val="000000" w:themeColor="text1"/>
        </w:rPr>
        <w:t xml:space="preserve">Functional suitability concerns the functionality intended to meet the identified system condition. It was described based on the following characteristics, namely: functional completeness, functional correctness, and functional appropriateness. Table 4-18 shows the system assessment given functional suitability for Phase 1 (Partial Implementation), rated by two hundred fifty-seven (257) respondents who participated in this study. </w:t>
      </w:r>
      <w:proofErr w:type="gramStart"/>
      <w:r w:rsidRPr="00F646A1">
        <w:rPr>
          <w:rFonts w:ascii="Arial" w:hAnsi="Arial" w:cs="Arial"/>
          <w:color w:val="000000" w:themeColor="text1"/>
        </w:rPr>
        <w:t>The majority of</w:t>
      </w:r>
      <w:proofErr w:type="gramEnd"/>
      <w:r w:rsidRPr="00F646A1">
        <w:rPr>
          <w:rFonts w:ascii="Arial" w:hAnsi="Arial" w:cs="Arial"/>
          <w:color w:val="000000" w:themeColor="text1"/>
        </w:rPr>
        <w:t xml:space="preserve"> the respondents rated functional completeness, functional </w:t>
      </w:r>
      <w:r w:rsidRPr="00F646A1">
        <w:rPr>
          <w:rFonts w:ascii="Arial" w:hAnsi="Arial" w:cs="Arial"/>
          <w:color w:val="000000" w:themeColor="text1"/>
        </w:rPr>
        <w:lastRenderedPageBreak/>
        <w:t>correctness, and functional appropriateness as highly acceptable. The functional suitability was identified as highly acceptable, with an Overall Mean of 4.63.</w:t>
      </w:r>
    </w:p>
    <w:p w14:paraId="0D7589D4" w14:textId="77777777" w:rsidR="00F646A1" w:rsidRPr="00F646A1" w:rsidRDefault="00F646A1" w:rsidP="00F646A1">
      <w:pPr>
        <w:shd w:val="clear" w:color="auto" w:fill="FFFFFF"/>
        <w:rPr>
          <w:rFonts w:ascii="Arial" w:hAnsi="Arial" w:cs="Arial"/>
          <w:color w:val="000000" w:themeColor="text1"/>
        </w:rPr>
      </w:pPr>
    </w:p>
    <w:p w14:paraId="71354F2C" w14:textId="77777777" w:rsidR="00F646A1" w:rsidRPr="00F646A1" w:rsidRDefault="00F646A1" w:rsidP="00F646A1">
      <w:pPr>
        <w:pBdr>
          <w:top w:val="nil"/>
          <w:left w:val="nil"/>
          <w:bottom w:val="nil"/>
          <w:right w:val="nil"/>
          <w:between w:val="nil"/>
        </w:pBdr>
        <w:spacing w:after="200" w:line="360" w:lineRule="auto"/>
        <w:jc w:val="center"/>
        <w:rPr>
          <w:rFonts w:ascii="Arial" w:hAnsi="Arial" w:cs="Arial"/>
          <w:color w:val="000000" w:themeColor="text1"/>
        </w:rPr>
      </w:pPr>
      <w:bookmarkStart w:id="6" w:name="bookmark=id.ce519dg215if" w:colFirst="0" w:colLast="0"/>
      <w:bookmarkStart w:id="7" w:name="_heading=h.hvfi2u1fv53b" w:colFirst="0" w:colLast="0"/>
      <w:bookmarkEnd w:id="6"/>
      <w:bookmarkEnd w:id="7"/>
      <w:r w:rsidRPr="00F646A1">
        <w:rPr>
          <w:rFonts w:ascii="Arial" w:hAnsi="Arial" w:cs="Arial"/>
          <w:b/>
          <w:bCs/>
          <w:color w:val="000000" w:themeColor="text1"/>
        </w:rPr>
        <w:t>Table 4-18. Evaluation of Functional Suitability for Phase 1 (Partial Implementation)</w:t>
      </w:r>
    </w:p>
    <w:tbl>
      <w:tblPr>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3"/>
        <w:gridCol w:w="641"/>
        <w:gridCol w:w="601"/>
        <w:gridCol w:w="601"/>
        <w:gridCol w:w="601"/>
        <w:gridCol w:w="601"/>
        <w:gridCol w:w="584"/>
        <w:gridCol w:w="560"/>
        <w:gridCol w:w="584"/>
        <w:gridCol w:w="560"/>
        <w:gridCol w:w="584"/>
        <w:gridCol w:w="720"/>
      </w:tblGrid>
      <w:tr w:rsidR="00F646A1" w:rsidRPr="00F646A1" w14:paraId="0EE1B1AA" w14:textId="77777777" w:rsidTr="0084777D">
        <w:tc>
          <w:tcPr>
            <w:tcW w:w="1993" w:type="dxa"/>
          </w:tcPr>
          <w:p w14:paraId="252B3DED"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Criteria</w:t>
            </w:r>
          </w:p>
        </w:tc>
        <w:tc>
          <w:tcPr>
            <w:tcW w:w="641" w:type="dxa"/>
          </w:tcPr>
          <w:p w14:paraId="06F37927"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457B8EA8"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301C936E"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5350B8FA"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5AD53CBD"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41880A68" w14:textId="77777777" w:rsidR="00F646A1" w:rsidRPr="00F646A1" w:rsidRDefault="00F646A1" w:rsidP="0084777D">
            <w:pPr>
              <w:shd w:val="clear" w:color="auto" w:fill="FFFFFF"/>
              <w:jc w:val="center"/>
              <w:rPr>
                <w:rFonts w:ascii="Arial" w:hAnsi="Arial" w:cs="Arial"/>
                <w:color w:val="000000" w:themeColor="text1"/>
              </w:rPr>
            </w:pPr>
          </w:p>
        </w:tc>
        <w:tc>
          <w:tcPr>
            <w:tcW w:w="560" w:type="dxa"/>
          </w:tcPr>
          <w:p w14:paraId="1B041944"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074A053F" w14:textId="77777777" w:rsidR="00F646A1" w:rsidRPr="00F646A1" w:rsidRDefault="00F646A1" w:rsidP="0084777D">
            <w:pPr>
              <w:shd w:val="clear" w:color="auto" w:fill="FFFFFF"/>
              <w:jc w:val="center"/>
              <w:rPr>
                <w:rFonts w:ascii="Arial" w:hAnsi="Arial" w:cs="Arial"/>
                <w:color w:val="000000" w:themeColor="text1"/>
              </w:rPr>
            </w:pPr>
          </w:p>
        </w:tc>
        <w:tc>
          <w:tcPr>
            <w:tcW w:w="560" w:type="dxa"/>
          </w:tcPr>
          <w:p w14:paraId="3DB7F690"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557AC063" w14:textId="77777777" w:rsidR="00F646A1" w:rsidRPr="00F646A1" w:rsidRDefault="00F646A1" w:rsidP="0084777D">
            <w:pPr>
              <w:shd w:val="clear" w:color="auto" w:fill="FFFFFF"/>
              <w:jc w:val="center"/>
              <w:rPr>
                <w:rFonts w:ascii="Arial" w:hAnsi="Arial" w:cs="Arial"/>
                <w:color w:val="000000" w:themeColor="text1"/>
              </w:rPr>
            </w:pPr>
          </w:p>
        </w:tc>
        <w:tc>
          <w:tcPr>
            <w:tcW w:w="720" w:type="dxa"/>
          </w:tcPr>
          <w:p w14:paraId="61337A24"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Mean</w:t>
            </w:r>
          </w:p>
        </w:tc>
      </w:tr>
      <w:tr w:rsidR="00F646A1" w:rsidRPr="00F646A1" w14:paraId="75A99681" w14:textId="77777777" w:rsidTr="0084777D">
        <w:tc>
          <w:tcPr>
            <w:tcW w:w="1993" w:type="dxa"/>
          </w:tcPr>
          <w:p w14:paraId="03698088"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Functional Suitability</w:t>
            </w:r>
          </w:p>
        </w:tc>
        <w:tc>
          <w:tcPr>
            <w:tcW w:w="641" w:type="dxa"/>
          </w:tcPr>
          <w:p w14:paraId="0174969C"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5</w:t>
            </w:r>
          </w:p>
        </w:tc>
        <w:tc>
          <w:tcPr>
            <w:tcW w:w="601" w:type="dxa"/>
          </w:tcPr>
          <w:p w14:paraId="70C290CC"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w:t>
            </w:r>
          </w:p>
        </w:tc>
        <w:tc>
          <w:tcPr>
            <w:tcW w:w="601" w:type="dxa"/>
          </w:tcPr>
          <w:p w14:paraId="7339CFCE"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4</w:t>
            </w:r>
          </w:p>
        </w:tc>
        <w:tc>
          <w:tcPr>
            <w:tcW w:w="601" w:type="dxa"/>
          </w:tcPr>
          <w:p w14:paraId="0BE5F438"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w:t>
            </w:r>
          </w:p>
        </w:tc>
        <w:tc>
          <w:tcPr>
            <w:tcW w:w="601" w:type="dxa"/>
          </w:tcPr>
          <w:p w14:paraId="0FD6CEDB"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3</w:t>
            </w:r>
          </w:p>
        </w:tc>
        <w:tc>
          <w:tcPr>
            <w:tcW w:w="584" w:type="dxa"/>
          </w:tcPr>
          <w:p w14:paraId="3ECA581D"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w:t>
            </w:r>
          </w:p>
        </w:tc>
        <w:tc>
          <w:tcPr>
            <w:tcW w:w="560" w:type="dxa"/>
          </w:tcPr>
          <w:p w14:paraId="73A31EFB"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2</w:t>
            </w:r>
          </w:p>
        </w:tc>
        <w:tc>
          <w:tcPr>
            <w:tcW w:w="584" w:type="dxa"/>
          </w:tcPr>
          <w:p w14:paraId="53E88A34"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w:t>
            </w:r>
          </w:p>
        </w:tc>
        <w:tc>
          <w:tcPr>
            <w:tcW w:w="560" w:type="dxa"/>
          </w:tcPr>
          <w:p w14:paraId="1B0AD305"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1</w:t>
            </w:r>
          </w:p>
        </w:tc>
        <w:tc>
          <w:tcPr>
            <w:tcW w:w="584" w:type="dxa"/>
          </w:tcPr>
          <w:p w14:paraId="094E3066"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w:t>
            </w:r>
          </w:p>
        </w:tc>
        <w:tc>
          <w:tcPr>
            <w:tcW w:w="720" w:type="dxa"/>
          </w:tcPr>
          <w:p w14:paraId="17A37AC5" w14:textId="77777777" w:rsidR="00F646A1" w:rsidRPr="00F646A1" w:rsidRDefault="00F646A1" w:rsidP="0084777D">
            <w:pPr>
              <w:shd w:val="clear" w:color="auto" w:fill="FFFFFF"/>
              <w:jc w:val="center"/>
              <w:rPr>
                <w:rFonts w:ascii="Arial" w:hAnsi="Arial" w:cs="Arial"/>
                <w:color w:val="000000" w:themeColor="text1"/>
              </w:rPr>
            </w:pPr>
          </w:p>
        </w:tc>
      </w:tr>
      <w:tr w:rsidR="00F646A1" w:rsidRPr="00F646A1" w14:paraId="686934CD" w14:textId="77777777" w:rsidTr="0084777D">
        <w:tc>
          <w:tcPr>
            <w:tcW w:w="1993" w:type="dxa"/>
          </w:tcPr>
          <w:p w14:paraId="05FFC2E3" w14:textId="77777777" w:rsidR="00F646A1" w:rsidRPr="00F646A1" w:rsidRDefault="00F646A1" w:rsidP="0084777D">
            <w:pPr>
              <w:shd w:val="clear" w:color="auto" w:fill="FFFFFF"/>
              <w:rPr>
                <w:rFonts w:ascii="Arial" w:hAnsi="Arial" w:cs="Arial"/>
                <w:color w:val="000000" w:themeColor="text1"/>
              </w:rPr>
            </w:pPr>
            <w:r w:rsidRPr="00F646A1">
              <w:rPr>
                <w:rFonts w:ascii="Arial" w:hAnsi="Arial" w:cs="Arial"/>
                <w:color w:val="000000" w:themeColor="text1"/>
              </w:rPr>
              <w:t>Functional Completeness</w:t>
            </w:r>
          </w:p>
        </w:tc>
        <w:tc>
          <w:tcPr>
            <w:tcW w:w="641" w:type="dxa"/>
          </w:tcPr>
          <w:p w14:paraId="3FE420DB"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178</w:t>
            </w:r>
          </w:p>
        </w:tc>
        <w:tc>
          <w:tcPr>
            <w:tcW w:w="601" w:type="dxa"/>
          </w:tcPr>
          <w:p w14:paraId="2DCD59B6"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69</w:t>
            </w:r>
          </w:p>
        </w:tc>
        <w:tc>
          <w:tcPr>
            <w:tcW w:w="601" w:type="dxa"/>
          </w:tcPr>
          <w:p w14:paraId="39F76107"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63</w:t>
            </w:r>
          </w:p>
        </w:tc>
        <w:tc>
          <w:tcPr>
            <w:tcW w:w="601" w:type="dxa"/>
          </w:tcPr>
          <w:p w14:paraId="62520F13"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25</w:t>
            </w:r>
          </w:p>
        </w:tc>
        <w:tc>
          <w:tcPr>
            <w:tcW w:w="601" w:type="dxa"/>
          </w:tcPr>
          <w:p w14:paraId="01193B53"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14</w:t>
            </w:r>
          </w:p>
        </w:tc>
        <w:tc>
          <w:tcPr>
            <w:tcW w:w="584" w:type="dxa"/>
          </w:tcPr>
          <w:p w14:paraId="40059673"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5</w:t>
            </w:r>
          </w:p>
        </w:tc>
        <w:tc>
          <w:tcPr>
            <w:tcW w:w="560" w:type="dxa"/>
          </w:tcPr>
          <w:p w14:paraId="31699591"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2</w:t>
            </w:r>
          </w:p>
        </w:tc>
        <w:tc>
          <w:tcPr>
            <w:tcW w:w="584" w:type="dxa"/>
          </w:tcPr>
          <w:p w14:paraId="3A9BAE2C"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w:t>
            </w:r>
          </w:p>
        </w:tc>
        <w:tc>
          <w:tcPr>
            <w:tcW w:w="560" w:type="dxa"/>
          </w:tcPr>
          <w:p w14:paraId="0175A74E"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199FFC3B"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720" w:type="dxa"/>
          </w:tcPr>
          <w:p w14:paraId="299C334F"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4.64</w:t>
            </w:r>
          </w:p>
        </w:tc>
      </w:tr>
      <w:tr w:rsidR="00F646A1" w:rsidRPr="00F646A1" w14:paraId="105FBBFD" w14:textId="77777777" w:rsidTr="0084777D">
        <w:tc>
          <w:tcPr>
            <w:tcW w:w="1993" w:type="dxa"/>
          </w:tcPr>
          <w:p w14:paraId="271B8F87" w14:textId="77777777" w:rsidR="00F646A1" w:rsidRPr="00F646A1" w:rsidRDefault="00F646A1" w:rsidP="0084777D">
            <w:pPr>
              <w:shd w:val="clear" w:color="auto" w:fill="FFFFFF"/>
              <w:rPr>
                <w:rFonts w:ascii="Arial" w:hAnsi="Arial" w:cs="Arial"/>
                <w:color w:val="000000" w:themeColor="text1"/>
              </w:rPr>
            </w:pPr>
            <w:r w:rsidRPr="00F646A1">
              <w:rPr>
                <w:rFonts w:ascii="Arial" w:hAnsi="Arial" w:cs="Arial"/>
                <w:color w:val="000000" w:themeColor="text1"/>
              </w:rPr>
              <w:t>Functional Correctness</w:t>
            </w:r>
          </w:p>
        </w:tc>
        <w:tc>
          <w:tcPr>
            <w:tcW w:w="641" w:type="dxa"/>
          </w:tcPr>
          <w:p w14:paraId="675DF12D"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172</w:t>
            </w:r>
          </w:p>
        </w:tc>
        <w:tc>
          <w:tcPr>
            <w:tcW w:w="601" w:type="dxa"/>
          </w:tcPr>
          <w:p w14:paraId="19FA41F6"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67</w:t>
            </w:r>
          </w:p>
        </w:tc>
        <w:tc>
          <w:tcPr>
            <w:tcW w:w="601" w:type="dxa"/>
          </w:tcPr>
          <w:p w14:paraId="30C14273"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68</w:t>
            </w:r>
          </w:p>
        </w:tc>
        <w:tc>
          <w:tcPr>
            <w:tcW w:w="601" w:type="dxa"/>
          </w:tcPr>
          <w:p w14:paraId="011F0595"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26</w:t>
            </w:r>
          </w:p>
        </w:tc>
        <w:tc>
          <w:tcPr>
            <w:tcW w:w="601" w:type="dxa"/>
          </w:tcPr>
          <w:p w14:paraId="1E25C367"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15</w:t>
            </w:r>
          </w:p>
        </w:tc>
        <w:tc>
          <w:tcPr>
            <w:tcW w:w="584" w:type="dxa"/>
          </w:tcPr>
          <w:p w14:paraId="29C60895"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6</w:t>
            </w:r>
          </w:p>
        </w:tc>
        <w:tc>
          <w:tcPr>
            <w:tcW w:w="560" w:type="dxa"/>
          </w:tcPr>
          <w:p w14:paraId="2D440A05"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2</w:t>
            </w:r>
          </w:p>
        </w:tc>
        <w:tc>
          <w:tcPr>
            <w:tcW w:w="584" w:type="dxa"/>
          </w:tcPr>
          <w:p w14:paraId="26412165"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w:t>
            </w:r>
          </w:p>
        </w:tc>
        <w:tc>
          <w:tcPr>
            <w:tcW w:w="560" w:type="dxa"/>
          </w:tcPr>
          <w:p w14:paraId="2BAAEB09"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5707711A"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720" w:type="dxa"/>
          </w:tcPr>
          <w:p w14:paraId="538AD6D0"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4.61</w:t>
            </w:r>
          </w:p>
        </w:tc>
      </w:tr>
      <w:tr w:rsidR="00F646A1" w:rsidRPr="00F646A1" w14:paraId="5B4CB456" w14:textId="77777777" w:rsidTr="0084777D">
        <w:tc>
          <w:tcPr>
            <w:tcW w:w="1993" w:type="dxa"/>
          </w:tcPr>
          <w:p w14:paraId="43BB84E5" w14:textId="77777777" w:rsidR="00F646A1" w:rsidRPr="00F646A1" w:rsidRDefault="00F646A1" w:rsidP="0084777D">
            <w:pPr>
              <w:shd w:val="clear" w:color="auto" w:fill="FFFFFF"/>
              <w:rPr>
                <w:rFonts w:ascii="Arial" w:hAnsi="Arial" w:cs="Arial"/>
                <w:color w:val="000000" w:themeColor="text1"/>
              </w:rPr>
            </w:pPr>
            <w:r w:rsidRPr="00F646A1">
              <w:rPr>
                <w:rFonts w:ascii="Arial" w:hAnsi="Arial" w:cs="Arial"/>
                <w:color w:val="000000" w:themeColor="text1"/>
              </w:rPr>
              <w:t>Functional Appropriateness</w:t>
            </w:r>
          </w:p>
        </w:tc>
        <w:tc>
          <w:tcPr>
            <w:tcW w:w="641" w:type="dxa"/>
          </w:tcPr>
          <w:p w14:paraId="0BE61093"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175</w:t>
            </w:r>
          </w:p>
        </w:tc>
        <w:tc>
          <w:tcPr>
            <w:tcW w:w="601" w:type="dxa"/>
          </w:tcPr>
          <w:p w14:paraId="1416808A"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68</w:t>
            </w:r>
          </w:p>
        </w:tc>
        <w:tc>
          <w:tcPr>
            <w:tcW w:w="601" w:type="dxa"/>
          </w:tcPr>
          <w:p w14:paraId="3E4DFD42"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65</w:t>
            </w:r>
          </w:p>
        </w:tc>
        <w:tc>
          <w:tcPr>
            <w:tcW w:w="601" w:type="dxa"/>
          </w:tcPr>
          <w:p w14:paraId="50F99F9F"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25</w:t>
            </w:r>
          </w:p>
        </w:tc>
        <w:tc>
          <w:tcPr>
            <w:tcW w:w="601" w:type="dxa"/>
          </w:tcPr>
          <w:p w14:paraId="136D7E04"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15</w:t>
            </w:r>
          </w:p>
        </w:tc>
        <w:tc>
          <w:tcPr>
            <w:tcW w:w="584" w:type="dxa"/>
          </w:tcPr>
          <w:p w14:paraId="6A881E77"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6</w:t>
            </w:r>
          </w:p>
        </w:tc>
        <w:tc>
          <w:tcPr>
            <w:tcW w:w="560" w:type="dxa"/>
          </w:tcPr>
          <w:p w14:paraId="0305B238"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2</w:t>
            </w:r>
          </w:p>
        </w:tc>
        <w:tc>
          <w:tcPr>
            <w:tcW w:w="584" w:type="dxa"/>
          </w:tcPr>
          <w:p w14:paraId="0C92D2E8"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w:t>
            </w:r>
          </w:p>
        </w:tc>
        <w:tc>
          <w:tcPr>
            <w:tcW w:w="560" w:type="dxa"/>
          </w:tcPr>
          <w:p w14:paraId="77B1C979"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7A8B2AD1"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720" w:type="dxa"/>
          </w:tcPr>
          <w:p w14:paraId="47F69F5E"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4.63</w:t>
            </w:r>
          </w:p>
        </w:tc>
      </w:tr>
      <w:tr w:rsidR="00F646A1" w:rsidRPr="00F646A1" w14:paraId="4BE32ABE" w14:textId="77777777" w:rsidTr="0084777D">
        <w:tc>
          <w:tcPr>
            <w:tcW w:w="1993" w:type="dxa"/>
          </w:tcPr>
          <w:p w14:paraId="28AF2342" w14:textId="77777777" w:rsidR="00F646A1" w:rsidRPr="00F646A1" w:rsidRDefault="00F646A1" w:rsidP="0084777D">
            <w:pPr>
              <w:shd w:val="clear" w:color="auto" w:fill="FFFFFF"/>
              <w:jc w:val="right"/>
              <w:rPr>
                <w:rFonts w:ascii="Arial" w:hAnsi="Arial" w:cs="Arial"/>
                <w:color w:val="000000" w:themeColor="text1"/>
              </w:rPr>
            </w:pPr>
            <w:r w:rsidRPr="00F646A1">
              <w:rPr>
                <w:rFonts w:ascii="Arial" w:hAnsi="Arial" w:cs="Arial"/>
                <w:b/>
                <w:bCs/>
                <w:color w:val="000000" w:themeColor="text1"/>
              </w:rPr>
              <w:t>Overall Mean</w:t>
            </w:r>
          </w:p>
        </w:tc>
        <w:tc>
          <w:tcPr>
            <w:tcW w:w="641" w:type="dxa"/>
          </w:tcPr>
          <w:p w14:paraId="61E8508C"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28670631"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13655EE5"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32F6298B"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28A495BC"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4D1117C6" w14:textId="77777777" w:rsidR="00F646A1" w:rsidRPr="00F646A1" w:rsidRDefault="00F646A1" w:rsidP="0084777D">
            <w:pPr>
              <w:shd w:val="clear" w:color="auto" w:fill="FFFFFF"/>
              <w:jc w:val="center"/>
              <w:rPr>
                <w:rFonts w:ascii="Arial" w:hAnsi="Arial" w:cs="Arial"/>
                <w:color w:val="000000" w:themeColor="text1"/>
              </w:rPr>
            </w:pPr>
          </w:p>
        </w:tc>
        <w:tc>
          <w:tcPr>
            <w:tcW w:w="560" w:type="dxa"/>
          </w:tcPr>
          <w:p w14:paraId="23C9F5E7"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15EB52C5" w14:textId="77777777" w:rsidR="00F646A1" w:rsidRPr="00F646A1" w:rsidRDefault="00F646A1" w:rsidP="0084777D">
            <w:pPr>
              <w:shd w:val="clear" w:color="auto" w:fill="FFFFFF"/>
              <w:jc w:val="center"/>
              <w:rPr>
                <w:rFonts w:ascii="Arial" w:hAnsi="Arial" w:cs="Arial"/>
                <w:color w:val="000000" w:themeColor="text1"/>
              </w:rPr>
            </w:pPr>
          </w:p>
        </w:tc>
        <w:tc>
          <w:tcPr>
            <w:tcW w:w="560" w:type="dxa"/>
          </w:tcPr>
          <w:p w14:paraId="7FD31DB7"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6127E0A0" w14:textId="77777777" w:rsidR="00F646A1" w:rsidRPr="00F646A1" w:rsidRDefault="00F646A1" w:rsidP="0084777D">
            <w:pPr>
              <w:shd w:val="clear" w:color="auto" w:fill="FFFFFF"/>
              <w:jc w:val="center"/>
              <w:rPr>
                <w:rFonts w:ascii="Arial" w:hAnsi="Arial" w:cs="Arial"/>
                <w:color w:val="000000" w:themeColor="text1"/>
              </w:rPr>
            </w:pPr>
          </w:p>
        </w:tc>
        <w:tc>
          <w:tcPr>
            <w:tcW w:w="720" w:type="dxa"/>
          </w:tcPr>
          <w:p w14:paraId="51E150BC"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4.63</w:t>
            </w:r>
          </w:p>
        </w:tc>
      </w:tr>
    </w:tbl>
    <w:p w14:paraId="64EB8AD2" w14:textId="77777777" w:rsidR="00F646A1" w:rsidRPr="00F646A1" w:rsidRDefault="00F646A1" w:rsidP="00F646A1">
      <w:pPr>
        <w:shd w:val="clear" w:color="auto" w:fill="FFFFFF"/>
        <w:rPr>
          <w:rFonts w:ascii="Arial" w:hAnsi="Arial" w:cs="Arial"/>
          <w:color w:val="000000" w:themeColor="text1"/>
        </w:rPr>
      </w:pPr>
    </w:p>
    <w:p w14:paraId="3B39854A" w14:textId="77777777" w:rsidR="00F646A1" w:rsidRPr="00F646A1" w:rsidRDefault="00F646A1" w:rsidP="00F646A1">
      <w:pPr>
        <w:spacing w:line="480" w:lineRule="auto"/>
        <w:ind w:firstLine="720"/>
        <w:jc w:val="both"/>
        <w:rPr>
          <w:rFonts w:ascii="Arial" w:hAnsi="Arial" w:cs="Arial"/>
          <w:color w:val="000000" w:themeColor="text1"/>
        </w:rPr>
      </w:pPr>
      <w:bookmarkStart w:id="8" w:name="bookmark=id.xpckonykw27" w:colFirst="0" w:colLast="0"/>
      <w:bookmarkEnd w:id="8"/>
      <w:r w:rsidRPr="00F646A1">
        <w:rPr>
          <w:rFonts w:ascii="Arial" w:hAnsi="Arial" w:cs="Arial"/>
          <w:color w:val="000000" w:themeColor="text1"/>
        </w:rPr>
        <w:t>Table 4-19 shows the evaluation result for functional suitability. The system obtained a Highly Acceptable rating for functional suitability, indicating that it provides all essential features required for effective event and conference management. Functions such as paper submission, reviewer assignment, membership management, registration, and notifications were found to be complete, accurate, and appropriate for supporting organizational workflows. The overall mean of 4.83 confirms that the system successfully met its intended functional objectives during full implementation.</w:t>
      </w:r>
    </w:p>
    <w:p w14:paraId="28BB2A0C" w14:textId="77777777" w:rsidR="00F646A1" w:rsidRPr="00F646A1" w:rsidRDefault="00F646A1" w:rsidP="00F646A1">
      <w:pPr>
        <w:pBdr>
          <w:top w:val="nil"/>
          <w:left w:val="nil"/>
          <w:bottom w:val="nil"/>
          <w:right w:val="nil"/>
          <w:between w:val="nil"/>
        </w:pBdr>
        <w:spacing w:after="200" w:line="360" w:lineRule="auto"/>
        <w:jc w:val="center"/>
        <w:rPr>
          <w:rFonts w:ascii="Arial" w:hAnsi="Arial" w:cs="Arial"/>
          <w:b/>
          <w:bCs/>
          <w:color w:val="000000" w:themeColor="text1"/>
        </w:rPr>
      </w:pPr>
      <w:bookmarkStart w:id="9" w:name="_heading=h.qlrs9cppjcya" w:colFirst="0" w:colLast="0"/>
      <w:bookmarkEnd w:id="9"/>
      <w:r w:rsidRPr="00F646A1">
        <w:rPr>
          <w:rFonts w:ascii="Arial" w:hAnsi="Arial" w:cs="Arial"/>
          <w:b/>
          <w:bCs/>
          <w:color w:val="000000" w:themeColor="text1"/>
        </w:rPr>
        <w:t>Table 4-19. Evaluation of Functional Suitability for Phase 2 (Full Implementation)</w:t>
      </w:r>
    </w:p>
    <w:tbl>
      <w:tblPr>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3"/>
        <w:gridCol w:w="641"/>
        <w:gridCol w:w="601"/>
        <w:gridCol w:w="601"/>
        <w:gridCol w:w="601"/>
        <w:gridCol w:w="601"/>
        <w:gridCol w:w="584"/>
        <w:gridCol w:w="560"/>
        <w:gridCol w:w="584"/>
        <w:gridCol w:w="560"/>
        <w:gridCol w:w="584"/>
        <w:gridCol w:w="720"/>
      </w:tblGrid>
      <w:tr w:rsidR="00F646A1" w:rsidRPr="00F646A1" w14:paraId="337B69AE" w14:textId="77777777" w:rsidTr="0084777D">
        <w:tc>
          <w:tcPr>
            <w:tcW w:w="1993" w:type="dxa"/>
          </w:tcPr>
          <w:p w14:paraId="2F48D0BF"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Criteria</w:t>
            </w:r>
          </w:p>
        </w:tc>
        <w:tc>
          <w:tcPr>
            <w:tcW w:w="641" w:type="dxa"/>
          </w:tcPr>
          <w:p w14:paraId="177D06AE"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32760C24"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75BC8D21"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5D7F12D6"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6F0292A7"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50C0F49F" w14:textId="77777777" w:rsidR="00F646A1" w:rsidRPr="00F646A1" w:rsidRDefault="00F646A1" w:rsidP="0084777D">
            <w:pPr>
              <w:shd w:val="clear" w:color="auto" w:fill="FFFFFF"/>
              <w:jc w:val="center"/>
              <w:rPr>
                <w:rFonts w:ascii="Arial" w:hAnsi="Arial" w:cs="Arial"/>
                <w:color w:val="000000" w:themeColor="text1"/>
              </w:rPr>
            </w:pPr>
          </w:p>
        </w:tc>
        <w:tc>
          <w:tcPr>
            <w:tcW w:w="560" w:type="dxa"/>
          </w:tcPr>
          <w:p w14:paraId="15755D98"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52943DED" w14:textId="77777777" w:rsidR="00F646A1" w:rsidRPr="00F646A1" w:rsidRDefault="00F646A1" w:rsidP="0084777D">
            <w:pPr>
              <w:shd w:val="clear" w:color="auto" w:fill="FFFFFF"/>
              <w:jc w:val="center"/>
              <w:rPr>
                <w:rFonts w:ascii="Arial" w:hAnsi="Arial" w:cs="Arial"/>
                <w:color w:val="000000" w:themeColor="text1"/>
              </w:rPr>
            </w:pPr>
          </w:p>
        </w:tc>
        <w:tc>
          <w:tcPr>
            <w:tcW w:w="560" w:type="dxa"/>
          </w:tcPr>
          <w:p w14:paraId="1C187F4C"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72D8440C" w14:textId="77777777" w:rsidR="00F646A1" w:rsidRPr="00F646A1" w:rsidRDefault="00F646A1" w:rsidP="0084777D">
            <w:pPr>
              <w:shd w:val="clear" w:color="auto" w:fill="FFFFFF"/>
              <w:jc w:val="center"/>
              <w:rPr>
                <w:rFonts w:ascii="Arial" w:hAnsi="Arial" w:cs="Arial"/>
                <w:color w:val="000000" w:themeColor="text1"/>
              </w:rPr>
            </w:pPr>
          </w:p>
        </w:tc>
        <w:tc>
          <w:tcPr>
            <w:tcW w:w="720" w:type="dxa"/>
          </w:tcPr>
          <w:p w14:paraId="6DB77E76"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Mean</w:t>
            </w:r>
          </w:p>
        </w:tc>
      </w:tr>
      <w:tr w:rsidR="00F646A1" w:rsidRPr="00F646A1" w14:paraId="637BFAF6" w14:textId="77777777" w:rsidTr="0084777D">
        <w:tc>
          <w:tcPr>
            <w:tcW w:w="1993" w:type="dxa"/>
          </w:tcPr>
          <w:p w14:paraId="209218F2"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Functional Suitability</w:t>
            </w:r>
          </w:p>
        </w:tc>
        <w:tc>
          <w:tcPr>
            <w:tcW w:w="641" w:type="dxa"/>
          </w:tcPr>
          <w:p w14:paraId="1FD3C280"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5</w:t>
            </w:r>
          </w:p>
        </w:tc>
        <w:tc>
          <w:tcPr>
            <w:tcW w:w="601" w:type="dxa"/>
          </w:tcPr>
          <w:p w14:paraId="19D96006"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w:t>
            </w:r>
          </w:p>
        </w:tc>
        <w:tc>
          <w:tcPr>
            <w:tcW w:w="601" w:type="dxa"/>
          </w:tcPr>
          <w:p w14:paraId="43459082"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4</w:t>
            </w:r>
          </w:p>
        </w:tc>
        <w:tc>
          <w:tcPr>
            <w:tcW w:w="601" w:type="dxa"/>
          </w:tcPr>
          <w:p w14:paraId="5EC5AC42"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w:t>
            </w:r>
          </w:p>
        </w:tc>
        <w:tc>
          <w:tcPr>
            <w:tcW w:w="601" w:type="dxa"/>
          </w:tcPr>
          <w:p w14:paraId="606E426E"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3</w:t>
            </w:r>
          </w:p>
        </w:tc>
        <w:tc>
          <w:tcPr>
            <w:tcW w:w="584" w:type="dxa"/>
          </w:tcPr>
          <w:p w14:paraId="00F769BB"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w:t>
            </w:r>
          </w:p>
        </w:tc>
        <w:tc>
          <w:tcPr>
            <w:tcW w:w="560" w:type="dxa"/>
          </w:tcPr>
          <w:p w14:paraId="2E9FD066"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2</w:t>
            </w:r>
          </w:p>
        </w:tc>
        <w:tc>
          <w:tcPr>
            <w:tcW w:w="584" w:type="dxa"/>
          </w:tcPr>
          <w:p w14:paraId="440AAC00"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w:t>
            </w:r>
          </w:p>
        </w:tc>
        <w:tc>
          <w:tcPr>
            <w:tcW w:w="560" w:type="dxa"/>
          </w:tcPr>
          <w:p w14:paraId="68756443"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1</w:t>
            </w:r>
          </w:p>
        </w:tc>
        <w:tc>
          <w:tcPr>
            <w:tcW w:w="584" w:type="dxa"/>
          </w:tcPr>
          <w:p w14:paraId="7A9441D7"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b/>
                <w:bCs/>
                <w:color w:val="000000" w:themeColor="text1"/>
              </w:rPr>
              <w:t>%</w:t>
            </w:r>
          </w:p>
        </w:tc>
        <w:tc>
          <w:tcPr>
            <w:tcW w:w="720" w:type="dxa"/>
          </w:tcPr>
          <w:p w14:paraId="24AEDDB4" w14:textId="77777777" w:rsidR="00F646A1" w:rsidRPr="00F646A1" w:rsidRDefault="00F646A1" w:rsidP="0084777D">
            <w:pPr>
              <w:shd w:val="clear" w:color="auto" w:fill="FFFFFF"/>
              <w:jc w:val="center"/>
              <w:rPr>
                <w:rFonts w:ascii="Arial" w:hAnsi="Arial" w:cs="Arial"/>
                <w:color w:val="000000" w:themeColor="text1"/>
              </w:rPr>
            </w:pPr>
          </w:p>
        </w:tc>
      </w:tr>
      <w:tr w:rsidR="00F646A1" w:rsidRPr="00F646A1" w14:paraId="72DD1659" w14:textId="77777777" w:rsidTr="0084777D">
        <w:tc>
          <w:tcPr>
            <w:tcW w:w="1993" w:type="dxa"/>
          </w:tcPr>
          <w:p w14:paraId="26578E87" w14:textId="77777777" w:rsidR="00F646A1" w:rsidRPr="00F646A1" w:rsidRDefault="00F646A1" w:rsidP="0084777D">
            <w:pPr>
              <w:shd w:val="clear" w:color="auto" w:fill="FFFFFF"/>
              <w:rPr>
                <w:rFonts w:ascii="Arial" w:hAnsi="Arial" w:cs="Arial"/>
                <w:color w:val="000000" w:themeColor="text1"/>
              </w:rPr>
            </w:pPr>
            <w:r w:rsidRPr="00F646A1">
              <w:rPr>
                <w:rFonts w:ascii="Arial" w:hAnsi="Arial" w:cs="Arial"/>
                <w:color w:val="000000" w:themeColor="text1"/>
              </w:rPr>
              <w:t>Functional Completeness</w:t>
            </w:r>
          </w:p>
        </w:tc>
        <w:tc>
          <w:tcPr>
            <w:tcW w:w="641" w:type="dxa"/>
          </w:tcPr>
          <w:p w14:paraId="08039EBF"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3</w:t>
            </w:r>
          </w:p>
        </w:tc>
        <w:tc>
          <w:tcPr>
            <w:tcW w:w="601" w:type="dxa"/>
          </w:tcPr>
          <w:p w14:paraId="0DEDC6BA"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75</w:t>
            </w:r>
          </w:p>
        </w:tc>
        <w:tc>
          <w:tcPr>
            <w:tcW w:w="601" w:type="dxa"/>
          </w:tcPr>
          <w:p w14:paraId="75ED9007"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w:t>
            </w:r>
          </w:p>
        </w:tc>
        <w:tc>
          <w:tcPr>
            <w:tcW w:w="601" w:type="dxa"/>
          </w:tcPr>
          <w:p w14:paraId="35BB612B"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25</w:t>
            </w:r>
          </w:p>
        </w:tc>
        <w:tc>
          <w:tcPr>
            <w:tcW w:w="601" w:type="dxa"/>
          </w:tcPr>
          <w:p w14:paraId="708B7593"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312A8921"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60" w:type="dxa"/>
          </w:tcPr>
          <w:p w14:paraId="47DB933A"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4DABE28C"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60" w:type="dxa"/>
          </w:tcPr>
          <w:p w14:paraId="561F03D4"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7EE2B63A"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720" w:type="dxa"/>
          </w:tcPr>
          <w:p w14:paraId="5A75C395"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4.75</w:t>
            </w:r>
          </w:p>
        </w:tc>
      </w:tr>
      <w:tr w:rsidR="00F646A1" w:rsidRPr="00F646A1" w14:paraId="2D39F6EC" w14:textId="77777777" w:rsidTr="0084777D">
        <w:tc>
          <w:tcPr>
            <w:tcW w:w="1993" w:type="dxa"/>
          </w:tcPr>
          <w:p w14:paraId="26AF51C4" w14:textId="77777777" w:rsidR="00F646A1" w:rsidRPr="00F646A1" w:rsidRDefault="00F646A1" w:rsidP="0084777D">
            <w:pPr>
              <w:shd w:val="clear" w:color="auto" w:fill="FFFFFF"/>
              <w:rPr>
                <w:rFonts w:ascii="Arial" w:hAnsi="Arial" w:cs="Arial"/>
                <w:color w:val="000000" w:themeColor="text1"/>
              </w:rPr>
            </w:pPr>
            <w:r w:rsidRPr="00F646A1">
              <w:rPr>
                <w:rFonts w:ascii="Arial" w:hAnsi="Arial" w:cs="Arial"/>
                <w:color w:val="000000" w:themeColor="text1"/>
              </w:rPr>
              <w:t>Functional Correctness</w:t>
            </w:r>
          </w:p>
        </w:tc>
        <w:tc>
          <w:tcPr>
            <w:tcW w:w="641" w:type="dxa"/>
          </w:tcPr>
          <w:p w14:paraId="2EE08261"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3</w:t>
            </w:r>
          </w:p>
        </w:tc>
        <w:tc>
          <w:tcPr>
            <w:tcW w:w="601" w:type="dxa"/>
          </w:tcPr>
          <w:p w14:paraId="75F68339"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75</w:t>
            </w:r>
          </w:p>
        </w:tc>
        <w:tc>
          <w:tcPr>
            <w:tcW w:w="601" w:type="dxa"/>
          </w:tcPr>
          <w:p w14:paraId="0D15268F"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w:t>
            </w:r>
          </w:p>
        </w:tc>
        <w:tc>
          <w:tcPr>
            <w:tcW w:w="601" w:type="dxa"/>
          </w:tcPr>
          <w:p w14:paraId="7F74F15F"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25</w:t>
            </w:r>
          </w:p>
        </w:tc>
        <w:tc>
          <w:tcPr>
            <w:tcW w:w="601" w:type="dxa"/>
          </w:tcPr>
          <w:p w14:paraId="445CB6E8"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33E1C39D"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60" w:type="dxa"/>
          </w:tcPr>
          <w:p w14:paraId="771A35FF"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43968148"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60" w:type="dxa"/>
          </w:tcPr>
          <w:p w14:paraId="7FEA748E"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60865DC6"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720" w:type="dxa"/>
          </w:tcPr>
          <w:p w14:paraId="1DC86E3E"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4.75</w:t>
            </w:r>
          </w:p>
        </w:tc>
      </w:tr>
      <w:tr w:rsidR="00F646A1" w:rsidRPr="00F646A1" w14:paraId="2FE1E24A" w14:textId="77777777" w:rsidTr="0084777D">
        <w:tc>
          <w:tcPr>
            <w:tcW w:w="1993" w:type="dxa"/>
          </w:tcPr>
          <w:p w14:paraId="23C290A1" w14:textId="77777777" w:rsidR="00F646A1" w:rsidRPr="00F646A1" w:rsidRDefault="00F646A1" w:rsidP="0084777D">
            <w:pPr>
              <w:shd w:val="clear" w:color="auto" w:fill="FFFFFF"/>
              <w:rPr>
                <w:rFonts w:ascii="Arial" w:hAnsi="Arial" w:cs="Arial"/>
                <w:color w:val="000000" w:themeColor="text1"/>
              </w:rPr>
            </w:pPr>
            <w:r w:rsidRPr="00F646A1">
              <w:rPr>
                <w:rFonts w:ascii="Arial" w:hAnsi="Arial" w:cs="Arial"/>
                <w:color w:val="000000" w:themeColor="text1"/>
              </w:rPr>
              <w:lastRenderedPageBreak/>
              <w:t>Functional Appropriateness</w:t>
            </w:r>
          </w:p>
        </w:tc>
        <w:tc>
          <w:tcPr>
            <w:tcW w:w="641" w:type="dxa"/>
          </w:tcPr>
          <w:p w14:paraId="7A33429B"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4</w:t>
            </w:r>
          </w:p>
        </w:tc>
        <w:tc>
          <w:tcPr>
            <w:tcW w:w="601" w:type="dxa"/>
          </w:tcPr>
          <w:p w14:paraId="1B8F3783"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100</w:t>
            </w:r>
          </w:p>
        </w:tc>
        <w:tc>
          <w:tcPr>
            <w:tcW w:w="601" w:type="dxa"/>
          </w:tcPr>
          <w:p w14:paraId="60515229"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601" w:type="dxa"/>
          </w:tcPr>
          <w:p w14:paraId="2AC9EA3A"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601" w:type="dxa"/>
          </w:tcPr>
          <w:p w14:paraId="1F2B8C2A"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64ACD99C"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60" w:type="dxa"/>
          </w:tcPr>
          <w:p w14:paraId="562511E8"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672CE21F"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60" w:type="dxa"/>
          </w:tcPr>
          <w:p w14:paraId="3FEBAE3B"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584" w:type="dxa"/>
          </w:tcPr>
          <w:p w14:paraId="4F87E7A6"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0</w:t>
            </w:r>
          </w:p>
        </w:tc>
        <w:tc>
          <w:tcPr>
            <w:tcW w:w="720" w:type="dxa"/>
          </w:tcPr>
          <w:p w14:paraId="2BCE9975" w14:textId="77777777" w:rsidR="00F646A1" w:rsidRPr="00F646A1" w:rsidRDefault="00F646A1" w:rsidP="0084777D">
            <w:pPr>
              <w:shd w:val="clear" w:color="auto" w:fill="FFFFFF"/>
              <w:jc w:val="center"/>
              <w:rPr>
                <w:rFonts w:ascii="Arial" w:hAnsi="Arial" w:cs="Arial"/>
                <w:color w:val="000000" w:themeColor="text1"/>
              </w:rPr>
            </w:pPr>
            <w:r w:rsidRPr="00F646A1">
              <w:rPr>
                <w:rFonts w:ascii="Arial" w:hAnsi="Arial" w:cs="Arial"/>
                <w:color w:val="000000" w:themeColor="text1"/>
              </w:rPr>
              <w:t>5.00</w:t>
            </w:r>
          </w:p>
        </w:tc>
      </w:tr>
      <w:tr w:rsidR="00F646A1" w:rsidRPr="00F646A1" w14:paraId="1FC32B85" w14:textId="77777777" w:rsidTr="0084777D">
        <w:tc>
          <w:tcPr>
            <w:tcW w:w="1993" w:type="dxa"/>
          </w:tcPr>
          <w:p w14:paraId="07B300FC" w14:textId="77777777" w:rsidR="00F646A1" w:rsidRPr="00F646A1" w:rsidRDefault="00F646A1" w:rsidP="0084777D">
            <w:pPr>
              <w:shd w:val="clear" w:color="auto" w:fill="FFFFFF"/>
              <w:jc w:val="right"/>
              <w:rPr>
                <w:rFonts w:ascii="Arial" w:hAnsi="Arial" w:cs="Arial"/>
                <w:color w:val="000000" w:themeColor="text1"/>
              </w:rPr>
            </w:pPr>
            <w:r w:rsidRPr="00F646A1">
              <w:rPr>
                <w:rFonts w:ascii="Arial" w:hAnsi="Arial" w:cs="Arial"/>
                <w:b/>
                <w:bCs/>
                <w:color w:val="000000" w:themeColor="text1"/>
              </w:rPr>
              <w:t>Overall Mean</w:t>
            </w:r>
          </w:p>
        </w:tc>
        <w:tc>
          <w:tcPr>
            <w:tcW w:w="641" w:type="dxa"/>
          </w:tcPr>
          <w:p w14:paraId="79397DB0"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2D97C758"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32C73EEE"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20C600A3" w14:textId="77777777" w:rsidR="00F646A1" w:rsidRPr="00F646A1" w:rsidRDefault="00F646A1" w:rsidP="0084777D">
            <w:pPr>
              <w:shd w:val="clear" w:color="auto" w:fill="FFFFFF"/>
              <w:jc w:val="center"/>
              <w:rPr>
                <w:rFonts w:ascii="Arial" w:hAnsi="Arial" w:cs="Arial"/>
                <w:color w:val="000000" w:themeColor="text1"/>
              </w:rPr>
            </w:pPr>
          </w:p>
        </w:tc>
        <w:tc>
          <w:tcPr>
            <w:tcW w:w="601" w:type="dxa"/>
          </w:tcPr>
          <w:p w14:paraId="67132E53"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65E5206F" w14:textId="77777777" w:rsidR="00F646A1" w:rsidRPr="00F646A1" w:rsidRDefault="00F646A1" w:rsidP="0084777D">
            <w:pPr>
              <w:shd w:val="clear" w:color="auto" w:fill="FFFFFF"/>
              <w:jc w:val="center"/>
              <w:rPr>
                <w:rFonts w:ascii="Arial" w:hAnsi="Arial" w:cs="Arial"/>
                <w:color w:val="000000" w:themeColor="text1"/>
              </w:rPr>
            </w:pPr>
          </w:p>
        </w:tc>
        <w:tc>
          <w:tcPr>
            <w:tcW w:w="560" w:type="dxa"/>
          </w:tcPr>
          <w:p w14:paraId="221A2CF3"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613B2BF5" w14:textId="77777777" w:rsidR="00F646A1" w:rsidRPr="00F646A1" w:rsidRDefault="00F646A1" w:rsidP="0084777D">
            <w:pPr>
              <w:shd w:val="clear" w:color="auto" w:fill="FFFFFF"/>
              <w:jc w:val="center"/>
              <w:rPr>
                <w:rFonts w:ascii="Arial" w:hAnsi="Arial" w:cs="Arial"/>
                <w:color w:val="000000" w:themeColor="text1"/>
              </w:rPr>
            </w:pPr>
          </w:p>
        </w:tc>
        <w:tc>
          <w:tcPr>
            <w:tcW w:w="560" w:type="dxa"/>
          </w:tcPr>
          <w:p w14:paraId="3612535C" w14:textId="77777777" w:rsidR="00F646A1" w:rsidRPr="00F646A1" w:rsidRDefault="00F646A1" w:rsidP="0084777D">
            <w:pPr>
              <w:shd w:val="clear" w:color="auto" w:fill="FFFFFF"/>
              <w:jc w:val="center"/>
              <w:rPr>
                <w:rFonts w:ascii="Arial" w:hAnsi="Arial" w:cs="Arial"/>
                <w:color w:val="000000" w:themeColor="text1"/>
              </w:rPr>
            </w:pPr>
          </w:p>
        </w:tc>
        <w:tc>
          <w:tcPr>
            <w:tcW w:w="584" w:type="dxa"/>
          </w:tcPr>
          <w:p w14:paraId="7814C5D6" w14:textId="77777777" w:rsidR="00F646A1" w:rsidRPr="00F646A1" w:rsidRDefault="00F646A1" w:rsidP="0084777D">
            <w:pPr>
              <w:shd w:val="clear" w:color="auto" w:fill="FFFFFF"/>
              <w:jc w:val="center"/>
              <w:rPr>
                <w:rFonts w:ascii="Arial" w:hAnsi="Arial" w:cs="Arial"/>
                <w:color w:val="000000" w:themeColor="text1"/>
              </w:rPr>
            </w:pPr>
          </w:p>
        </w:tc>
        <w:tc>
          <w:tcPr>
            <w:tcW w:w="720" w:type="dxa"/>
          </w:tcPr>
          <w:p w14:paraId="4FF6A5A4" w14:textId="77777777" w:rsidR="00F646A1" w:rsidRPr="00F646A1" w:rsidRDefault="00F646A1" w:rsidP="0084777D">
            <w:pPr>
              <w:rPr>
                <w:rFonts w:ascii="Arial" w:hAnsi="Arial" w:cs="Arial"/>
                <w:color w:val="000000" w:themeColor="text1"/>
              </w:rPr>
            </w:pPr>
            <w:r w:rsidRPr="00F646A1">
              <w:rPr>
                <w:rFonts w:ascii="Arial" w:hAnsi="Arial" w:cs="Arial"/>
                <w:b/>
                <w:bCs/>
                <w:color w:val="000000" w:themeColor="text1"/>
              </w:rPr>
              <w:t>4.83</w:t>
            </w:r>
          </w:p>
          <w:p w14:paraId="443D6B01" w14:textId="77777777" w:rsidR="00F646A1" w:rsidRPr="00F646A1" w:rsidRDefault="00F646A1" w:rsidP="0084777D">
            <w:pPr>
              <w:rPr>
                <w:rFonts w:ascii="Arial" w:hAnsi="Arial" w:cs="Arial"/>
                <w:color w:val="000000" w:themeColor="text1"/>
              </w:rPr>
            </w:pPr>
          </w:p>
          <w:p w14:paraId="033EEAD2" w14:textId="77777777" w:rsidR="00F646A1" w:rsidRPr="00F646A1" w:rsidRDefault="00F646A1" w:rsidP="0084777D">
            <w:pPr>
              <w:shd w:val="clear" w:color="auto" w:fill="FFFFFF"/>
              <w:jc w:val="center"/>
              <w:rPr>
                <w:rFonts w:ascii="Arial" w:hAnsi="Arial" w:cs="Arial"/>
                <w:color w:val="000000" w:themeColor="text1"/>
              </w:rPr>
            </w:pPr>
          </w:p>
        </w:tc>
      </w:tr>
    </w:tbl>
    <w:p w14:paraId="1D694DC2" w14:textId="77777777" w:rsidR="00F646A1" w:rsidRPr="00F646A1" w:rsidRDefault="00F646A1" w:rsidP="00F646A1">
      <w:pPr>
        <w:shd w:val="clear" w:color="auto" w:fill="FFFFFF"/>
        <w:rPr>
          <w:rFonts w:ascii="Arial" w:hAnsi="Arial" w:cs="Arial"/>
          <w:color w:val="000000" w:themeColor="text1"/>
        </w:rPr>
      </w:pPr>
      <w:bookmarkStart w:id="10" w:name="bookmark=id.dccwp777zwv" w:colFirst="0" w:colLast="0"/>
      <w:bookmarkEnd w:id="10"/>
    </w:p>
    <w:p w14:paraId="79B51487" w14:textId="77777777" w:rsidR="00F646A1" w:rsidRPr="00F646A1" w:rsidRDefault="00F646A1">
      <w:pPr>
        <w:rPr>
          <w:rFonts w:ascii="Arial" w:hAnsi="Arial" w:cs="Arial"/>
        </w:rPr>
      </w:pPr>
    </w:p>
    <w:sectPr w:rsidR="00F646A1" w:rsidRPr="00F646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277DD"/>
    <w:multiLevelType w:val="multilevel"/>
    <w:tmpl w:val="3E8878A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2014988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6A1"/>
    <w:rsid w:val="00424967"/>
    <w:rsid w:val="00F646A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56AB"/>
  <w15:chartTrackingRefBased/>
  <w15:docId w15:val="{97F398CC-F26B-4F75-9482-7F18A6619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6A1"/>
    <w:pPr>
      <w:spacing w:after="0" w:line="240" w:lineRule="auto"/>
    </w:pPr>
    <w:rPr>
      <w:rFonts w:ascii="Arial Narrow" w:eastAsia="Arial Narrow" w:hAnsi="Arial Narrow" w:cs="Arial Narrow"/>
      <w:kern w:val="0"/>
      <w:lang w:eastAsia="en-PH"/>
      <w14:ligatures w14:val="none"/>
    </w:rPr>
  </w:style>
  <w:style w:type="paragraph" w:styleId="Heading1">
    <w:name w:val="heading 1"/>
    <w:basedOn w:val="Normal"/>
    <w:next w:val="Normal"/>
    <w:link w:val="Heading1Char"/>
    <w:uiPriority w:val="9"/>
    <w:qFormat/>
    <w:rsid w:val="00F64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4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4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4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6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6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6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6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4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4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4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6A1"/>
    <w:rPr>
      <w:rFonts w:eastAsiaTheme="majorEastAsia" w:cstheme="majorBidi"/>
      <w:color w:val="272727" w:themeColor="text1" w:themeTint="D8"/>
    </w:rPr>
  </w:style>
  <w:style w:type="paragraph" w:styleId="Title">
    <w:name w:val="Title"/>
    <w:basedOn w:val="Normal"/>
    <w:next w:val="Normal"/>
    <w:link w:val="TitleChar"/>
    <w:uiPriority w:val="10"/>
    <w:qFormat/>
    <w:rsid w:val="00F646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6A1"/>
    <w:pPr>
      <w:spacing w:before="160"/>
      <w:jc w:val="center"/>
    </w:pPr>
    <w:rPr>
      <w:i/>
      <w:iCs/>
      <w:color w:val="404040" w:themeColor="text1" w:themeTint="BF"/>
    </w:rPr>
  </w:style>
  <w:style w:type="character" w:customStyle="1" w:styleId="QuoteChar">
    <w:name w:val="Quote Char"/>
    <w:basedOn w:val="DefaultParagraphFont"/>
    <w:link w:val="Quote"/>
    <w:uiPriority w:val="29"/>
    <w:rsid w:val="00F646A1"/>
    <w:rPr>
      <w:i/>
      <w:iCs/>
      <w:color w:val="404040" w:themeColor="text1" w:themeTint="BF"/>
    </w:rPr>
  </w:style>
  <w:style w:type="paragraph" w:styleId="ListParagraph">
    <w:name w:val="List Paragraph"/>
    <w:basedOn w:val="Normal"/>
    <w:uiPriority w:val="34"/>
    <w:qFormat/>
    <w:rsid w:val="00F646A1"/>
    <w:pPr>
      <w:ind w:left="720"/>
      <w:contextualSpacing/>
    </w:pPr>
  </w:style>
  <w:style w:type="character" w:styleId="IntenseEmphasis">
    <w:name w:val="Intense Emphasis"/>
    <w:basedOn w:val="DefaultParagraphFont"/>
    <w:uiPriority w:val="21"/>
    <w:qFormat/>
    <w:rsid w:val="00F646A1"/>
    <w:rPr>
      <w:i/>
      <w:iCs/>
      <w:color w:val="0F4761" w:themeColor="accent1" w:themeShade="BF"/>
    </w:rPr>
  </w:style>
  <w:style w:type="paragraph" w:styleId="IntenseQuote">
    <w:name w:val="Intense Quote"/>
    <w:basedOn w:val="Normal"/>
    <w:next w:val="Normal"/>
    <w:link w:val="IntenseQuoteChar"/>
    <w:uiPriority w:val="30"/>
    <w:qFormat/>
    <w:rsid w:val="00F64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6A1"/>
    <w:rPr>
      <w:i/>
      <w:iCs/>
      <w:color w:val="0F4761" w:themeColor="accent1" w:themeShade="BF"/>
    </w:rPr>
  </w:style>
  <w:style w:type="character" w:styleId="IntenseReference">
    <w:name w:val="Intense Reference"/>
    <w:basedOn w:val="DefaultParagraphFont"/>
    <w:uiPriority w:val="32"/>
    <w:qFormat/>
    <w:rsid w:val="00F646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 G. Perez</dc:creator>
  <cp:keywords/>
  <dc:description/>
  <cp:lastModifiedBy>Joann G. Perez</cp:lastModifiedBy>
  <cp:revision>1</cp:revision>
  <dcterms:created xsi:type="dcterms:W3CDTF">2026-08-17T12:50:00Z</dcterms:created>
  <dcterms:modified xsi:type="dcterms:W3CDTF">2026-08-17T12:52:00Z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1255d01b-66ae-429e-9368-bfe3e4197377</vt:lpwstr>
  </property>
</Properties>
</file>