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14475"/>
                    </a:xfrm>
                    <a:prstGeom prst="rect">
                      <a:avLst/>
                    </a:prstGeom>
                  </pic:spPr>
                </pic:pic>
              </a:graphicData>
            </a:graphic>
          </wp:inline>
        </w:drawing>
      </w:r>
    </w:p>
    <w:p>
      <w:pPr>
        <w:pBdr>
          <w:bottom w:val="single" w:color="F8D53C" w:sz="8" w:space="10"/>
        </w:pBdr>
        <w:spacing w:after="60"/>
        <w:jc w:val="center"/>
      </w:pPr>
      <w:r>
        <w:rPr>
          <w:rFonts w:ascii="Calibri" w:cs="Calibri" w:eastAsia="Calibri" w:hAnsi="Calibri"/>
          <w:b/>
          <w:bCs/>
          <w:color w:val="5A5A5A"/>
          <w:spacing w:val="20"/>
          <w:sz w:val="18"/>
          <w:szCs w:val="18"/>
        </w:rPr>
        <w:t xml:space="preserve">SERIE DE MANUALES · INTELIGENCIA ARTIFICIAL PARA LA GESTIÓN EDUCATIVA</w:t>
      </w:r>
    </w:p>
    <w:p>
      <w:pPr>
        <w:spacing w:after="500"/>
      </w:pPr>
      <w:r>
        <w:rPr>
          <w:sz w:val="12"/>
          <w:szCs w:val="12"/>
        </w:rPr>
        <w:t xml:space="preserve"/>
      </w:r>
    </w:p>
    <w:p>
      <w:pPr>
        <w:spacing w:after="120"/>
        <w:jc w:val="center"/>
      </w:pPr>
      <w:r>
        <w:rPr>
          <w:rFonts w:ascii="Calibri" w:cs="Calibri" w:eastAsia="Calibri" w:hAnsi="Calibri"/>
          <w:b/>
          <w:bCs/>
          <w:color w:val="1F84EB"/>
          <w:sz w:val="44"/>
          <w:szCs w:val="44"/>
        </w:rPr>
        <w:t xml:space="preserve">MANUAL 1</w:t>
      </w:r>
    </w:p>
    <w:p>
      <w:pPr>
        <w:spacing w:after="220"/>
        <w:jc w:val="center"/>
      </w:pPr>
      <w:r>
        <w:rPr>
          <w:rFonts w:ascii="Calibri" w:cs="Calibri" w:eastAsia="Calibri" w:hAnsi="Calibri"/>
          <w:b/>
          <w:bCs/>
          <w:color w:val="282828"/>
          <w:sz w:val="38"/>
          <w:szCs w:val="38"/>
        </w:rPr>
        <w:t xml:space="preserve">Importancia y ventajas de la inteligencia artificial en el contexto educativo nacional</w:t>
      </w:r>
    </w:p>
    <w:p>
      <w:pPr>
        <w:spacing w:after="700"/>
        <w:ind w:left="700" w:right="700"/>
        <w:jc w:val="center"/>
      </w:pPr>
      <w:r>
        <w:rPr>
          <w:rFonts w:ascii="Calibri" w:cs="Calibri" w:eastAsia="Calibri" w:hAnsi="Calibri"/>
          <w:i/>
          <w:iCs/>
          <w:color w:val="5A5A5A"/>
          <w:sz w:val="23"/>
          <w:szCs w:val="23"/>
        </w:rPr>
        <w:t xml:space="preserve">Por qué la IA es hoy un asunto de gestión, equidad y liderazgo en la educación pública del territorio</w:t>
      </w:r>
    </w:p>
    <w:p>
      <w:pPr>
        <w:spacing w:after="60"/>
        <w:jc w:val="center"/>
      </w:pPr>
      <w:r>
        <w:rPr>
          <w:rFonts w:ascii="Calibri" w:cs="Calibri" w:eastAsia="Calibri" w:hAnsi="Calibri"/>
          <w:b/>
          <w:bCs/>
          <w:color w:val="282828"/>
          <w:sz w:val="24"/>
          <w:szCs w:val="24"/>
        </w:rPr>
        <w:t xml:space="preserve">Servicio Local de Educación Pública Andalién Sur</w:t>
      </w:r>
    </w:p>
    <w:p>
      <w:pPr>
        <w:spacing w:after="60"/>
        <w:jc w:val="center"/>
      </w:pPr>
      <w:r>
        <w:rPr>
          <w:rFonts w:ascii="Calibri" w:cs="Calibri" w:eastAsia="Calibri" w:hAnsi="Calibri"/>
          <w:color w:val="5A5A5A"/>
          <w:sz w:val="21"/>
          <w:szCs w:val="21"/>
        </w:rPr>
        <w:t xml:space="preserve">Concepción · Chiguayante · Florida · Hualqui</w:t>
      </w:r>
    </w:p>
    <w:p>
      <w:pPr>
        <w:spacing w:after="400"/>
        <w:jc w:val="center"/>
      </w:pPr>
      <w:r>
        <w:rPr>
          <w:rFonts w:ascii="Calibri" w:cs="Calibri" w:eastAsia="Calibri" w:hAnsi="Calibri"/>
          <w:color w:val="5A5A5A"/>
          <w:sz w:val="21"/>
          <w:szCs w:val="21"/>
        </w:rPr>
        <w:t xml:space="preserve">Documento de trabajo · Propuesta técnica · 2026</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Presentación</w:t>
      </w:r>
    </w:p>
    <w:p>
      <w:pPr>
        <w:spacing w:after="140" w:line="300"/>
        <w:jc w:val="both"/>
      </w:pPr>
      <w:r>
        <w:rPr>
          <w:rFonts w:ascii="Calibri" w:cs="Calibri" w:eastAsia="Calibri" w:hAnsi="Calibri"/>
          <w:color w:val="282828"/>
          <w:sz w:val="22"/>
          <w:szCs w:val="22"/>
        </w:rPr>
        <w:t xml:space="preserve">Este manual abre la serie de cinco documentos que el Servicio Local de Educación Pública (SLEP) Andalién Sur pone a disposición de sus equipos directivos, técnico-pedagógicos, docentes y asistentes de la educación para incorporar la inteligencia artificial (IA) en la gestión educativa de manera informada, ética y con sentido pedagógico.</w:t>
      </w:r>
    </w:p>
    <w:p>
      <w:pPr>
        <w:spacing w:after="140" w:line="300"/>
        <w:jc w:val="both"/>
      </w:pPr>
      <w:r>
        <w:rPr>
          <w:rFonts w:ascii="Calibri" w:cs="Calibri" w:eastAsia="Calibri" w:hAnsi="Calibri"/>
          <w:color w:val="282828"/>
          <w:sz w:val="22"/>
          <w:szCs w:val="22"/>
        </w:rPr>
        <w:t xml:space="preserve">El Servicio administra los establecimientos educacionales públicos de las comunas de Concepción, Chiguayante, Florida y Hualqui. Esa escala y esa diversidad —jardines infantiles, escuelas rurales, liceos científico-humanistas y técnico-profesionales— son, a la vez, la principal oportunidad y el principal desafío de cualquier innovación que se quiera instalar.</w:t>
      </w:r>
    </w:p>
    <w:p>
      <w:pPr>
        <w:spacing w:after="140" w:line="300"/>
        <w:jc w:val="both"/>
      </w:pPr>
      <w:r>
        <w:rPr>
          <w:rFonts w:ascii="Calibri" w:cs="Calibri" w:eastAsia="Calibri" w:hAnsi="Calibri"/>
          <w:color w:val="282828"/>
          <w:sz w:val="22"/>
          <w:szCs w:val="22"/>
        </w:rPr>
        <w:t xml:space="preserve">La pregunta que organiza este manual no es si conviene usar IA, sino qué debemos cambiar en nuestra práctica directiva y pedagógica para aprovechar sus oportunidades y contener sus riesgos. Como plantea el Ministerio de Educación, frente a una tecnología disruptiva corresponde ir más allá del debate sobre usarla o no, y preguntarse cómo modificar la práctica para responder tanto a las oportunidades como a los riesgos que implica su uso para el aprendizaje (Ministerio de Educación de Chile, 2025).</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Serie completa de manuales</w:t>
            </w:r>
          </w:p>
          <w:p>
            <w:pPr>
              <w:spacing w:after="80" w:line="290"/>
              <w:jc w:val="both"/>
            </w:pPr>
            <w:r>
              <w:rPr>
                <w:rFonts w:ascii="Calibri" w:cs="Calibri" w:eastAsia="Calibri" w:hAnsi="Calibri"/>
                <w:color w:val="282828"/>
                <w:sz w:val="21"/>
                <w:szCs w:val="21"/>
              </w:rPr>
              <w:t xml:space="preserve">Manual 1. Importancia y ventajas de la IA en el contexto educativo nacional actual.</w:t>
            </w:r>
          </w:p>
          <w:p>
            <w:pPr>
              <w:spacing w:after="80" w:line="290"/>
              <w:jc w:val="both"/>
            </w:pPr>
            <w:r>
              <w:rPr>
                <w:rFonts w:ascii="Calibri" w:cs="Calibri" w:eastAsia="Calibri" w:hAnsi="Calibri"/>
                <w:color w:val="282828"/>
                <w:sz w:val="21"/>
                <w:szCs w:val="21"/>
              </w:rPr>
              <w:t xml:space="preserve">Manual 2. Uso ético de la información y tipos de uso de la IA en la gestión educativa.</w:t>
            </w:r>
          </w:p>
          <w:p>
            <w:pPr>
              <w:spacing w:after="80" w:line="290"/>
              <w:jc w:val="both"/>
            </w:pPr>
            <w:r>
              <w:rPr>
                <w:rFonts w:ascii="Calibri" w:cs="Calibri" w:eastAsia="Calibri" w:hAnsi="Calibri"/>
                <w:color w:val="282828"/>
                <w:sz w:val="21"/>
                <w:szCs w:val="21"/>
              </w:rPr>
              <w:t xml:space="preserve">Manual 3. Herramientas de IA y sus usos en el contexto escolar chileno.</w:t>
            </w:r>
          </w:p>
          <w:p>
            <w:pPr>
              <w:spacing w:after="80" w:line="290"/>
              <w:jc w:val="both"/>
            </w:pPr>
            <w:r>
              <w:rPr>
                <w:rFonts w:ascii="Calibri" w:cs="Calibri" w:eastAsia="Calibri" w:hAnsi="Calibri"/>
                <w:color w:val="282828"/>
                <w:sz w:val="21"/>
                <w:szCs w:val="21"/>
              </w:rPr>
              <w:t xml:space="preserve">Manual 4. Prompts efectivos para apoyar la gestión educativa.</w:t>
            </w:r>
          </w:p>
          <w:p>
            <w:pPr>
              <w:spacing w:after="80" w:line="290"/>
              <w:jc w:val="both"/>
            </w:pPr>
            <w:r>
              <w:rPr>
                <w:rFonts w:ascii="Calibri" w:cs="Calibri" w:eastAsia="Calibri" w:hAnsi="Calibri"/>
                <w:color w:val="282828"/>
                <w:sz w:val="21"/>
                <w:szCs w:val="21"/>
              </w:rPr>
              <w:t xml:space="preserve">Manual 5. Soporte técnico: cómo construir y sostener una plataforma propia.</w:t>
            </w:r>
          </w:p>
        </w:tc>
      </w:tr>
    </w:tbl>
    <w:p>
      <w:pPr>
        <w:spacing w:after="200"/>
      </w:pPr>
      <w:r>
        <w:rPr>
          <w:sz w:val="12"/>
          <w:szCs w:val="12"/>
        </w:rPr>
        <w:t xml:space="preserve"/>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A quién está dirigido</w:t>
            </w:r>
          </w:p>
          <w:p>
            <w:pPr>
              <w:spacing w:after="80" w:line="290"/>
              <w:jc w:val="both"/>
            </w:pPr>
            <w:r>
              <w:rPr>
                <w:rFonts w:ascii="Calibri" w:cs="Calibri" w:eastAsia="Calibri" w:hAnsi="Calibri"/>
                <w:color w:val="282828"/>
                <w:sz w:val="21"/>
                <w:szCs w:val="21"/>
              </w:rPr>
              <w:t xml:space="preserve">Directoras y directores de establecimientos del territorio Andalién Sur.</w:t>
            </w:r>
          </w:p>
          <w:p>
            <w:pPr>
              <w:spacing w:after="80" w:line="290"/>
              <w:jc w:val="both"/>
            </w:pPr>
            <w:r>
              <w:rPr>
                <w:rFonts w:ascii="Calibri" w:cs="Calibri" w:eastAsia="Calibri" w:hAnsi="Calibri"/>
                <w:color w:val="282828"/>
                <w:sz w:val="21"/>
                <w:szCs w:val="21"/>
              </w:rPr>
              <w:t xml:space="preserve">Jefaturas de Unidad Técnico-Pedagógica y coordinaciones de ciclo.</w:t>
            </w:r>
          </w:p>
          <w:p>
            <w:pPr>
              <w:spacing w:after="80" w:line="290"/>
              <w:jc w:val="both"/>
            </w:pPr>
            <w:r>
              <w:rPr>
                <w:rFonts w:ascii="Calibri" w:cs="Calibri" w:eastAsia="Calibri" w:hAnsi="Calibri"/>
                <w:color w:val="282828"/>
                <w:sz w:val="21"/>
                <w:szCs w:val="21"/>
              </w:rPr>
              <w:t xml:space="preserve">Equipos técnico-pedagógicos del Servicio Local.</w:t>
            </w:r>
          </w:p>
          <w:p>
            <w:pPr>
              <w:spacing w:after="80" w:line="290"/>
              <w:jc w:val="both"/>
            </w:pPr>
            <w:r>
              <w:rPr>
                <w:rFonts w:ascii="Calibri" w:cs="Calibri" w:eastAsia="Calibri" w:hAnsi="Calibri"/>
                <w:color w:val="282828"/>
                <w:sz w:val="21"/>
                <w:szCs w:val="21"/>
              </w:rPr>
              <w:t xml:space="preserve">Encargados de convivencia escolar, inspectoría y programas de integración.</w:t>
            </w:r>
          </w:p>
          <w:p>
            <w:pPr>
              <w:spacing w:after="80" w:line="290"/>
              <w:jc w:val="both"/>
            </w:pPr>
            <w:r>
              <w:rPr>
                <w:rFonts w:ascii="Calibri" w:cs="Calibri" w:eastAsia="Calibri" w:hAnsi="Calibri"/>
                <w:color w:val="282828"/>
                <w:sz w:val="21"/>
                <w:szCs w:val="21"/>
              </w:rPr>
              <w:t xml:space="preserve">Docentes y asistentes de la educación interesados en incorporar IA a su trabajo.</w:t>
            </w:r>
          </w:p>
        </w:tc>
      </w:tr>
    </w:tbl>
    <w:p>
      <w:pPr>
        <w:spacing w:after="200"/>
      </w:pPr>
      <w:r>
        <w:rPr>
          <w:sz w:val="12"/>
          <w:szCs w:val="12"/>
        </w:rPr>
        <w:t xml:space="preserve"/>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Naturaleza de este documento</w:t>
            </w:r>
          </w:p>
          <w:p>
            <w:pPr>
              <w:spacing w:after="80" w:line="290"/>
              <w:jc w:val="both"/>
            </w:pPr>
            <w:r>
              <w:rPr>
                <w:rFonts w:ascii="Calibri" w:cs="Calibri" w:eastAsia="Calibri" w:hAnsi="Calibri"/>
                <w:b/>
                <w:bCs/>
                <w:color w:val="282828"/>
                <w:sz w:val="21"/>
                <w:szCs w:val="21"/>
              </w:rPr>
              <w:t xml:space="preserve">Esta serie es una propuesta técnica, no un conjunto de lineamientos vigentes. </w:t>
            </w:r>
            <w:r>
              <w:rPr>
                <w:rFonts w:ascii="Calibri" w:cs="Calibri" w:eastAsia="Calibri" w:hAnsi="Calibri"/>
                <w:color w:val="282828"/>
                <w:sz w:val="21"/>
                <w:szCs w:val="21"/>
              </w:rPr>
              <w:t xml:space="preserve">Al momento de su elaboración, el Servicio Local no ha dictado instrucciones formales sobre el uso de inteligencia artificial, y nada de lo que aquí se plantea ha sido aprobado por una instancia institucional.</w:t>
            </w:r>
          </w:p>
          <w:p>
            <w:pPr>
              <w:spacing w:after="80" w:line="290"/>
              <w:jc w:val="both"/>
            </w:pPr>
            <w:r>
              <w:rPr>
                <w:rFonts w:ascii="Calibri" w:cs="Calibri" w:eastAsia="Calibri" w:hAnsi="Calibri"/>
                <w:color w:val="282828"/>
                <w:sz w:val="21"/>
                <w:szCs w:val="21"/>
              </w:rPr>
              <w:t xml:space="preserve">Los criterios, principios, listas y rutas que contiene se ofrecen como insumo para que el Servicio y sus establecimientos deliberen y decidan. Mientras eso no ocurra, deben leerse en modo propositivo y no normativo.</w:t>
            </w:r>
          </w:p>
          <w:p>
            <w:pPr>
              <w:spacing w:after="80" w:line="290"/>
              <w:jc w:val="both"/>
            </w:pPr>
            <w:r>
              <w:rPr>
                <w:rFonts w:ascii="Calibri" w:cs="Calibri" w:eastAsia="Calibri" w:hAnsi="Calibri"/>
                <w:b/>
                <w:bCs/>
                <w:color w:val="282828"/>
                <w:sz w:val="21"/>
                <w:szCs w:val="21"/>
              </w:rPr>
              <w:t xml:space="preserve">Las unidades y responsables señalados en las tablas son referenciales. </w:t>
            </w:r>
            <w:r>
              <w:rPr>
                <w:rFonts w:ascii="Calibri" w:cs="Calibri" w:eastAsia="Calibri" w:hAnsi="Calibri"/>
                <w:color w:val="282828"/>
                <w:sz w:val="21"/>
                <w:szCs w:val="21"/>
              </w:rPr>
              <w:t xml:space="preserve">Corresponde al Servicio determinar qué unidad asume cada función según su propia estructura interna.</w:t>
            </w:r>
          </w:p>
          <w:p>
            <w:pPr>
              <w:spacing w:after="80" w:line="290"/>
              <w:jc w:val="both"/>
            </w:pPr>
            <w:r>
              <w:rPr>
                <w:rFonts w:ascii="Calibri" w:cs="Calibri" w:eastAsia="Calibri" w:hAnsi="Calibri"/>
                <w:b/>
                <w:bCs/>
                <w:color w:val="282828"/>
                <w:sz w:val="21"/>
                <w:szCs w:val="21"/>
              </w:rPr>
              <w:t xml:space="preserve">Sobre las fuentes: </w:t>
            </w:r>
            <w:r>
              <w:rPr>
                <w:rFonts w:ascii="Calibri" w:cs="Calibri" w:eastAsia="Calibri" w:hAnsi="Calibri"/>
                <w:color w:val="282828"/>
                <w:sz w:val="21"/>
                <w:szCs w:val="21"/>
              </w:rPr>
              <w:t xml:space="preserve">las obras públicas citadas fueron leídas y verificadas. Dos materiales de formación recibidos junto con el encargo no consignan autoría ni fecha, y por eso se citan como documentos de trabajo sin autor.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Índice</w:t>
      </w:r>
    </w:p>
    <w:tbl>
      <w:tblPr>
        <w:tblW w:type="dxa" w:w="9360"/>
        <w:tblBorders>
          <w:top w:val="none"/>
          <w:left w:val="none"/>
          <w:bottom w:val="none"/>
          <w:right w:val="none"/>
          <w:insideH w:val="none"/>
          <w:insideV w:val="none"/>
        </w:tblBorders>
      </w:tblPr>
      <w:tblGrid>
        <w:gridCol w:w="8200"/>
        <w:gridCol w:w="1160"/>
      </w:tblGrid>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Presentación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 El punto de partida: qué está pasando en la educación chilena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 Una tecnología que llegó antes que las reglas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 Qué dice la evidencia disponible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 El marco chileno que habilita y limita el uso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2. Por qué importa: seis argumentos para el territorio Andalién Sur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 Devolver tiempo profesional a lo que solo puede hacer una persona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2.2 Sostener la mejora continua con datos, no con impresiones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2.3 Anticiparse en las trayectorias educativas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2.4 Ampliar la inclusión sin ampliar la brecha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2.5 Formar ciudadanía digital, que ya es contenido curricular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2.6 Hacer sostenible la gestión de un servicio de escala territorial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3. Ventajas concretas por ámbito de gestión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4. Evidencia de aula en escuelas chilenas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4.1 Qué muestran las experiencias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4.2 Fortalezas y desafíos que se repiten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10</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5. Condiciones habilitantes y riesgos que se deben gestionar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5.1 Riesgos documentados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5.2 Condiciones que el Servicio debe asegurar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5.3 El rol del liderazgo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6. Ruta de instalación sugerida para Andalién Sur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13</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7. Autoevaluación para el equipo directivo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Síntesis del manual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Referencias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Bibliografía complementaria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15</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 El punto de partida: qué está pasando en la educación chilena</w:t>
      </w:r>
    </w:p>
    <w:p>
      <w:pPr>
        <w:pStyle w:val="Heading2"/>
        <w:spacing w:after="140" w:before="280"/>
      </w:pPr>
      <w:r>
        <w:rPr>
          <w:rFonts w:ascii="Calibri" w:cs="Calibri" w:eastAsia="Calibri" w:hAnsi="Calibri"/>
          <w:b/>
          <w:bCs/>
          <w:color w:val="1F84EB"/>
          <w:sz w:val="26"/>
          <w:szCs w:val="26"/>
        </w:rPr>
        <w:t xml:space="preserve">1.1 Una tecnología que llegó antes que las reglas</w:t>
      </w:r>
    </w:p>
    <w:p>
      <w:pPr>
        <w:spacing w:after="140" w:line="300"/>
        <w:jc w:val="both"/>
      </w:pPr>
      <w:r>
        <w:rPr>
          <w:rFonts w:ascii="Calibri" w:cs="Calibri" w:eastAsia="Calibri" w:hAnsi="Calibri"/>
          <w:color w:val="282828"/>
          <w:sz w:val="22"/>
          <w:szCs w:val="22"/>
        </w:rPr>
        <w:t xml:space="preserve">La inteligencia artificial puede entenderse como la capacidad de las máquinas para realizar tareas que tradicionalmente han sido propias de la inteligencia humana, entre ellas la resolución de problemas complejos, la traducción de idiomas, el reconocimiento de voz o la toma de decisiones a partir de variables relevantes (Ministerio de Educación de Chile, 2025). Se trata de un campo con más de setenta años de historia, pero que dio un salto abrupto en 2022 con la aparición pública de ChatGPT.</w:t>
      </w:r>
    </w:p>
    <w:p>
      <w:pPr>
        <w:spacing w:after="140" w:line="300"/>
        <w:jc w:val="both"/>
      </w:pPr>
      <w:r>
        <w:rPr>
          <w:rFonts w:ascii="Calibri" w:cs="Calibri" w:eastAsia="Calibri" w:hAnsi="Calibri"/>
          <w:color w:val="282828"/>
          <w:sz w:val="22"/>
          <w:szCs w:val="22"/>
        </w:rPr>
        <w:t xml:space="preserve">La inteligencia artificial generativa (IAgen) corresponde a la aplicación de modelos preentrenados que resuelven requerimientos de los usuarios generando texto, audio, imágenes, videos u otras modalidades de datos (Ministerio de Educación de Chile, 2025). Es esta variante —accesible desde cualquier teléfono, con versiones gratuitas y sin necesidad de conocimientos técnicos— la que hoy está presente en las salas de clases y en las oficinas de nuestros establecimientos, con o sin autorización institucional.</w:t>
      </w:r>
    </w:p>
    <w:p>
      <w:pPr>
        <w:spacing w:after="140" w:line="300"/>
        <w:jc w:val="both"/>
      </w:pPr>
      <w:r>
        <w:rPr>
          <w:rFonts w:ascii="Calibri" w:cs="Calibri" w:eastAsia="Calibri" w:hAnsi="Calibri"/>
          <w:color w:val="282828"/>
          <w:sz w:val="22"/>
          <w:szCs w:val="22"/>
        </w:rPr>
        <w:t xml:space="preserve">El diagnóstico ministerial es claro: se han acentuado el poder computacional de estas tecnologías y la disponibilidad de nuevas herramientas, mientras las respuestas a los riesgos no han sido suficientemente rápidas ni sólidas, y la adopción no ha sido equitativa (Ministerio de Educación de Chile, 2025). Para un sostenedor público como el SLEP Andalién Sur, esa asimetría es un problema de equidad territorial: si la IA se adopta solo donde hay conectividad estable, equipos suficientes y docentes previamente capacitados, la brecha digital se convierte en una nueva brecha de aprendizaje.</w:t>
      </w:r>
    </w:p>
    <w:p>
      <w:pPr>
        <w:pStyle w:val="Heading2"/>
        <w:spacing w:after="140" w:before="280"/>
      </w:pPr>
      <w:r>
        <w:rPr>
          <w:rFonts w:ascii="Calibri" w:cs="Calibri" w:eastAsia="Calibri" w:hAnsi="Calibri"/>
          <w:b/>
          <w:bCs/>
          <w:color w:val="1F84EB"/>
          <w:sz w:val="26"/>
          <w:szCs w:val="26"/>
        </w:rPr>
        <w:t xml:space="preserve">1.2 Qué dice la evidencia disponible</w:t>
      </w:r>
    </w:p>
    <w:p>
      <w:pPr>
        <w:spacing w:after="140" w:line="300"/>
        <w:jc w:val="both"/>
      </w:pPr>
      <w:r>
        <w:rPr>
          <w:rFonts w:ascii="Calibri" w:cs="Calibri" w:eastAsia="Calibri" w:hAnsi="Calibri"/>
          <w:color w:val="282828"/>
          <w:sz w:val="22"/>
          <w:szCs w:val="22"/>
        </w:rPr>
        <w:t xml:space="preserve">La revisión sistemática de Bustamante Bula y Camacho Bonilla (2024), que analizó 52 artículos indexados en Scopus entre 2019 y 2023, identificó cuatro áreas temáticas donde la IA está impactando la educación escolar: los procesos de enseñanza, la pedagogía, currículo y formación docente, la gestión educativa, y las implicaciones éticas. Sus conclusiones señalan un potencial relevante para mejorar la calidad del aprendizaje, optimizar la gestión educativa y abordar desafíos como la personalización de la enseñanza, siempre que la implementación sea planificada con cuidado y enmarcada en principios éticos sólidos, acompañada de formación docente adecuada.</w:t>
      </w:r>
    </w:p>
    <w:p>
      <w:pPr>
        <w:spacing w:after="140" w:line="300"/>
        <w:jc w:val="both"/>
      </w:pPr>
      <w:r>
        <w:rPr>
          <w:rFonts w:ascii="Calibri" w:cs="Calibri" w:eastAsia="Calibri" w:hAnsi="Calibri"/>
          <w:color w:val="282828"/>
          <w:sz w:val="22"/>
          <w:szCs w:val="22"/>
        </w:rPr>
        <w:t xml:space="preserve">En el ámbito del liderazgo, el análisis bibliométrico de Adıgüzel et al. (2026), que revisó 188 documentos académicos publicados entre 2004 y 2024 junto a 30 informes globales de organismos internacionales, describe un desplazamiento del rol directivo: de gestor administrativo a estratega tecnopedagógico. Su hallazgo central es el modelo humano-IA-humano, que sitúa a la IA como copiloto y no como árbitro final, subrayando que los procesos educativos deben comenzar y terminar con la perspectiva humana.</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Dato relevante para la planificación del desarrollo profesional</w:t>
            </w:r>
          </w:p>
          <w:p>
            <w:pPr>
              <w:spacing w:after="80" w:line="290"/>
              <w:jc w:val="both"/>
            </w:pPr>
            <w:r>
              <w:rPr>
                <w:rFonts w:ascii="Calibri" w:cs="Calibri" w:eastAsia="Calibri" w:hAnsi="Calibri"/>
                <w:color w:val="282828"/>
                <w:sz w:val="21"/>
                <w:szCs w:val="21"/>
              </w:rPr>
              <w:t xml:space="preserve">Adıgüzel et al. (2026) reportan que, si bien alrededor del 50 % de los líderes educativos ya interactúa con IA, persiste una brecha sustancial de competencias en gobernanza algorítmica. Es decir: el uso avanza más rápido que la capacidad de dirigirlo.</w:t>
            </w:r>
          </w:p>
          <w:p>
            <w:pPr>
              <w:spacing w:after="80" w:line="290"/>
              <w:jc w:val="both"/>
            </w:pPr>
            <w:r>
              <w:rPr>
                <w:rFonts w:ascii="Calibri" w:cs="Calibri" w:eastAsia="Calibri" w:hAnsi="Calibri"/>
                <w:b/>
                <w:bCs/>
                <w:color w:val="1F84EB"/>
                <w:sz w:val="21"/>
                <w:szCs w:val="21"/>
              </w:rPr>
              <w:t xml:space="preserve">Implicancia para Andalién Sur: </w:t>
            </w:r>
            <w:r>
              <w:rPr>
                <w:rFonts w:ascii="Calibri" w:cs="Calibri" w:eastAsia="Calibri" w:hAnsi="Calibri"/>
                <w:color w:val="282828"/>
                <w:sz w:val="21"/>
                <w:szCs w:val="21"/>
              </w:rPr>
              <w:t xml:space="preserve">la prioridad formativa no es enseñar a usar la herramienta —eso ya está ocurriendo de manera espontánea— sino instalar criterio para decidir cuándo usarla, con qué resguardos y bajo qué reglas comunes.</w:t>
            </w:r>
          </w:p>
        </w:tc>
      </w:tr>
    </w:tbl>
    <w:p>
      <w:pPr>
        <w:spacing w:after="140" w:line="300"/>
        <w:jc w:val="both"/>
      </w:pPr>
      <w:r>
        <w:rPr>
          <w:rFonts w:ascii="Calibri" w:cs="Calibri" w:eastAsia="Calibri" w:hAnsi="Calibri"/>
          <w:color w:val="282828"/>
          <w:sz w:val="22"/>
          <w:szCs w:val="22"/>
        </w:rPr>
        <w:t xml:space="preserve">Los autores también advierten una brecha entre teoría y práctica: la literatura sigue siendo mayoritariamente normativa y carece de evidencia empírica sobre la interacción real entre director e IA (Adıgüzel et al., 2026). Esto obliga a la prudencia. Las ventajas que se describen en este manual son oportunidades documentadas y razonables, no resultados garantizados, y su verificación en el territorio corresponde a un proceso de monitoreo que el propio Servicio debe diseñar.</w:t>
      </w:r>
    </w:p>
    <w:p>
      <w:pPr>
        <w:pStyle w:val="Heading2"/>
        <w:spacing w:after="140" w:before="280"/>
      </w:pPr>
      <w:r>
        <w:rPr>
          <w:rFonts w:ascii="Calibri" w:cs="Calibri" w:eastAsia="Calibri" w:hAnsi="Calibri"/>
          <w:b/>
          <w:bCs/>
          <w:color w:val="1F84EB"/>
          <w:sz w:val="26"/>
          <w:szCs w:val="26"/>
        </w:rPr>
        <w:t xml:space="preserve">1.3 El marco chileno que habilita y limita el uso</w:t>
      </w:r>
    </w:p>
    <w:p>
      <w:pPr>
        <w:spacing w:after="140" w:line="300"/>
        <w:jc w:val="both"/>
      </w:pPr>
      <w:r>
        <w:rPr>
          <w:rFonts w:ascii="Calibri" w:cs="Calibri" w:eastAsia="Calibri" w:hAnsi="Calibri"/>
          <w:color w:val="282828"/>
          <w:sz w:val="22"/>
          <w:szCs w:val="22"/>
        </w:rPr>
        <w:t xml:space="preserve">El uso de IA en los establecimientos del Servicio no ocurre en un vacío normativo. Se inscribe, al menos, en cuatro referentes:</w:t>
      </w:r>
    </w:p>
    <w:p>
      <w:pPr>
        <w:pStyle w:val="ListParagraph"/>
        <w:numPr>
          <w:ilvl w:val="0"/>
          <w:numId w:val="2"/>
        </w:numPr>
        <w:spacing w:after="90" w:line="290"/>
        <w:jc w:val="both"/>
      </w:pPr>
      <w:r>
        <w:rPr>
          <w:rFonts w:ascii="Calibri" w:cs="Calibri" w:eastAsia="Calibri" w:hAnsi="Calibri"/>
          <w:b/>
          <w:bCs/>
          <w:color w:val="282828"/>
          <w:sz w:val="22"/>
          <w:szCs w:val="22"/>
        </w:rPr>
        <w:t xml:space="preserve">Ley N.º 21.040, </w:t>
      </w:r>
      <w:r>
        <w:rPr>
          <w:rFonts w:ascii="Calibri" w:cs="Calibri" w:eastAsia="Calibri" w:hAnsi="Calibri"/>
          <w:color w:val="282828"/>
          <w:sz w:val="22"/>
          <w:szCs w:val="22"/>
        </w:rPr>
        <w:t xml:space="preserve">que crea el Sistema de Educación Pública y define las obligaciones del Servicio Local en materia de calidad, mejora continua y equidad, junto con los instrumentos de gestión —Plan Estratégico Local y Plan Anual— que ordenan su acción (Ley N.º 21.040, 2017).</w:t>
      </w:r>
    </w:p>
    <w:p>
      <w:pPr>
        <w:pStyle w:val="ListParagraph"/>
        <w:numPr>
          <w:ilvl w:val="0"/>
          <w:numId w:val="2"/>
        </w:numPr>
        <w:spacing w:after="90" w:line="290"/>
        <w:jc w:val="both"/>
      </w:pPr>
      <w:r>
        <w:rPr>
          <w:rFonts w:ascii="Calibri" w:cs="Calibri" w:eastAsia="Calibri" w:hAnsi="Calibri"/>
          <w:b/>
          <w:bCs/>
          <w:color w:val="282828"/>
          <w:sz w:val="22"/>
          <w:szCs w:val="22"/>
        </w:rPr>
        <w:t xml:space="preserve">Política Nacional de Inteligencia Artificial, </w:t>
      </w:r>
      <w:r>
        <w:rPr>
          <w:rFonts w:ascii="Calibri" w:cs="Calibri" w:eastAsia="Calibri" w:hAnsi="Calibri"/>
          <w:color w:val="282828"/>
          <w:sz w:val="22"/>
          <w:szCs w:val="22"/>
        </w:rPr>
        <w:t xml:space="preserve">bajo cuyo marco el Ministerio de Educación ha desplegado recursos, orientaciones y oportunidades de desarrollo profesional docente (Ministerio de Educación de Chile, 2025; Ministerio de Ciencia, Tecnología, Conocimiento e Innovación, 2021).</w:t>
      </w:r>
    </w:p>
    <w:p>
      <w:pPr>
        <w:pStyle w:val="ListParagraph"/>
        <w:numPr>
          <w:ilvl w:val="0"/>
          <w:numId w:val="2"/>
        </w:numPr>
        <w:spacing w:after="90" w:line="290"/>
        <w:jc w:val="both"/>
      </w:pPr>
      <w:r>
        <w:rPr>
          <w:rFonts w:ascii="Calibri" w:cs="Calibri" w:eastAsia="Calibri" w:hAnsi="Calibri"/>
          <w:b/>
          <w:bCs/>
          <w:color w:val="282828"/>
          <w:sz w:val="22"/>
          <w:szCs w:val="22"/>
        </w:rPr>
        <w:t xml:space="preserve">Normativa de datos personales. </w:t>
      </w:r>
      <w:r>
        <w:rPr>
          <w:rFonts w:ascii="Calibri" w:cs="Calibri" w:eastAsia="Calibri" w:hAnsi="Calibri"/>
          <w:color w:val="282828"/>
          <w:sz w:val="22"/>
          <w:szCs w:val="22"/>
        </w:rPr>
        <w:t xml:space="preserve">La Ley N.º 19.628 y, especialmente, la Ley N.º 21.719 —que crea la Agencia de Protección de Datos Personales— fijan condiciones estrictas para el tratamiento de información de estudiantes, familias y funcionarios, que esta serie traduce en reglas prácticas en el Manual 2.</w:t>
      </w:r>
    </w:p>
    <w:p>
      <w:pPr>
        <w:pStyle w:val="ListParagraph"/>
        <w:numPr>
          <w:ilvl w:val="0"/>
          <w:numId w:val="2"/>
        </w:numPr>
        <w:spacing w:after="90" w:line="290"/>
        <w:jc w:val="both"/>
      </w:pPr>
      <w:r>
        <w:rPr>
          <w:rFonts w:ascii="Calibri" w:cs="Calibri" w:eastAsia="Calibri" w:hAnsi="Calibri"/>
          <w:b/>
          <w:bCs/>
          <w:color w:val="282828"/>
          <w:sz w:val="22"/>
          <w:szCs w:val="22"/>
        </w:rPr>
        <w:t xml:space="preserve">Marco para la Buena Dirección y el Liderazgo Escolar, </w:t>
      </w:r>
      <w:r>
        <w:rPr>
          <w:rFonts w:ascii="Calibri" w:cs="Calibri" w:eastAsia="Calibri" w:hAnsi="Calibri"/>
          <w:color w:val="282828"/>
          <w:sz w:val="22"/>
          <w:szCs w:val="22"/>
        </w:rPr>
        <w:t xml:space="preserve">que sitúa la gestión del conocimiento profesional y el uso de datos como recursos personales de los equipos directivos (Ministerio de Educación de Chile, 2015, 2018a).</w:t>
      </w:r>
    </w:p>
    <w:p>
      <w:pPr>
        <w:spacing w:after="140"/>
      </w:pPr>
      <w:r>
        <w:rPr>
          <w:sz w:val="12"/>
          <w:szCs w:val="12"/>
        </w:rPr>
        <w:t xml:space="preserve"/>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Una precisión sobre la dependencia de los establecimientos</w:t>
            </w:r>
          </w:p>
          <w:p>
            <w:pPr>
              <w:spacing w:after="80" w:line="290"/>
              <w:jc w:val="both"/>
            </w:pPr>
            <w:r>
              <w:rPr>
                <w:rFonts w:ascii="Calibri" w:cs="Calibri" w:eastAsia="Calibri" w:hAnsi="Calibri"/>
                <w:b/>
                <w:bCs/>
                <w:color w:val="282828"/>
                <w:sz w:val="21"/>
                <w:szCs w:val="21"/>
              </w:rPr>
              <w:t xml:space="preserve">Los establecimientos que administra un Servicio Local son de dependencia pública, no municipal. </w:t>
            </w:r>
            <w:r>
              <w:rPr>
                <w:rFonts w:ascii="Calibri" w:cs="Calibri" w:eastAsia="Calibri" w:hAnsi="Calibri"/>
                <w:color w:val="282828"/>
                <w:sz w:val="21"/>
                <w:szCs w:val="21"/>
              </w:rPr>
              <w:t xml:space="preserve">Con la entrada en vigencia de la Ley N.º 21.040, la administración se traspasó desde los municipios al Servicio Local, que pasó a ser el sostenedor.</w:t>
            </w:r>
          </w:p>
          <w:p>
            <w:pPr>
              <w:spacing w:after="80" w:line="290"/>
              <w:jc w:val="both"/>
            </w:pPr>
            <w:r>
              <w:rPr>
                <w:rFonts w:ascii="Calibri" w:cs="Calibri" w:eastAsia="Calibri" w:hAnsi="Calibri"/>
                <w:color w:val="282828"/>
                <w:sz w:val="21"/>
                <w:szCs w:val="21"/>
              </w:rPr>
              <w:t xml:space="preserve">La distinción no es terminológica. Cambia quién responde por la gestión, quién dicta las instrucciones, ante quién se rinde cuenta y cómo circula la información entre el nivel central y cada establecimiento.</w:t>
            </w:r>
          </w:p>
          <w:p>
            <w:pPr>
              <w:spacing w:after="80" w:line="290"/>
              <w:jc w:val="both"/>
            </w:pPr>
            <w:r>
              <w:rPr>
                <w:rFonts w:ascii="Calibri" w:cs="Calibri" w:eastAsia="Calibri" w:hAnsi="Calibri"/>
                <w:b/>
                <w:bCs/>
                <w:color w:val="282828"/>
                <w:sz w:val="21"/>
                <w:szCs w:val="21"/>
              </w:rPr>
              <w:t xml:space="preserve">A lo largo de esta serie, </w:t>
            </w:r>
            <w:r>
              <w:rPr>
                <w:rFonts w:ascii="Calibri" w:cs="Calibri" w:eastAsia="Calibri" w:hAnsi="Calibri"/>
                <w:color w:val="282828"/>
                <w:sz w:val="21"/>
                <w:szCs w:val="21"/>
              </w:rPr>
              <w:t xml:space="preserve">los ejemplos se refieren a establecimientos de educación pública sin fijarlos en una comuna determinada: lo que se describe debe ser reconocible tanto en un liceo urbano de alta matrícula como en una escuela rural pequeña, porque ambas realidades conviven en el territorio.</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2. Por qué importa: seis argumentos para el territorio Andalién Sur</w:t>
      </w:r>
    </w:p>
    <w:p>
      <w:pPr>
        <w:spacing w:after="140" w:line="300"/>
        <w:jc w:val="both"/>
      </w:pPr>
      <w:r>
        <w:rPr>
          <w:rFonts w:ascii="Calibri" w:cs="Calibri" w:eastAsia="Calibri" w:hAnsi="Calibri"/>
          <w:color w:val="282828"/>
          <w:sz w:val="22"/>
          <w:szCs w:val="22"/>
        </w:rPr>
        <w:t xml:space="preserve">Las razones para incorporar IA en la gestión educativa del Servicio no son tecnológicas, sino pedagógicas y de equidad. Se presentan aquí seis argumentos, cada uno vinculado a una necesidad concreta del territorio.</w:t>
      </w:r>
    </w:p>
    <w:p>
      <w:pPr>
        <w:pStyle w:val="Heading2"/>
        <w:spacing w:after="140" w:before="280"/>
      </w:pPr>
      <w:r>
        <w:rPr>
          <w:rFonts w:ascii="Calibri" w:cs="Calibri" w:eastAsia="Calibri" w:hAnsi="Calibri"/>
          <w:b/>
          <w:bCs/>
          <w:color w:val="1F84EB"/>
          <w:sz w:val="26"/>
          <w:szCs w:val="26"/>
        </w:rPr>
        <w:t xml:space="preserve">2.1 Devolver tiempo profesional a lo que solo puede hacer una persona</w:t>
      </w:r>
    </w:p>
    <w:p>
      <w:pPr>
        <w:spacing w:after="140" w:line="300"/>
        <w:jc w:val="both"/>
      </w:pPr>
      <w:r>
        <w:rPr>
          <w:rFonts w:ascii="Calibri" w:cs="Calibri" w:eastAsia="Calibri" w:hAnsi="Calibri"/>
          <w:color w:val="282828"/>
          <w:sz w:val="22"/>
          <w:szCs w:val="22"/>
        </w:rPr>
        <w:t xml:space="preserve">El primer principio propuesto por el Ministerio de Educación es usar la IA para potenciar lo que nos hace humanos: elementos como la autoconciencia, la intuición, la intencionalidad, la capacidad de sentir y la empatía son aspectos que la IA es incapaz de replicar, pero que sí puede ayudarnos a desarrollar liberando tiempo (Ministerio de Educación de Chile, 2025). Adıgüzel et al. (2026) documentan además el potencial de la IA para reducir cargas de trabajo administrativas.</w:t>
      </w:r>
    </w:p>
    <w:p>
      <w:pPr>
        <w:spacing w:after="140" w:line="300"/>
        <w:jc w:val="both"/>
      </w:pPr>
      <w:r>
        <w:rPr>
          <w:rFonts w:ascii="Calibri" w:cs="Calibri" w:eastAsia="Calibri" w:hAnsi="Calibri"/>
          <w:color w:val="282828"/>
          <w:sz w:val="22"/>
          <w:szCs w:val="22"/>
        </w:rPr>
        <w:t xml:space="preserve">En un establecimiento del territorio, esto significa que las horas hoy destinadas a redactar la versión preliminar de un informe de gestión, a tabular una encuesta de convivencia o a formatear un acta pueden reorientarse al acompañamiento de aula, a la entrevista con una familia o a la retroalimentación de una planificación.</w:t>
      </w:r>
    </w:p>
    <w:p>
      <w:pPr>
        <w:pStyle w:val="Heading2"/>
        <w:spacing w:after="140" w:before="280"/>
      </w:pPr>
      <w:r>
        <w:rPr>
          <w:rFonts w:ascii="Calibri" w:cs="Calibri" w:eastAsia="Calibri" w:hAnsi="Calibri"/>
          <w:b/>
          <w:bCs/>
          <w:color w:val="1F84EB"/>
          <w:sz w:val="26"/>
          <w:szCs w:val="26"/>
        </w:rPr>
        <w:t xml:space="preserve">2.2 Sostener la mejora continua con datos, no con impresiones</w:t>
      </w:r>
    </w:p>
    <w:p>
      <w:pPr>
        <w:spacing w:after="140" w:line="300"/>
        <w:jc w:val="both"/>
      </w:pPr>
      <w:r>
        <w:rPr>
          <w:rFonts w:ascii="Calibri" w:cs="Calibri" w:eastAsia="Calibri" w:hAnsi="Calibri"/>
          <w:color w:val="282828"/>
          <w:sz w:val="22"/>
          <w:szCs w:val="22"/>
        </w:rPr>
        <w:t xml:space="preserve">El uso de datos para la toma de decisiones ha sido históricamente débil en el sistema escolar. Howard et al. (2022, citados en Bustamante Bula &amp; Camacho Bonilla, 2024) constatan que se les está dando poco uso a los datos para la toma de decisiones en el campo educativo. En la misma línea, el Ministerio de Educación plantea que trabajar con los datos genera una noción de realidad y permite ir más allá de la línea de las percepciones personales, ponderando las intuiciones y orientando las acciones para mejorar las trayectorias escolares (Ministerio de Educación de Chile, 2018a).</w:t>
      </w:r>
    </w:p>
    <w:p>
      <w:pPr>
        <w:spacing w:after="140" w:line="300"/>
        <w:jc w:val="both"/>
      </w:pPr>
      <w:r>
        <w:rPr>
          <w:rFonts w:ascii="Calibri" w:cs="Calibri" w:eastAsia="Calibri" w:hAnsi="Calibri"/>
          <w:color w:val="282828"/>
          <w:sz w:val="22"/>
          <w:szCs w:val="22"/>
        </w:rPr>
        <w:t xml:space="preserve">La IA no reemplaza el análisis, pero baja drásticamente el costo de hacerlo: permite ordenar información dispersa, sugerir preguntas que los datos podrían responder y transformar una planilla en una narrativa comprensible para un Consejo de Profesores.</w:t>
      </w:r>
    </w:p>
    <w:p>
      <w:pPr>
        <w:pStyle w:val="Heading2"/>
        <w:spacing w:after="140" w:before="280"/>
      </w:pPr>
      <w:r>
        <w:rPr>
          <w:rFonts w:ascii="Calibri" w:cs="Calibri" w:eastAsia="Calibri" w:hAnsi="Calibri"/>
          <w:b/>
          <w:bCs/>
          <w:color w:val="1F84EB"/>
          <w:sz w:val="26"/>
          <w:szCs w:val="26"/>
        </w:rPr>
        <w:t xml:space="preserve">2.3 Anticiparse en las trayectorias educativas</w:t>
      </w:r>
    </w:p>
    <w:p>
      <w:pPr>
        <w:spacing w:after="140" w:line="300"/>
        <w:jc w:val="both"/>
      </w:pPr>
      <w:r>
        <w:rPr>
          <w:rFonts w:ascii="Calibri" w:cs="Calibri" w:eastAsia="Calibri" w:hAnsi="Calibri"/>
          <w:color w:val="282828"/>
          <w:sz w:val="22"/>
          <w:szCs w:val="22"/>
        </w:rPr>
        <w:t xml:space="preserve">La deserción y la asistencia crítica son problemas centrales de la educación pública. Niyogisubizo et al. (2022, citados en Bustamante Bula &amp; Camacho Bonilla, 2024) proponen sistemas de detección de causas de deserción escolar en educación secundaria y destacan su potencial para fortalecer la permanencia y el rendimiento académico.</w:t>
      </w:r>
    </w:p>
    <w:p>
      <w:pPr>
        <w:spacing w:after="140" w:line="300"/>
        <w:jc w:val="both"/>
      </w:pPr>
      <w:r>
        <w:rPr>
          <w:rFonts w:ascii="Calibri" w:cs="Calibri" w:eastAsia="Calibri" w:hAnsi="Calibri"/>
          <w:color w:val="282828"/>
          <w:sz w:val="22"/>
          <w:szCs w:val="22"/>
        </w:rPr>
        <w:t xml:space="preserve">Para el Servicio, esto abre una línea de trabajo consistente con su mandato legal: implementar un sistema de monitoreo y seguimiento del progreso de cada estudiante. La IA puede apoyar la lectura de esos datos agregados, siempre que las decisiones sobre cada estudiante en particular sigan siendo humanas, informadas y conversadas con la familia.</w:t>
      </w:r>
    </w:p>
    <w:p>
      <w:pPr>
        <w:pStyle w:val="Heading2"/>
        <w:spacing w:after="140" w:before="280"/>
      </w:pPr>
      <w:r>
        <w:rPr>
          <w:rFonts w:ascii="Calibri" w:cs="Calibri" w:eastAsia="Calibri" w:hAnsi="Calibri"/>
          <w:b/>
          <w:bCs/>
          <w:color w:val="1F84EB"/>
          <w:sz w:val="26"/>
          <w:szCs w:val="26"/>
        </w:rPr>
        <w:t xml:space="preserve">2.4 Ampliar la inclusión sin ampliar la brecha</w:t>
      </w:r>
    </w:p>
    <w:p>
      <w:pPr>
        <w:spacing w:after="140" w:line="300"/>
        <w:jc w:val="both"/>
      </w:pPr>
      <w:r>
        <w:rPr>
          <w:rFonts w:ascii="Calibri" w:cs="Calibri" w:eastAsia="Calibri" w:hAnsi="Calibri"/>
          <w:color w:val="282828"/>
          <w:sz w:val="22"/>
          <w:szCs w:val="22"/>
        </w:rPr>
        <w:t xml:space="preserve">La IA generativa puede ser una herramienta para promover la equidad y la inclusión si se usa para ampliar y diversificar el acceso al aprendizaje; también puede ampliar las brechas existentes si no se usa de manera consciente (Ministerio de Educación de Chile, 2025). Reiss (2021, citado en Bustamante Bula &amp; Camacho Bonilla, 2024) sostiene que los mayores beneficios en los procesos de enseñanza se verán primero en estudiantes con necesidades educativas especiales.</w:t>
      </w:r>
    </w:p>
    <w:p>
      <w:pPr>
        <w:spacing w:after="140" w:line="300"/>
        <w:jc w:val="both"/>
      </w:pPr>
      <w:r>
        <w:rPr>
          <w:rFonts w:ascii="Calibri" w:cs="Calibri" w:eastAsia="Calibri" w:hAnsi="Calibri"/>
          <w:color w:val="282828"/>
          <w:sz w:val="22"/>
          <w:szCs w:val="22"/>
        </w:rPr>
        <w:t xml:space="preserve">La diversidad del territorio —que reúne establecimientos urbanos de alta matrícula junto a escuelas rurales, en sus cuatro comunas— exige que cualquier plan de adopción parta por las condiciones materiales: conectividad, equipamiento y tiempo docente. Sin ese piso, la innovación amplifica la desigualdad en lugar de reducirla.</w:t>
      </w:r>
    </w:p>
    <w:p>
      <w:pPr>
        <w:pStyle w:val="Heading2"/>
        <w:spacing w:after="140" w:before="280"/>
      </w:pPr>
      <w:r>
        <w:rPr>
          <w:rFonts w:ascii="Calibri" w:cs="Calibri" w:eastAsia="Calibri" w:hAnsi="Calibri"/>
          <w:b/>
          <w:bCs/>
          <w:color w:val="1F84EB"/>
          <w:sz w:val="26"/>
          <w:szCs w:val="26"/>
        </w:rPr>
        <w:t xml:space="preserve">2.5 Formar ciudadanía digital, que ya es contenido curricular</w:t>
      </w:r>
    </w:p>
    <w:p>
      <w:pPr>
        <w:spacing w:after="140" w:line="300"/>
        <w:jc w:val="both"/>
      </w:pPr>
      <w:r>
        <w:rPr>
          <w:rFonts w:ascii="Calibri" w:cs="Calibri" w:eastAsia="Calibri" w:hAnsi="Calibri"/>
          <w:color w:val="282828"/>
          <w:sz w:val="22"/>
          <w:szCs w:val="22"/>
        </w:rPr>
        <w:t xml:space="preserve">La IA no es solo una herramienta de trabajo: es un objeto de estudio. Bajo el enfoque de Ciudadanía Digital, corresponde enseñar a las y los estudiantes a comprender cómo funcionan estos sistemas y a desarrollar una perspectiva crítica sobre su uso (Ministerio de Educación de Chile, 2023, 2025). Las experiencias sistematizadas por Ortiz González y Fourt (2025) muestran que este trabajo es viable en aulas chilenas reales y que, lejos de promover dependencia tecnológica, puede funcionar como acelerador del pensamiento crítico cuando obliga a estudiantes a verificar, editar y adaptar la información generada.</w:t>
      </w:r>
    </w:p>
    <w:p>
      <w:pPr>
        <w:pStyle w:val="Heading2"/>
        <w:spacing w:after="140" w:before="280"/>
      </w:pPr>
      <w:r>
        <w:rPr>
          <w:rFonts w:ascii="Calibri" w:cs="Calibri" w:eastAsia="Calibri" w:hAnsi="Calibri"/>
          <w:b/>
          <w:bCs/>
          <w:color w:val="1F84EB"/>
          <w:sz w:val="26"/>
          <w:szCs w:val="26"/>
        </w:rPr>
        <w:t xml:space="preserve">2.6 Hacer sostenible la gestión de un servicio de escala territorial</w:t>
      </w:r>
    </w:p>
    <w:p>
      <w:pPr>
        <w:spacing w:after="140" w:line="300"/>
        <w:jc w:val="both"/>
      </w:pPr>
      <w:r>
        <w:rPr>
          <w:rFonts w:ascii="Calibri" w:cs="Calibri" w:eastAsia="Calibri" w:hAnsi="Calibri"/>
          <w:color w:val="282828"/>
          <w:sz w:val="22"/>
          <w:szCs w:val="22"/>
        </w:rPr>
        <w:t xml:space="preserve">Un Servicio Local coordina sus establecimientos mediante los instrumentos que la Ley N.º 21.040 establece: Plan Estratégico Local, Plan Anual y convenios de gestión, con procesos participativos ante el Comité Directivo Local y el Consejo Local. Cada uno de esos procesos genera documentos, actas, consolidaciones y reportes. Inusah et al. (2023, citados en Bustamante Bula &amp; Camacho Bonilla, 2024) documentan cómo sistemas inteligentes de monitoreo de recursos mejoraron tiempos de entrega e incrementaron la velocidad en la toma de decisiones en un sistema escolar público.</w:t>
      </w:r>
    </w:p>
    <w:p>
      <w:pPr>
        <w:spacing w:after="140" w:line="300"/>
        <w:jc w:val="both"/>
      </w:pPr>
      <w:r>
        <w:rPr>
          <w:rFonts w:ascii="Calibri" w:cs="Calibri" w:eastAsia="Calibri" w:hAnsi="Calibri"/>
          <w:color w:val="282828"/>
          <w:sz w:val="22"/>
          <w:szCs w:val="22"/>
        </w:rPr>
        <w:t xml:space="preserve">El valor de la IA aquí no es sustituir la deliberación, sino sostener la trazabilidad: sintetizar aportes de procesos participativos, comparar versiones de un PEI, o preparar minutas que permitan a los equipos llegar a la conversación con la información ya ordenada.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3. Ventajas concretas por ámbito de gestión</w:t>
      </w:r>
    </w:p>
    <w:p>
      <w:pPr>
        <w:spacing w:after="140" w:line="300"/>
        <w:jc w:val="both"/>
      </w:pPr>
      <w:r>
        <w:rPr>
          <w:rFonts w:ascii="Calibri" w:cs="Calibri" w:eastAsia="Calibri" w:hAnsi="Calibri"/>
          <w:color w:val="282828"/>
          <w:sz w:val="22"/>
          <w:szCs w:val="22"/>
        </w:rPr>
        <w:t xml:space="preserve">La tabla siguiente organiza las ventajas por ámbito de la gestión escolar, con la situación típica en el territorio y el aporte esperable de la IA. Todas las aplicaciones suponen validación humana previa a cualquier uso oficial.</w:t>
      </w:r>
    </w:p>
    <w:p>
      <w:pPr>
        <w:spacing w:after="40" w:before="240"/>
      </w:pPr>
      <w:r>
        <w:rPr>
          <w:rFonts w:ascii="Calibri" w:cs="Calibri" w:eastAsia="Calibri" w:hAnsi="Calibri"/>
          <w:b/>
          <w:bCs/>
          <w:color w:val="282828"/>
          <w:sz w:val="20"/>
          <w:szCs w:val="20"/>
        </w:rPr>
        <w:t xml:space="preserve">Tabla 1</w:t>
      </w:r>
    </w:p>
    <w:p>
      <w:pPr>
        <w:spacing w:after="110"/>
      </w:pPr>
      <w:r>
        <w:rPr>
          <w:rFonts w:ascii="Calibri" w:cs="Calibri" w:eastAsia="Calibri" w:hAnsi="Calibri"/>
          <w:i/>
          <w:iCs/>
          <w:color w:val="282828"/>
          <w:sz w:val="20"/>
          <w:szCs w:val="20"/>
        </w:rPr>
        <w:t xml:space="preserve">Ventajas de la IA por ámbito de gestión en el territorio Andalién Sur</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2700"/>
        <w:gridCol w:w="2700"/>
        <w:gridCol w:w="22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Ámbito</w:t>
            </w:r>
          </w:p>
        </w:tc>
        <w:tc>
          <w:tcPr>
            <w:tcW w:type="dxa" w:w="2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Situación habitual</w:t>
            </w:r>
          </w:p>
        </w:tc>
        <w:tc>
          <w:tcPr>
            <w:tcW w:type="dxa" w:w="2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Aporte de la IA</w:t>
            </w:r>
          </w:p>
        </w:tc>
        <w:tc>
          <w:tcPr>
            <w:tcW w:type="dxa" w:w="2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Ventaja esperada</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Liderazgo y gestión institucional</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Elaboración de PEI, PME e informes de gestión con plazos acotados y equipos reducidos.</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Borradores estructurados, coherencia entre secciones, listas de verificación normativa.</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Más tiempo para la deliberación con la comunidad y menos tiempo en formato.</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Gestión pedagógica</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Planificaciones y material didáctico que deben adecuarse a cursos muy heterogéneos.</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Adaptación de textos, generación de variantes de dificultad, ideas de actividades.</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Diversificación de la enseñanza sin multiplicar la carga de preparación.</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Rúbricas construidas caso a caso, con criterios poco comparables entre docentes.</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Rúbricas base a partir de objetivos de aprendizaje; revisión de consistencia de criterios.</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Mayor consistencia y foco docente en la retroalimentación, no en el instrumento.</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Convivencia escolar</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Protocolos extensos y comunicaciones frecuentes con familias.</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Simplificación del lenguaje de protocolos; borradores de comunicados informativos.</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Comunicación más clara y comprensible para las familias del territorio.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Uso de datos</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Planillas de asistencia, calificaciones y encuestas subutilizadas.</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Ordenamiento de datos agregados, detección de patrones, preguntas de análisis.</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Decisiones basadas en evidencia y no solo en percepción.</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Desarrollo profesional</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Acompañamiento al aula con registros que rara vez se sistematizan.</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Síntesis de registros de observación anonimizados; propuestas de foco formativo.</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Retroalimentación más oportuna y planes de mejora mejor focalizados.</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Administración</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Actas, informes y respuestas a requerimientos que se repiten.</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Plantillas, resúmenes de documentos extensos, primeras versiones de respuesta.</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Reducción de la carga administrativa sobre el equipo directivo.</w:t>
            </w:r>
          </w:p>
        </w:tc>
      </w:tr>
    </w:tbl>
    <w:p>
      <w:pPr>
        <w:spacing w:after="200" w:before="60"/>
      </w:pPr>
      <w:r>
        <w:rPr>
          <w:rFonts w:ascii="Calibri" w:cs="Calibri" w:eastAsia="Calibri" w:hAnsi="Calibri"/>
          <w:i/>
          <w:iCs/>
          <w:color w:val="5A5A5A"/>
          <w:sz w:val="18"/>
          <w:szCs w:val="18"/>
        </w:rPr>
        <w:t xml:space="preserve">Nota. Elaboración propia a partir de Bustamante Bula y Camacho Bonilla (2024), Adıgüzel et al. (2026), CAF (2024) y Ministerio de Educación de Chile (2025).</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4. Evidencia de aula en escuelas chilenas</w:t>
      </w:r>
    </w:p>
    <w:p>
      <w:pPr>
        <w:spacing w:after="140" w:line="300"/>
        <w:jc w:val="both"/>
      </w:pPr>
      <w:r>
        <w:rPr>
          <w:rFonts w:ascii="Calibri" w:cs="Calibri" w:eastAsia="Calibri" w:hAnsi="Calibri"/>
          <w:color w:val="282828"/>
          <w:sz w:val="22"/>
          <w:szCs w:val="22"/>
        </w:rPr>
        <w:t xml:space="preserve">El libro Transformando el aula con inteligencia artificial reúne veinte iniciativas desarrolladas durante 2025 en establecimientos de distintas dependencias de la provincia de Cachapoal (Ortiz González &amp; Fourt, 2025). Es el registro sistematizado más cercano a la realidad escolar chilena disponible hoy, y ofrece lecciones directamente transferibles al territorio Andalién Sur.</w:t>
      </w:r>
    </w:p>
    <w:p>
      <w:pPr>
        <w:pStyle w:val="Heading2"/>
        <w:spacing w:after="140" w:before="280"/>
      </w:pPr>
      <w:r>
        <w:rPr>
          <w:rFonts w:ascii="Calibri" w:cs="Calibri" w:eastAsia="Calibri" w:hAnsi="Calibri"/>
          <w:b/>
          <w:bCs/>
          <w:color w:val="1F84EB"/>
          <w:sz w:val="26"/>
          <w:szCs w:val="26"/>
        </w:rPr>
        <w:t xml:space="preserve">4.1 Qué muestran las experiencias</w:t>
      </w:r>
    </w:p>
    <w:p>
      <w:pPr>
        <w:pStyle w:val="ListParagraph"/>
        <w:numPr>
          <w:ilvl w:val="0"/>
          <w:numId w:val="2"/>
        </w:numPr>
        <w:spacing w:after="90" w:line="290"/>
        <w:jc w:val="both"/>
      </w:pPr>
      <w:r>
        <w:rPr>
          <w:rFonts w:ascii="Calibri" w:cs="Calibri" w:eastAsia="Calibri" w:hAnsi="Calibri"/>
          <w:color w:val="282828"/>
          <w:sz w:val="22"/>
          <w:szCs w:val="22"/>
        </w:rPr>
        <w:t xml:space="preserve">Vinculación con la identidad local: el Liceo Técnico Profesional El Tambo reconstruyó la memoria histórica del establecimiento con motivo de su trigésimo aniversario, creando una página web patrimonial con testimonios y archivos históricos.</w:t>
      </w:r>
    </w:p>
    <w:p>
      <w:pPr>
        <w:pStyle w:val="ListParagraph"/>
        <w:numPr>
          <w:ilvl w:val="0"/>
          <w:numId w:val="2"/>
        </w:numPr>
        <w:spacing w:after="90" w:line="290"/>
        <w:jc w:val="both"/>
      </w:pPr>
      <w:r>
        <w:rPr>
          <w:rFonts w:ascii="Calibri" w:cs="Calibri" w:eastAsia="Calibri" w:hAnsi="Calibri"/>
          <w:color w:val="282828"/>
          <w:sz w:val="22"/>
          <w:szCs w:val="22"/>
        </w:rPr>
        <w:t xml:space="preserve">Ciencia ciudadana: en el Liceo Claudio Arrau León, estudiantes registraron, identificaron y georreferenciaron especies en plazas de la comuna, construyendo una guía digital colaborativa.</w:t>
      </w:r>
    </w:p>
    <w:p>
      <w:pPr>
        <w:pStyle w:val="ListParagraph"/>
        <w:numPr>
          <w:ilvl w:val="0"/>
          <w:numId w:val="2"/>
        </w:numPr>
        <w:spacing w:after="90" w:line="290"/>
        <w:jc w:val="both"/>
      </w:pPr>
      <w:r>
        <w:rPr>
          <w:rFonts w:ascii="Calibri" w:cs="Calibri" w:eastAsia="Calibri" w:hAnsi="Calibri"/>
          <w:color w:val="282828"/>
          <w:sz w:val="22"/>
          <w:szCs w:val="22"/>
        </w:rPr>
        <w:t xml:space="preserve">Participación democrática: el Colegio Whipple School movilizó a la comunidad desde kínder a octavo básico para crear el logo del Centro de Estudiantes mediante un proceso participativo apoyado con IA y una votación.</w:t>
      </w:r>
    </w:p>
    <w:p>
      <w:pPr>
        <w:pStyle w:val="ListParagraph"/>
        <w:numPr>
          <w:ilvl w:val="0"/>
          <w:numId w:val="2"/>
        </w:numPr>
        <w:spacing w:after="90" w:line="290"/>
        <w:jc w:val="both"/>
      </w:pPr>
      <w:r>
        <w:rPr>
          <w:rFonts w:ascii="Calibri" w:cs="Calibri" w:eastAsia="Calibri" w:hAnsi="Calibri"/>
          <w:color w:val="282828"/>
          <w:sz w:val="22"/>
          <w:szCs w:val="22"/>
        </w:rPr>
        <w:t xml:space="preserve">Trabajo interdisciplinario: en el Liceo San José de Requínoa, Ciencias para la Ciudadanía e Inglés se articularon para que estudiantes analizaran problemáticas del plan regulador comunal y comunicaran propuestas en afiches e infografías bilingües.</w:t>
      </w:r>
    </w:p>
    <w:p>
      <w:pPr>
        <w:spacing w:after="140" w:line="300"/>
        <w:jc w:val="both"/>
      </w:pPr>
      <w:r>
        <w:rPr>
          <w:rFonts w:ascii="Calibri" w:cs="Calibri" w:eastAsia="Calibri" w:hAnsi="Calibri"/>
          <w:color w:val="282828"/>
          <w:sz w:val="22"/>
          <w:szCs w:val="22"/>
        </w:rPr>
        <w:t xml:space="preserve">En todas las experiencias, la IA es concebida como herramienta de apoyo cuyo uso está mediado por un propósito pedagógico claro y por la supervisión docente; la verificación de la información y las decisiones pedagógicas quedan a cargo del docente y los equipos (Ortiz González &amp; Fourt, 2025).</w:t>
      </w:r>
    </w:p>
    <w:p>
      <w:pPr>
        <w:pStyle w:val="Heading2"/>
        <w:spacing w:after="140" w:before="280"/>
      </w:pPr>
      <w:r>
        <w:rPr>
          <w:rFonts w:ascii="Calibri" w:cs="Calibri" w:eastAsia="Calibri" w:hAnsi="Calibri"/>
          <w:b/>
          <w:bCs/>
          <w:color w:val="1F84EB"/>
          <w:sz w:val="26"/>
          <w:szCs w:val="26"/>
        </w:rPr>
        <w:t xml:space="preserve">4.2 Fortalezas y desafíos que se repiten</w:t>
      </w:r>
    </w:p>
    <w:p>
      <w:pPr>
        <w:spacing w:after="40" w:before="240"/>
      </w:pPr>
      <w:r>
        <w:rPr>
          <w:rFonts w:ascii="Calibri" w:cs="Calibri" w:eastAsia="Calibri" w:hAnsi="Calibri"/>
          <w:b/>
          <w:bCs/>
          <w:color w:val="282828"/>
          <w:sz w:val="20"/>
          <w:szCs w:val="20"/>
        </w:rPr>
        <w:t xml:space="preserve">Tabla 2</w:t>
      </w:r>
    </w:p>
    <w:p>
      <w:pPr>
        <w:spacing w:after="110"/>
      </w:pPr>
      <w:r>
        <w:rPr>
          <w:rFonts w:ascii="Calibri" w:cs="Calibri" w:eastAsia="Calibri" w:hAnsi="Calibri"/>
          <w:i/>
          <w:iCs/>
          <w:color w:val="282828"/>
          <w:sz w:val="20"/>
          <w:szCs w:val="20"/>
        </w:rPr>
        <w:t xml:space="preserve">Fortalezas y desafíos identificados en experiencias escolares chilenas con IA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4680"/>
        <w:gridCol w:w="4680"/>
      </w:tblGrid>
      <w:tr>
        <w:trPr>
          <w:tblHeader/>
        </w:trPr>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Fortalezas evidenciadas</w:t>
            </w:r>
          </w:p>
        </w:tc>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Desafíos por abordar</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Metodologías activas y contextualizadas que conectan el currículo con intereses estudiantiles y realidades locales.</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Infraestructura tecnológica: conectividad intermitente y equipos con rendimiento insuficiente.</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Coordinación docente y apoyo institucional como factores clave del éxito de proyectos interdisciplinarios.</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Formación en IA y alfabetización digital, especialmente en la redacción de prompts efectivos.</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Alto compromiso y motivación estudiantil al trabajar con herramientas actuales y formatos creativos.</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Gestión del tiempo en el aula para equilibrar investigación, producción y retroalimentación.</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Uso de la IA como catalizador del pensamiento crítico, al obligar a verificar, editar y adaptar lo generado.</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Profundización sistemática en la ética de la IA: sesgos algorítmicos, privacidad y derechos de autor.</w:t>
            </w:r>
          </w:p>
        </w:tc>
      </w:tr>
    </w:tbl>
    <w:p>
      <w:pPr>
        <w:spacing w:after="200" w:before="60"/>
      </w:pPr>
      <w:r>
        <w:rPr>
          <w:rFonts w:ascii="Calibri" w:cs="Calibri" w:eastAsia="Calibri" w:hAnsi="Calibri"/>
          <w:i/>
          <w:iCs/>
          <w:color w:val="5A5A5A"/>
          <w:sz w:val="18"/>
          <w:szCs w:val="18"/>
        </w:rPr>
        <w:t xml:space="preserve">Nota. Adaptado de Ortiz González y Fourt (2025).</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Estos desafíos coinciden con la realidad del territorio Andalién Sur y anticipan las condiciones habilitantes que se describen en el apartado siguiente. Dos de ellos —formación en prompts y ética de la IA— son abordados de manera específica en los Manuales 2 y 4 de esta serie.</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5. Condiciones habilitantes y riesgos que se deben gestionar</w:t>
      </w:r>
    </w:p>
    <w:p>
      <w:pPr>
        <w:pStyle w:val="Heading2"/>
        <w:spacing w:after="140" w:before="280"/>
      </w:pPr>
      <w:r>
        <w:rPr>
          <w:rFonts w:ascii="Calibri" w:cs="Calibri" w:eastAsia="Calibri" w:hAnsi="Calibri"/>
          <w:b/>
          <w:bCs/>
          <w:color w:val="1F84EB"/>
          <w:sz w:val="26"/>
          <w:szCs w:val="26"/>
        </w:rPr>
        <w:t xml:space="preserve">5.1 Riesgos documentados</w:t>
      </w:r>
    </w:p>
    <w:p>
      <w:pPr>
        <w:spacing w:after="140" w:line="300"/>
        <w:jc w:val="both"/>
      </w:pPr>
      <w:r>
        <w:rPr>
          <w:rFonts w:ascii="Calibri" w:cs="Calibri" w:eastAsia="Calibri" w:hAnsi="Calibri"/>
          <w:color w:val="282828"/>
          <w:sz w:val="22"/>
          <w:szCs w:val="22"/>
        </w:rPr>
        <w:t xml:space="preserve">Adıgüzel et al. (2026) identifican tres riesgos críticos: el sesgo algorítmico, la brecha de inteligencia entre quienes acceden a estas tecnologías y quienes no, y la protección de datos. A ellos se suman preocupaciones documentadas en la literatura escolar sobre el uso de datos de niñas, niños y jóvenes sin control adecuado (Gray, 2020, citado en Bustamante Bula &amp; Camacho Bonilla, 2024).</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Tres advertencias para los equipos directivos</w:t>
            </w:r>
          </w:p>
          <w:p>
            <w:pPr>
              <w:spacing w:after="80" w:line="290"/>
              <w:jc w:val="both"/>
            </w:pPr>
            <w:r>
              <w:rPr>
                <w:rFonts w:ascii="Calibri" w:cs="Calibri" w:eastAsia="Calibri" w:hAnsi="Calibri"/>
                <w:b/>
                <w:bCs/>
                <w:color w:val="E8505B"/>
                <w:sz w:val="21"/>
                <w:szCs w:val="21"/>
              </w:rPr>
              <w:t xml:space="preserve">1. La IA se equivoca con seguridad. </w:t>
            </w:r>
            <w:r>
              <w:rPr>
                <w:rFonts w:ascii="Calibri" w:cs="Calibri" w:eastAsia="Calibri" w:hAnsi="Calibri"/>
                <w:color w:val="282828"/>
                <w:sz w:val="21"/>
                <w:szCs w:val="21"/>
              </w:rPr>
              <w:t xml:space="preserve">Puede cometer errores factuales o generar información inexacta con un tono plenamente convincente. La validación siempre es responsabilidad de quien firma el documento.</w:t>
            </w:r>
          </w:p>
          <w:p>
            <w:pPr>
              <w:spacing w:after="80" w:line="290"/>
              <w:jc w:val="both"/>
            </w:pPr>
            <w:r>
              <w:rPr>
                <w:rFonts w:ascii="Calibri" w:cs="Calibri" w:eastAsia="Calibri" w:hAnsi="Calibri"/>
                <w:b/>
                <w:bCs/>
                <w:color w:val="E8505B"/>
                <w:sz w:val="21"/>
                <w:szCs w:val="21"/>
              </w:rPr>
              <w:t xml:space="preserve">2. Los datos personales no entran. </w:t>
            </w:r>
            <w:r>
              <w:rPr>
                <w:rFonts w:ascii="Calibri" w:cs="Calibri" w:eastAsia="Calibri" w:hAnsi="Calibri"/>
                <w:color w:val="282828"/>
                <w:sz w:val="21"/>
                <w:szCs w:val="21"/>
              </w:rPr>
              <w:t xml:space="preserve">No se deben ingresar datos de estudiantes, docentes o familias en plataformas de IA generativa de uso público. No es que la ley impida tratarlos, sino que esas plataformas no cumplen las condiciones que la normativa exige. El Manual 2 lo desarrolla en su apartado 1.3.</w:t>
            </w:r>
          </w:p>
          <w:p>
            <w:pPr>
              <w:spacing w:after="80" w:line="290"/>
              <w:jc w:val="both"/>
            </w:pPr>
            <w:r>
              <w:rPr>
                <w:rFonts w:ascii="Calibri" w:cs="Calibri" w:eastAsia="Calibri" w:hAnsi="Calibri"/>
                <w:b/>
                <w:bCs/>
                <w:color w:val="E8505B"/>
                <w:sz w:val="21"/>
                <w:szCs w:val="21"/>
              </w:rPr>
              <w:t xml:space="preserve">3. La decisión final es humana. </w:t>
            </w:r>
            <w:r>
              <w:rPr>
                <w:rFonts w:ascii="Calibri" w:cs="Calibri" w:eastAsia="Calibri" w:hAnsi="Calibri"/>
                <w:color w:val="282828"/>
                <w:sz w:val="21"/>
                <w:szCs w:val="21"/>
              </w:rPr>
              <w:t xml:space="preserve">La IA puede apoyar procesos, pero no reemplazar el criterio profesional, la empatía ni el liderazgo pedagógico.</w:t>
            </w:r>
          </w:p>
        </w:tc>
      </w:tr>
    </w:tbl>
    <w:p>
      <w:pPr>
        <w:pStyle w:val="Heading2"/>
        <w:spacing w:after="140" w:before="280"/>
      </w:pPr>
      <w:r>
        <w:rPr>
          <w:rFonts w:ascii="Calibri" w:cs="Calibri" w:eastAsia="Calibri" w:hAnsi="Calibri"/>
          <w:b/>
          <w:bCs/>
          <w:color w:val="1F84EB"/>
          <w:sz w:val="26"/>
          <w:szCs w:val="26"/>
        </w:rPr>
        <w:t xml:space="preserve">5.2 Condiciones que el Servicio debe asegurar</w:t>
      </w:r>
    </w:p>
    <w:p>
      <w:pPr>
        <w:pStyle w:val="ListParagraph"/>
        <w:numPr>
          <w:ilvl w:val="0"/>
          <w:numId w:val="3"/>
        </w:numPr>
        <w:spacing w:after="90" w:line="290"/>
        <w:jc w:val="both"/>
      </w:pPr>
      <w:r>
        <w:rPr>
          <w:rFonts w:ascii="Calibri" w:cs="Calibri" w:eastAsia="Calibri" w:hAnsi="Calibri"/>
          <w:color w:val="282828"/>
          <w:sz w:val="22"/>
          <w:szCs w:val="22"/>
        </w:rPr>
        <w:t xml:space="preserve">Condiciones técnicas: conectividad estable y dispositivos funcionales, con diagnóstico previo del equipamiento por establecimiento (Ortiz González &amp; Fourt, 2025).</w:t>
      </w:r>
    </w:p>
    <w:p>
      <w:pPr>
        <w:pStyle w:val="ListParagraph"/>
        <w:numPr>
          <w:ilvl w:val="0"/>
          <w:numId w:val="3"/>
        </w:numPr>
        <w:spacing w:after="90" w:line="290"/>
        <w:jc w:val="both"/>
      </w:pPr>
      <w:r>
        <w:rPr>
          <w:rFonts w:ascii="Calibri" w:cs="Calibri" w:eastAsia="Calibri" w:hAnsi="Calibri"/>
          <w:color w:val="282828"/>
          <w:sz w:val="22"/>
          <w:szCs w:val="22"/>
        </w:rPr>
        <w:t xml:space="preserve">Reglas comunes: un protocolo territorial sobre qué se puede y qué no se puede hacer con IA, construido participativamente y no impuesto desde el nivel central (EduCaixa, 2024).</w:t>
      </w:r>
    </w:p>
    <w:p>
      <w:pPr>
        <w:pStyle w:val="ListParagraph"/>
        <w:numPr>
          <w:ilvl w:val="0"/>
          <w:numId w:val="3"/>
        </w:numPr>
        <w:spacing w:after="90" w:line="290"/>
        <w:jc w:val="both"/>
      </w:pPr>
      <w:r>
        <w:rPr>
          <w:rFonts w:ascii="Calibri" w:cs="Calibri" w:eastAsia="Calibri" w:hAnsi="Calibri"/>
          <w:color w:val="282828"/>
          <w:sz w:val="22"/>
          <w:szCs w:val="22"/>
        </w:rPr>
        <w:t xml:space="preserve">Formación situada: desarrollo profesional focalizado en criterio ético y redacción de prompts, no solo en el manejo de la herramienta.</w:t>
      </w:r>
    </w:p>
    <w:p>
      <w:pPr>
        <w:pStyle w:val="ListParagraph"/>
        <w:numPr>
          <w:ilvl w:val="0"/>
          <w:numId w:val="3"/>
        </w:numPr>
        <w:spacing w:after="90" w:line="290"/>
        <w:jc w:val="both"/>
      </w:pPr>
      <w:r>
        <w:rPr>
          <w:rFonts w:ascii="Calibri" w:cs="Calibri" w:eastAsia="Calibri" w:hAnsi="Calibri"/>
          <w:color w:val="282828"/>
          <w:sz w:val="22"/>
          <w:szCs w:val="22"/>
        </w:rPr>
        <w:t xml:space="preserve">Transparencia: si un documento fue elaborado con apoyo de IA, debe informarse; la comunidad educativa tiene derecho a saber qué herramientas se están empleando.</w:t>
      </w:r>
    </w:p>
    <w:p>
      <w:pPr>
        <w:pStyle w:val="ListParagraph"/>
        <w:numPr>
          <w:ilvl w:val="0"/>
          <w:numId w:val="3"/>
        </w:numPr>
        <w:spacing w:after="90" w:line="290"/>
        <w:jc w:val="both"/>
      </w:pPr>
      <w:r>
        <w:rPr>
          <w:rFonts w:ascii="Calibri" w:cs="Calibri" w:eastAsia="Calibri" w:hAnsi="Calibri"/>
          <w:color w:val="282828"/>
          <w:sz w:val="22"/>
          <w:szCs w:val="22"/>
        </w:rPr>
        <w:t xml:space="preserve">Inicio acotado: comenzar con proyectos breves y de bajo costo en recursos, que permitan familiarizarse antes de abordar iniciativas más complejas (Ortiz González &amp; Fourt, 2025).</w:t>
      </w:r>
    </w:p>
    <w:p>
      <w:pPr>
        <w:pStyle w:val="Heading2"/>
        <w:spacing w:after="140" w:before="280"/>
      </w:pPr>
      <w:r>
        <w:rPr>
          <w:rFonts w:ascii="Calibri" w:cs="Calibri" w:eastAsia="Calibri" w:hAnsi="Calibri"/>
          <w:b/>
          <w:bCs/>
          <w:color w:val="1F84EB"/>
          <w:sz w:val="26"/>
          <w:szCs w:val="26"/>
        </w:rPr>
        <w:t xml:space="preserve">5.3 El rol del liderazgo</w:t>
      </w:r>
    </w:p>
    <w:p>
      <w:pPr>
        <w:spacing w:after="140" w:line="300"/>
        <w:jc w:val="both"/>
      </w:pPr>
      <w:r>
        <w:rPr>
          <w:rFonts w:ascii="Calibri" w:cs="Calibri" w:eastAsia="Calibri" w:hAnsi="Calibri"/>
          <w:color w:val="282828"/>
          <w:sz w:val="22"/>
          <w:szCs w:val="22"/>
        </w:rPr>
        <w:t xml:space="preserve">EduCaixa (2024) documenta el acompañamiento a cuatro centros educativos en la construcción de un protocolo institucional sobre IA y concluye que se trata, ante todo, de una cuestión de liderazgo: el equipo directivo define el punto de partida, convoca a los estamentos y sostiene el proceso en el tiempo. La misma lógica opera en el diseño participativo de los instrumentos de gestión escolar chilenos, donde el trabajo colectivo en torno al PEI y al PME apunta a comunidades más cohesionadas y comprometidas con metas de mejora comunes (Ministerio de Educación de Chile, 2018b).</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6. Ruta de instalación sugerida para Andalién Sur</w:t>
      </w:r>
    </w:p>
    <w:p>
      <w:pPr>
        <w:spacing w:after="140" w:line="300"/>
        <w:jc w:val="both"/>
      </w:pPr>
      <w:r>
        <w:rPr>
          <w:rFonts w:ascii="Calibri" w:cs="Calibri" w:eastAsia="Calibri" w:hAnsi="Calibri"/>
          <w:color w:val="282828"/>
          <w:sz w:val="22"/>
          <w:szCs w:val="22"/>
        </w:rPr>
        <w:t xml:space="preserve">La siguiente ruta propone cuatro fases articuladas con los instrumentos de gestión propios del Servicio. Es una propuesta técnica de trabajo, que debe ajustarse a las definiciones del Plan Anual y a los acuerdos del Comité Directivo Local.</w:t>
      </w:r>
    </w:p>
    <w:p>
      <w:pPr>
        <w:spacing w:after="40" w:before="240"/>
      </w:pPr>
      <w:r>
        <w:rPr>
          <w:rFonts w:ascii="Calibri" w:cs="Calibri" w:eastAsia="Calibri" w:hAnsi="Calibri"/>
          <w:b/>
          <w:bCs/>
          <w:color w:val="282828"/>
          <w:sz w:val="20"/>
          <w:szCs w:val="20"/>
        </w:rPr>
        <w:t xml:space="preserve">Tabla 3</w:t>
      </w:r>
    </w:p>
    <w:p>
      <w:pPr>
        <w:spacing w:after="110"/>
      </w:pPr>
      <w:r>
        <w:rPr>
          <w:rFonts w:ascii="Calibri" w:cs="Calibri" w:eastAsia="Calibri" w:hAnsi="Calibri"/>
          <w:i/>
          <w:iCs/>
          <w:color w:val="282828"/>
          <w:sz w:val="20"/>
          <w:szCs w:val="20"/>
        </w:rPr>
        <w:t xml:space="preserve">Ruta de instalación de la IA en la gestión educativa del Servicio Local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500"/>
        <w:gridCol w:w="1800"/>
        <w:gridCol w:w="3700"/>
        <w:gridCol w:w="2360"/>
      </w:tblGrid>
      <w:tr>
        <w:trPr>
          <w:tblHeader/>
        </w:trPr>
        <w:tc>
          <w:tcPr>
            <w:tcW w:type="dxa" w:w="1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Fase</w:t>
            </w:r>
          </w:p>
        </w:tc>
        <w:tc>
          <w:tcPr>
            <w:tcW w:type="dxa" w:w="1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Foco</w:t>
            </w:r>
          </w:p>
        </w:tc>
        <w:tc>
          <w:tcPr>
            <w:tcW w:type="dxa" w:w="3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Acciones sugeridas</w:t>
            </w:r>
          </w:p>
        </w:tc>
        <w:tc>
          <w:tcPr>
            <w:tcW w:type="dxa" w:w="23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Responsables</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 Diagnóstico</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Conocer el punto de partida</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Catastro de conectividad y equipamiento por establecimiento; encuesta de uso actual de IA a docentes y directivos; identificación de experiencias ya en curso.</w:t>
            </w:r>
          </w:p>
        </w:tc>
        <w:tc>
          <w:tcPr>
            <w:tcW w:type="dxa" w:w="2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Unidad técnico-pedagógica del Servicio, en articulación con los equipos directivos.</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 Acuerdos</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Definir reglas comunes</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Elaboración participativa de un protocolo territorial de uso de IA; definición de tareas delegables y no delegables; criterios de transparencia y protección de datos.</w:t>
            </w:r>
          </w:p>
        </w:tc>
        <w:tc>
          <w:tcPr>
            <w:tcW w:type="dxa" w:w="2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Equipos directivos, Consejo Local y unidades del Servicio.</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 Capacitación</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Instalar criterio y técnica</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Desarrollo profesional en uso ético y tipos de uso (Manual 2), herramientas (Manual 3), prompts efectivos (Manual 4) y soporte técnico (Manual 5); comunidades de práctica por comuna.</w:t>
            </w:r>
          </w:p>
        </w:tc>
        <w:tc>
          <w:tcPr>
            <w:tcW w:type="dxa" w:w="2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Unidad técnico-pedagógica del Servicio y jefaturas de UTP.</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 Pilotaje y monitoreo</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Probar en pequeño y aprender</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Proyectos acotados en establecimientos voluntarios; registro de resultados; sistematización y difusión de buenas prácticas en el territorio.</w:t>
            </w:r>
          </w:p>
        </w:tc>
        <w:tc>
          <w:tcPr>
            <w:tcW w:type="dxa" w:w="2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Establecimientos piloto, con acompañamiento del Servicio.</w:t>
            </w:r>
          </w:p>
        </w:tc>
      </w:tr>
    </w:tbl>
    <w:p>
      <w:pPr>
        <w:spacing w:after="200" w:before="60"/>
      </w:pPr>
      <w:r>
        <w:rPr>
          <w:rFonts w:ascii="Calibri" w:cs="Calibri" w:eastAsia="Calibri" w:hAnsi="Calibri"/>
          <w:i/>
          <w:iCs/>
          <w:color w:val="5A5A5A"/>
          <w:sz w:val="18"/>
          <w:szCs w:val="18"/>
        </w:rPr>
        <w:t xml:space="preserve">Nota. Elaboración propia a partir de EduCaixa (2024), Ortiz González y Fourt (2025) y el marco de gestión establecido en la Ley N.º 21.040 (2017).</w:t>
      </w:r>
    </w:p>
    <w:p>
      <w:pPr>
        <w:spacing w:after="160"/>
      </w:pPr>
      <w:r>
        <w:rPr>
          <w:sz w:val="12"/>
          <w:szCs w:val="12"/>
        </w:rPr>
        <w:t xml:space="preserve"/>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Indicadores sugeridos para el monitoreo</w:t>
            </w:r>
          </w:p>
          <w:p>
            <w:pPr>
              <w:spacing w:after="80" w:line="290"/>
              <w:jc w:val="both"/>
            </w:pPr>
            <w:r>
              <w:rPr>
                <w:rFonts w:ascii="Calibri" w:cs="Calibri" w:eastAsia="Calibri" w:hAnsi="Calibri"/>
                <w:color w:val="282828"/>
                <w:sz w:val="21"/>
                <w:szCs w:val="21"/>
              </w:rPr>
              <w:t xml:space="preserve">Porcentaje de establecimientos con protocolo de uso de IA formalizado.</w:t>
            </w:r>
          </w:p>
          <w:p>
            <w:pPr>
              <w:spacing w:after="80" w:line="290"/>
              <w:jc w:val="both"/>
            </w:pPr>
            <w:r>
              <w:rPr>
                <w:rFonts w:ascii="Calibri" w:cs="Calibri" w:eastAsia="Calibri" w:hAnsi="Calibri"/>
                <w:color w:val="282828"/>
                <w:sz w:val="21"/>
                <w:szCs w:val="21"/>
              </w:rPr>
              <w:t xml:space="preserve">Porcentaje de docentes y directivos que participan en la formación de la serie de manuales.</w:t>
            </w:r>
          </w:p>
          <w:p>
            <w:pPr>
              <w:spacing w:after="80" w:line="290"/>
              <w:jc w:val="both"/>
            </w:pPr>
            <w:r>
              <w:rPr>
                <w:rFonts w:ascii="Calibri" w:cs="Calibri" w:eastAsia="Calibri" w:hAnsi="Calibri"/>
                <w:color w:val="282828"/>
                <w:sz w:val="21"/>
                <w:szCs w:val="21"/>
              </w:rPr>
              <w:t xml:space="preserve">Número de experiencias pedagógicas con IA sistematizadas y compartidas en el territorio.</w:t>
            </w:r>
          </w:p>
          <w:p>
            <w:pPr>
              <w:spacing w:after="80" w:line="290"/>
              <w:jc w:val="both"/>
            </w:pPr>
            <w:r>
              <w:rPr>
                <w:rFonts w:ascii="Calibri" w:cs="Calibri" w:eastAsia="Calibri" w:hAnsi="Calibri"/>
                <w:color w:val="282828"/>
                <w:sz w:val="21"/>
                <w:szCs w:val="21"/>
              </w:rPr>
              <w:t xml:space="preserve">Horas de gestión liberadas y reasignadas a acompañamiento pedagógico, según autorreporte de los equipos directivos.</w:t>
            </w:r>
          </w:p>
          <w:p>
            <w:pPr>
              <w:spacing w:after="80" w:line="290"/>
              <w:jc w:val="both"/>
            </w:pPr>
            <w:r>
              <w:rPr>
                <w:rFonts w:ascii="Calibri" w:cs="Calibri" w:eastAsia="Calibri" w:hAnsi="Calibri"/>
                <w:color w:val="282828"/>
                <w:sz w:val="21"/>
                <w:szCs w:val="21"/>
              </w:rPr>
              <w:t xml:space="preserve">Incidentes reportados de ingreso de datos personales a plataformas de IA no autorizadas (meta: cero).</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7. Autoevaluación para el equipo directivo</w:t>
      </w:r>
    </w:p>
    <w:p>
      <w:pPr>
        <w:spacing w:after="140" w:line="300"/>
        <w:jc w:val="both"/>
      </w:pPr>
      <w:r>
        <w:rPr>
          <w:rFonts w:ascii="Calibri" w:cs="Calibri" w:eastAsia="Calibri" w:hAnsi="Calibri"/>
          <w:color w:val="282828"/>
          <w:sz w:val="22"/>
          <w:szCs w:val="22"/>
        </w:rPr>
        <w:t xml:space="preserve">Las siguientes preguntas, adaptadas de la pauta ministerial de reflexión docente, permiten a cada equipo situarse antes de avanzar (Ministerio de Educación de Chile, 2025). Se sugiere responderlas de manera colectiva en una reunión técnica.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5760"/>
        <w:gridCol w:w="170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Ámbito</w:t>
            </w:r>
          </w:p>
        </w:tc>
        <w:tc>
          <w:tcPr>
            <w:tcW w:type="dxa" w:w="57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Pregunta para el equipo directivo</w:t>
            </w:r>
          </w:p>
        </w:tc>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Sí / No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Potenciar lo humano</w:t>
            </w:r>
          </w:p>
        </w:tc>
        <w:tc>
          <w:tcPr>
            <w:tcW w:type="dxa" w:w="5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¿Estamos usando la IA para liberar tiempo y enfocarnos en actividades que requieren empatía, criterio y conexión con la comunidad?</w:t>
            </w:r>
          </w:p>
        </w:tc>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Herramienta para pensar</w:t>
            </w:r>
          </w:p>
        </w:tc>
        <w:tc>
          <w:tcPr>
            <w:tcW w:type="dxa" w:w="5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¿Utilizamos la IA para profundizar nuestro análisis, o solo para producir texto más rápido?</w:t>
            </w:r>
          </w:p>
        </w:tc>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Creatividad</w:t>
            </w:r>
          </w:p>
        </w:tc>
        <w:tc>
          <w:tcPr>
            <w:tcW w:type="dxa" w:w="5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¿Las propuestas que generamos con IA se desarrollan luego con criterio propio, o se adoptan sin modificación?</w:t>
            </w:r>
          </w:p>
        </w:tc>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Resguardo ético</w:t>
            </w:r>
          </w:p>
        </w:tc>
        <w:tc>
          <w:tcPr>
            <w:tcW w:type="dxa" w:w="5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¿Conocemos los términos, condiciones y uso de información de las herramientas que utilizamos?</w:t>
            </w:r>
          </w:p>
        </w:tc>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Equidad e inclusión</w:t>
            </w:r>
          </w:p>
        </w:tc>
        <w:tc>
          <w:tcPr>
            <w:tcW w:type="dxa" w:w="5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uso de IA en nuestro establecimiento beneficia a todos los estudiantes, incluidos quienes tienen menor acceso tecnológico?</w:t>
            </w:r>
          </w:p>
        </w:tc>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Aprendizaje activo</w:t>
            </w:r>
          </w:p>
        </w:tc>
        <w:tc>
          <w:tcPr>
            <w:tcW w:type="dxa" w:w="5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¿Estamos agregando valor pedagógico con la IA, o solo automatizando tareas?</w:t>
            </w:r>
          </w:p>
        </w:tc>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Transparencia</w:t>
            </w:r>
          </w:p>
        </w:tc>
        <w:tc>
          <w:tcPr>
            <w:tcW w:type="dxa" w:w="5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¿Informamos a la comunidad cuándo un documento institucional fue elaborado con apoyo de IA?</w:t>
            </w:r>
          </w:p>
        </w:tc>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bl>
    <w:p>
      <w:pPr>
        <w:spacing w:after="200" w:before="60"/>
      </w:pPr>
      <w:r>
        <w:rPr>
          <w:rFonts w:ascii="Calibri" w:cs="Calibri" w:eastAsia="Calibri" w:hAnsi="Calibri"/>
          <w:i/>
          <w:iCs/>
          <w:color w:val="5A5A5A"/>
          <w:sz w:val="18"/>
          <w:szCs w:val="18"/>
        </w:rPr>
        <w:t xml:space="preserve">Nota. Adaptado de Ministerio de Educación de Chile (2025).</w:t>
      </w:r>
    </w:p>
    <w:p>
      <w:pPr>
        <w:spacing w:after="20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Síntesis del manual</w:t>
      </w:r>
    </w:p>
    <w:p>
      <w:pPr>
        <w:spacing w:after="140" w:line="300"/>
        <w:jc w:val="both"/>
      </w:pPr>
      <w:r>
        <w:rPr>
          <w:rFonts w:ascii="Calibri" w:cs="Calibri" w:eastAsia="Calibri" w:hAnsi="Calibri"/>
          <w:color w:val="282828"/>
          <w:sz w:val="22"/>
          <w:szCs w:val="22"/>
        </w:rPr>
        <w:t xml:space="preserve">La inteligencia artificial ya está presente en las escuelas y liceos del territorio. La decisión pendiente no es tecnológica sino de gobierno: definir reglas comunes, formar criterio profesional y asegurar que la adopción reduzca brechas en lugar de ampliarlas. La evidencia disponible respalda ventajas reales en liberación de tiempo administrativo, apoyo al uso de datos, diversificación de la enseñanza y fortalecimiento del pensamiento crítico, siempre bajo una condición innegociable: los procesos educativos comienzan y terminan con la perspectiva humana (Adıgüzel et al., 2026).</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Referencias</w:t>
      </w:r>
    </w:p>
    <w:p>
      <w:pPr>
        <w:spacing w:after="140" w:line="300"/>
        <w:jc w:val="both"/>
      </w:pPr>
      <w:r>
        <w:rPr>
          <w:rFonts w:ascii="Calibri" w:cs="Calibri" w:eastAsia="Calibri" w:hAnsi="Calibri"/>
          <w:i/>
          <w:iCs/>
          <w:color w:val="5A5A5A"/>
          <w:sz w:val="20"/>
          <w:szCs w:val="20"/>
        </w:rPr>
        <w:t xml:space="preserve">Obras citadas en este manual. Formato APA, séptima edición.</w:t>
      </w:r>
    </w:p>
    <w:p>
      <w:pPr>
        <w:spacing w:after="140" w:line="300"/>
        <w:ind w:left="480" w:hanging="480"/>
      </w:pPr>
      <w:r>
        <w:rPr>
          <w:rFonts w:ascii="Calibri" w:cs="Calibri" w:eastAsia="Calibri" w:hAnsi="Calibri"/>
          <w:color w:val="282828"/>
          <w:sz w:val="21"/>
          <w:szCs w:val="21"/>
        </w:rPr>
        <w:t xml:space="preserve">Adıgüzel, T., Kaya, M. H., &amp; Bulut, M. A. (2026). La inteligencia artificial y el liderazgo educativo: Un análisis bibliométrico (2004–2024) y revisión de políticas globales. </w:t>
      </w:r>
      <w:r>
        <w:rPr>
          <w:rFonts w:ascii="Calibri" w:cs="Calibri" w:eastAsia="Calibri" w:hAnsi="Calibri"/>
          <w:i/>
          <w:iCs/>
          <w:color w:val="282828"/>
          <w:sz w:val="21"/>
          <w:szCs w:val="21"/>
        </w:rPr>
        <w:t xml:space="preserve">Revista Española de Pedagogía, 84</w:t>
      </w:r>
      <w:r>
        <w:rPr>
          <w:rFonts w:ascii="Calibri" w:cs="Calibri" w:eastAsia="Calibri" w:hAnsi="Calibri"/>
          <w:color w:val="282828"/>
          <w:sz w:val="21"/>
          <w:szCs w:val="21"/>
        </w:rPr>
        <w:t xml:space="preserve">(294), 225–249. https://doi.org/10.9781/rep.2026.6351</w:t>
      </w:r>
    </w:p>
    <w:p>
      <w:pPr>
        <w:spacing w:after="140" w:line="300"/>
        <w:ind w:left="480" w:hanging="480"/>
      </w:pPr>
      <w:r>
        <w:rPr>
          <w:rFonts w:ascii="Calibri" w:cs="Calibri" w:eastAsia="Calibri" w:hAnsi="Calibri"/>
          <w:color w:val="282828"/>
          <w:sz w:val="21"/>
          <w:szCs w:val="21"/>
        </w:rPr>
        <w:t xml:space="preserve">Bustamante Bula, R., &amp; Camacho Bonilla, A. (2024). Inteligencia artificial (IA) en las escuelas: una revisión sistemática (2019-2023). </w:t>
      </w:r>
      <w:r>
        <w:rPr>
          <w:rFonts w:ascii="Calibri" w:cs="Calibri" w:eastAsia="Calibri" w:hAnsi="Calibri"/>
          <w:i/>
          <w:iCs/>
          <w:color w:val="282828"/>
          <w:sz w:val="21"/>
          <w:szCs w:val="21"/>
        </w:rPr>
        <w:t xml:space="preserve">Enunciación, 29</w:t>
      </w:r>
      <w:r>
        <w:rPr>
          <w:rFonts w:ascii="Calibri" w:cs="Calibri" w:eastAsia="Calibri" w:hAnsi="Calibri"/>
          <w:color w:val="282828"/>
          <w:sz w:val="21"/>
          <w:szCs w:val="21"/>
        </w:rPr>
        <w:t xml:space="preserve">(1), 62–82. https://doi.org/10.14483/22486798.22039</w:t>
      </w:r>
    </w:p>
    <w:p>
      <w:pPr>
        <w:spacing w:after="140" w:line="300"/>
        <w:ind w:left="480" w:hanging="480"/>
      </w:pPr>
      <w:r>
        <w:rPr>
          <w:rFonts w:ascii="Calibri" w:cs="Calibri" w:eastAsia="Calibri" w:hAnsi="Calibri"/>
          <w:color w:val="282828"/>
          <w:sz w:val="21"/>
          <w:szCs w:val="21"/>
        </w:rPr>
        <w:t xml:space="preserve">CAF – Banco de Desarrollo de América Latina y el Caribe. (2024). </w:t>
      </w:r>
      <w:r>
        <w:rPr>
          <w:rFonts w:ascii="Calibri" w:cs="Calibri" w:eastAsia="Calibri" w:hAnsi="Calibri"/>
          <w:i/>
          <w:iCs/>
          <w:color w:val="282828"/>
          <w:sz w:val="21"/>
          <w:szCs w:val="21"/>
        </w:rPr>
        <w:t xml:space="preserve">Oportunidades de innovación pedagógica con asistencia de inteligencia artificial (IA)</w:t>
      </w:r>
      <w:r>
        <w:rPr>
          <w:rFonts w:ascii="Calibri" w:cs="Calibri" w:eastAsia="Calibri" w:hAnsi="Calibri"/>
          <w:color w:val="282828"/>
          <w:sz w:val="21"/>
          <w:szCs w:val="21"/>
        </w:rPr>
        <w:t xml:space="preserve">. CAF.</w:t>
      </w:r>
    </w:p>
    <w:p>
      <w:pPr>
        <w:spacing w:after="140" w:line="300"/>
        <w:ind w:left="480" w:hanging="480"/>
      </w:pPr>
      <w:r>
        <w:rPr>
          <w:rFonts w:ascii="Calibri" w:cs="Calibri" w:eastAsia="Calibri" w:hAnsi="Calibri"/>
          <w:color w:val="282828"/>
          <w:sz w:val="21"/>
          <w:szCs w:val="21"/>
        </w:rPr>
        <w:t xml:space="preserve">EduCaixa. (2024). </w:t>
      </w:r>
      <w:r>
        <w:rPr>
          <w:rFonts w:ascii="Calibri" w:cs="Calibri" w:eastAsia="Calibri" w:hAnsi="Calibri"/>
          <w:i/>
          <w:iCs/>
          <w:color w:val="282828"/>
          <w:sz w:val="21"/>
          <w:szCs w:val="21"/>
        </w:rPr>
        <w:t xml:space="preserve">Diseñando un protocolo sobre IA en el centro educativo: Qué aprender sobre ella, cómo emplearla y para qué</w:t>
      </w:r>
      <w:r>
        <w:rPr>
          <w:rFonts w:ascii="Calibri" w:cs="Calibri" w:eastAsia="Calibri" w:hAnsi="Calibri"/>
          <w:color w:val="282828"/>
          <w:sz w:val="21"/>
          <w:szCs w:val="21"/>
        </w:rPr>
        <w:t xml:space="preserve">. Fundación “la Caixa”.</w:t>
      </w:r>
    </w:p>
    <w:p>
      <w:pPr>
        <w:spacing w:after="140" w:line="300"/>
        <w:ind w:left="480" w:hanging="480"/>
      </w:pPr>
      <w:r>
        <w:rPr>
          <w:rFonts w:ascii="Calibri" w:cs="Calibri" w:eastAsia="Calibri" w:hAnsi="Calibri"/>
          <w:color w:val="282828"/>
          <w:sz w:val="21"/>
          <w:szCs w:val="21"/>
        </w:rPr>
        <w:t xml:space="preserve">Ley N.º 19.628. </w:t>
      </w:r>
      <w:r>
        <w:rPr>
          <w:rFonts w:ascii="Calibri" w:cs="Calibri" w:eastAsia="Calibri" w:hAnsi="Calibri"/>
          <w:i/>
          <w:iCs/>
          <w:color w:val="282828"/>
          <w:sz w:val="21"/>
          <w:szCs w:val="21"/>
        </w:rPr>
        <w:t xml:space="preserve">Sobre protección de la vida privada</w:t>
      </w:r>
      <w:r>
        <w:rPr>
          <w:rFonts w:ascii="Calibri" w:cs="Calibri" w:eastAsia="Calibri" w:hAnsi="Calibri"/>
          <w:color w:val="282828"/>
          <w:sz w:val="21"/>
          <w:szCs w:val="21"/>
        </w:rPr>
        <w:t xml:space="preserve">. Diario Oficial de la República de Chile, 28 de agosto de 1999. https://www.bcn.cl/leychile/navegar?idNorma=141599</w:t>
      </w:r>
    </w:p>
    <w:p>
      <w:pPr>
        <w:spacing w:after="140" w:line="300"/>
        <w:ind w:left="480" w:hanging="480"/>
      </w:pPr>
      <w:r>
        <w:rPr>
          <w:rFonts w:ascii="Calibri" w:cs="Calibri" w:eastAsia="Calibri" w:hAnsi="Calibri"/>
          <w:color w:val="282828"/>
          <w:sz w:val="21"/>
          <w:szCs w:val="21"/>
        </w:rPr>
        <w:t xml:space="preserve">Ley N.º 21.040. </w:t>
      </w:r>
      <w:r>
        <w:rPr>
          <w:rFonts w:ascii="Calibri" w:cs="Calibri" w:eastAsia="Calibri" w:hAnsi="Calibri"/>
          <w:i/>
          <w:iCs/>
          <w:color w:val="282828"/>
          <w:sz w:val="21"/>
          <w:szCs w:val="21"/>
        </w:rPr>
        <w:t xml:space="preserve">Crea el Sistema de Educación Pública</w:t>
      </w:r>
      <w:r>
        <w:rPr>
          <w:rFonts w:ascii="Calibri" w:cs="Calibri" w:eastAsia="Calibri" w:hAnsi="Calibri"/>
          <w:color w:val="282828"/>
          <w:sz w:val="21"/>
          <w:szCs w:val="21"/>
        </w:rPr>
        <w:t xml:space="preserve">. Diario Oficial de la República de Chile, 24 de noviembre de 2017. https://www.bcn.cl/leychile/navegar?idNorma=1111237</w:t>
      </w:r>
    </w:p>
    <w:p>
      <w:pPr>
        <w:spacing w:after="140" w:line="300"/>
        <w:ind w:left="480" w:hanging="480"/>
      </w:pPr>
      <w:r>
        <w:rPr>
          <w:rFonts w:ascii="Calibri" w:cs="Calibri" w:eastAsia="Calibri" w:hAnsi="Calibri"/>
          <w:color w:val="282828"/>
          <w:sz w:val="21"/>
          <w:szCs w:val="21"/>
        </w:rPr>
        <w:t xml:space="preserve">Ley N.º 21.719. </w:t>
      </w:r>
      <w:r>
        <w:rPr>
          <w:rFonts w:ascii="Calibri" w:cs="Calibri" w:eastAsia="Calibri" w:hAnsi="Calibri"/>
          <w:i/>
          <w:iCs/>
          <w:color w:val="282828"/>
          <w:sz w:val="21"/>
          <w:szCs w:val="21"/>
        </w:rPr>
        <w:t xml:space="preserve">Regula la protección y el tratamiento de los datos personales y crea la Agencia de Protección de Datos Personales</w:t>
      </w:r>
      <w:r>
        <w:rPr>
          <w:rFonts w:ascii="Calibri" w:cs="Calibri" w:eastAsia="Calibri" w:hAnsi="Calibri"/>
          <w:color w:val="282828"/>
          <w:sz w:val="21"/>
          <w:szCs w:val="21"/>
        </w:rPr>
        <w:t xml:space="preserve">. Diario Oficial de la República de Chile, 13 de diciembre de 2024 (entrada en plena vigencia: 1 de diciembre de 2026). https://www.bcn.cl/leychile/navegar?idNorma=1208650</w:t>
      </w:r>
    </w:p>
    <w:p>
      <w:pPr>
        <w:spacing w:after="140" w:line="300"/>
        <w:ind w:left="480" w:hanging="480"/>
      </w:pPr>
      <w:r>
        <w:rPr>
          <w:rFonts w:ascii="Calibri" w:cs="Calibri" w:eastAsia="Calibri" w:hAnsi="Calibri"/>
          <w:color w:val="282828"/>
          <w:sz w:val="21"/>
          <w:szCs w:val="21"/>
        </w:rPr>
        <w:t xml:space="preserve">Ministerio de Ciencia, Tecnología, Conocimiento e Innovación. (2021). </w:t>
      </w:r>
      <w:r>
        <w:rPr>
          <w:rFonts w:ascii="Calibri" w:cs="Calibri" w:eastAsia="Calibri" w:hAnsi="Calibri"/>
          <w:i/>
          <w:iCs/>
          <w:color w:val="282828"/>
          <w:sz w:val="21"/>
          <w:szCs w:val="21"/>
        </w:rPr>
        <w:t xml:space="preserve">Política Nacional de Inteligencia Artificial</w:t>
      </w:r>
      <w:r>
        <w:rPr>
          <w:rFonts w:ascii="Calibri" w:cs="Calibri" w:eastAsia="Calibri" w:hAnsi="Calibri"/>
          <w:color w:val="282828"/>
          <w:sz w:val="21"/>
          <w:szCs w:val="21"/>
        </w:rPr>
        <w:t xml:space="preserve">. Gobierno de Chile.</w:t>
      </w:r>
    </w:p>
    <w:p>
      <w:pPr>
        <w:spacing w:after="140" w:line="300"/>
        <w:ind w:left="480" w:hanging="480"/>
      </w:pPr>
      <w:r>
        <w:rPr>
          <w:rFonts w:ascii="Calibri" w:cs="Calibri" w:eastAsia="Calibri" w:hAnsi="Calibri"/>
          <w:color w:val="282828"/>
          <w:sz w:val="21"/>
          <w:szCs w:val="21"/>
        </w:rPr>
        <w:t xml:space="preserve">Ministerio de Educación de Chile. (2015). </w:t>
      </w:r>
      <w:r>
        <w:rPr>
          <w:rFonts w:ascii="Calibri" w:cs="Calibri" w:eastAsia="Calibri" w:hAnsi="Calibri"/>
          <w:i/>
          <w:iCs/>
          <w:color w:val="282828"/>
          <w:sz w:val="21"/>
          <w:szCs w:val="21"/>
        </w:rPr>
        <w:t xml:space="preserve">Marco para la Buena Dirección y el Liderazgo Escolar</w:t>
      </w:r>
      <w:r>
        <w:rPr>
          <w:rFonts w:ascii="Calibri" w:cs="Calibri" w:eastAsia="Calibri" w:hAnsi="Calibri"/>
          <w:color w:val="282828"/>
          <w:sz w:val="21"/>
          <w:szCs w:val="21"/>
        </w:rPr>
        <w:t xml:space="preserve">. CPEIP, Mineduc.</w:t>
      </w:r>
    </w:p>
    <w:p>
      <w:pPr>
        <w:spacing w:after="140" w:line="300"/>
        <w:ind w:left="480" w:hanging="480"/>
      </w:pPr>
      <w:r>
        <w:rPr>
          <w:rFonts w:ascii="Calibri" w:cs="Calibri" w:eastAsia="Calibri" w:hAnsi="Calibri"/>
          <w:color w:val="282828"/>
          <w:sz w:val="21"/>
          <w:szCs w:val="21"/>
        </w:rPr>
        <w:t xml:space="preserve">Ministerio de Educación de Chile. (2018a). </w:t>
      </w:r>
      <w:r>
        <w:rPr>
          <w:rFonts w:ascii="Calibri" w:cs="Calibri" w:eastAsia="Calibri" w:hAnsi="Calibri"/>
          <w:i/>
          <w:iCs/>
          <w:color w:val="282828"/>
          <w:sz w:val="21"/>
          <w:szCs w:val="21"/>
        </w:rPr>
        <w:t xml:space="preserve">Mejoramiento y cambio escolar: Análisis y uso de datos para la gestión directiva</w:t>
      </w:r>
      <w:r>
        <w:rPr>
          <w:rFonts w:ascii="Calibri" w:cs="Calibri" w:eastAsia="Calibri" w:hAnsi="Calibri"/>
          <w:color w:val="282828"/>
          <w:sz w:val="21"/>
          <w:szCs w:val="21"/>
        </w:rPr>
        <w:t xml:space="preserve"> (Guía de herramientas para el desarrollo de recursos personales en equipos directivos, Herramienta 3). División de Educación General, Mineduc.</w:t>
      </w:r>
    </w:p>
    <w:p>
      <w:pPr>
        <w:spacing w:after="140" w:line="300"/>
        <w:ind w:left="480" w:hanging="480"/>
      </w:pPr>
      <w:r>
        <w:rPr>
          <w:rFonts w:ascii="Calibri" w:cs="Calibri" w:eastAsia="Calibri" w:hAnsi="Calibri"/>
          <w:color w:val="282828"/>
          <w:sz w:val="21"/>
          <w:szCs w:val="21"/>
        </w:rPr>
        <w:t xml:space="preserve">Ministerio de Educación de Chile. (2018b). </w:t>
      </w:r>
      <w:r>
        <w:rPr>
          <w:rFonts w:ascii="Calibri" w:cs="Calibri" w:eastAsia="Calibri" w:hAnsi="Calibri"/>
          <w:i/>
          <w:iCs/>
          <w:color w:val="282828"/>
          <w:sz w:val="21"/>
          <w:szCs w:val="21"/>
        </w:rPr>
        <w:t xml:space="preserve">Guía de orientaciones para liderar procesos participativos en el contexto escolar. Documento de apoyo a equipos directivos</w:t>
      </w:r>
      <w:r>
        <w:rPr>
          <w:rFonts w:ascii="Calibri" w:cs="Calibri" w:eastAsia="Calibri" w:hAnsi="Calibri"/>
          <w:color w:val="282828"/>
          <w:sz w:val="21"/>
          <w:szCs w:val="21"/>
        </w:rPr>
        <w:t xml:space="preserve">. Mineduc.</w:t>
      </w:r>
    </w:p>
    <w:p>
      <w:pPr>
        <w:spacing w:after="140" w:line="300"/>
        <w:ind w:left="480" w:hanging="480"/>
      </w:pPr>
      <w:r>
        <w:rPr>
          <w:rFonts w:ascii="Calibri" w:cs="Calibri" w:eastAsia="Calibri" w:hAnsi="Calibri"/>
          <w:color w:val="282828"/>
          <w:sz w:val="21"/>
          <w:szCs w:val="21"/>
        </w:rPr>
        <w:t xml:space="preserve">Ministerio de Educación de Chile. (2023). </w:t>
      </w:r>
      <w:r>
        <w:rPr>
          <w:rFonts w:ascii="Calibri" w:cs="Calibri" w:eastAsia="Calibri" w:hAnsi="Calibri"/>
          <w:i/>
          <w:iCs/>
          <w:color w:val="282828"/>
          <w:sz w:val="21"/>
          <w:szCs w:val="21"/>
        </w:rPr>
        <w:t xml:space="preserve">Guía para docentes: Cómo usar ChatGPT para potenciar el aprendizaje activo</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Ministerio de Educación de Chile. (2025). </w:t>
      </w:r>
      <w:r>
        <w:rPr>
          <w:rFonts w:ascii="Calibri" w:cs="Calibri" w:eastAsia="Calibri" w:hAnsi="Calibri"/>
          <w:i/>
          <w:iCs/>
          <w:color w:val="282828"/>
          <w:sz w:val="21"/>
          <w:szCs w:val="21"/>
        </w:rPr>
        <w:t xml:space="preserve">PotencIA el aprendizaje: Preguntas para la reflexión y práctica de la Inteligencia Artificial generativa en contextos educativos</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Ortiz González, E., &amp; Fourt, J. (Eds.). (2025). </w:t>
      </w:r>
      <w:r>
        <w:rPr>
          <w:rFonts w:ascii="Calibri" w:cs="Calibri" w:eastAsia="Calibri" w:hAnsi="Calibri"/>
          <w:i/>
          <w:iCs/>
          <w:color w:val="282828"/>
          <w:sz w:val="21"/>
          <w:szCs w:val="21"/>
        </w:rPr>
        <w:t xml:space="preserve">Transformando el aula con inteligencia artificial: Experiencias de innovación en aula</w:t>
      </w:r>
      <w:r>
        <w:rPr>
          <w:rFonts w:ascii="Calibri" w:cs="Calibri" w:eastAsia="Calibri" w:hAnsi="Calibri"/>
          <w:color w:val="282828"/>
          <w:sz w:val="21"/>
          <w:szCs w:val="21"/>
        </w:rPr>
        <w:t xml:space="preserve">. Departamento Provincial de Educación Cachapoal, Ministerio de Educación.</w:t>
      </w:r>
    </w:p>
    <w:p>
      <w:pPr>
        <w:pStyle w:val="Heading1"/>
        <w:pBdr>
          <w:bottom w:val="single" w:color="1F84EB" w:sz="12" w:space="6"/>
        </w:pBdr>
        <w:spacing w:after="200" w:before="360"/>
      </w:pPr>
      <w:r>
        <w:rPr>
          <w:rFonts w:ascii="Calibri" w:cs="Calibri" w:eastAsia="Calibri" w:hAnsi="Calibri"/>
          <w:b/>
          <w:bCs/>
          <w:color w:val="282828"/>
          <w:sz w:val="32"/>
          <w:szCs w:val="32"/>
        </w:rPr>
        <w:t xml:space="preserve">Bibliografía complementaria</w:t>
      </w:r>
    </w:p>
    <w:p>
      <w:pPr>
        <w:spacing w:after="140" w:line="300"/>
        <w:jc w:val="both"/>
      </w:pPr>
      <w:r>
        <w:rPr>
          <w:rFonts w:ascii="Calibri" w:cs="Calibri" w:eastAsia="Calibri" w:hAnsi="Calibri"/>
          <w:i/>
          <w:iCs/>
          <w:color w:val="5A5A5A"/>
          <w:sz w:val="20"/>
          <w:szCs w:val="20"/>
        </w:rPr>
        <w:t xml:space="preserve">Obras consultadas para la elaboración de este manual que no son citadas de manera directa en el texto, y que amplían los temas tratados.</w:t>
      </w:r>
    </w:p>
    <w:p>
      <w:pPr>
        <w:spacing w:after="140" w:line="300"/>
        <w:ind w:left="480" w:hanging="480"/>
      </w:pPr>
      <w:r>
        <w:rPr>
          <w:rFonts w:ascii="Calibri" w:cs="Calibri" w:eastAsia="Calibri" w:hAnsi="Calibri"/>
          <w:color w:val="282828"/>
          <w:sz w:val="21"/>
          <w:szCs w:val="21"/>
        </w:rPr>
        <w:t xml:space="preserve">OCDE. (2023). </w:t>
      </w:r>
      <w:r>
        <w:rPr>
          <w:rFonts w:ascii="Calibri" w:cs="Calibri" w:eastAsia="Calibri" w:hAnsi="Calibri"/>
          <w:i/>
          <w:iCs/>
          <w:color w:val="282828"/>
          <w:sz w:val="21"/>
          <w:szCs w:val="21"/>
        </w:rPr>
        <w:t xml:space="preserve">Education at a Glance 2023: OECD Indicators</w:t>
      </w:r>
      <w:r>
        <w:rPr>
          <w:rFonts w:ascii="Calibri" w:cs="Calibri" w:eastAsia="Calibri" w:hAnsi="Calibri"/>
          <w:color w:val="282828"/>
          <w:sz w:val="21"/>
          <w:szCs w:val="21"/>
        </w:rPr>
        <w:t xml:space="preserve">. OECD Publishing. https://doi.org/10.1787/e13bef63-en</w:t>
      </w:r>
    </w:p>
    <w:p>
      <w:pPr>
        <w:spacing w:after="140" w:line="300"/>
        <w:ind w:left="480" w:hanging="480"/>
      </w:pPr>
      <w:r>
        <w:rPr>
          <w:rFonts w:ascii="Calibri" w:cs="Calibri" w:eastAsia="Calibri" w:hAnsi="Calibri"/>
          <w:color w:val="282828"/>
          <w:sz w:val="21"/>
          <w:szCs w:val="21"/>
        </w:rPr>
        <w:t xml:space="preserve">Sáenz De Viteri Anzules, C., Vaca Badaraco, J., Sánchez Vera, S., Alvarado Pignataro, D., Villao Maridueña, R., &amp; Valverde Valverde, J. (2025). IA y liderazgo educativo: un análisis bibliométrico global. </w:t>
      </w:r>
      <w:r>
        <w:rPr>
          <w:rFonts w:ascii="Calibri" w:cs="Calibri" w:eastAsia="Calibri" w:hAnsi="Calibri"/>
          <w:i/>
          <w:iCs/>
          <w:color w:val="282828"/>
          <w:sz w:val="21"/>
          <w:szCs w:val="21"/>
        </w:rPr>
        <w:t xml:space="preserve">Simbiosis Educativa, 4</w:t>
      </w:r>
      <w:r>
        <w:rPr>
          <w:rFonts w:ascii="Calibri" w:cs="Calibri" w:eastAsia="Calibri" w:hAnsi="Calibri"/>
          <w:color w:val="282828"/>
          <w:sz w:val="21"/>
          <w:szCs w:val="21"/>
        </w:rPr>
        <w:t xml:space="preserve">(1), 60–77. https://doi.org/10.60085/se.v4n1a4</w:t>
      </w:r>
    </w:p>
    <w:p>
      <w:pPr>
        <w:spacing w:after="140" w:line="300"/>
        <w:ind w:left="480" w:hanging="480"/>
      </w:pPr>
      <w:r>
        <w:rPr>
          <w:rFonts w:ascii="Calibri" w:cs="Calibri" w:eastAsia="Calibri" w:hAnsi="Calibri"/>
          <w:color w:val="282828"/>
          <w:sz w:val="21"/>
          <w:szCs w:val="21"/>
        </w:rPr>
        <w:t xml:space="preserve">UNESCO. (2023). </w:t>
      </w:r>
      <w:r>
        <w:rPr>
          <w:rFonts w:ascii="Calibri" w:cs="Calibri" w:eastAsia="Calibri" w:hAnsi="Calibri"/>
          <w:i/>
          <w:iCs/>
          <w:color w:val="282828"/>
          <w:sz w:val="21"/>
          <w:szCs w:val="21"/>
        </w:rPr>
        <w:t xml:space="preserve">Guidance for generative AI in education and research</w:t>
      </w:r>
      <w:r>
        <w:rPr>
          <w:rFonts w:ascii="Calibri" w:cs="Calibri" w:eastAsia="Calibri" w:hAnsi="Calibri"/>
          <w:color w:val="282828"/>
          <w:sz w:val="21"/>
          <w:szCs w:val="21"/>
        </w:rPr>
        <w:t xml:space="preserve">. UNESCO. https://unesdoc.unesco.org/ark:/48223/pf0000392040</w:t>
      </w:r>
    </w:p>
    <w:sectPr>
      <w:headerReference w:type="default" r:id="rId7"/>
      <w:headerReference w:type="first" r:id="rId8"/>
      <w:footerReference w:type="default" r:id="rId9"/>
      <w:footerReference w:type="first" r:id="rId10"/>
      <w:pgSz w:w="11906" w:h="16838"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6" w:space="4"/>
      </w:pBdr>
      <w:spacing w:after="60"/>
    </w:pPr>
    <w:r>
      <w:rPr>
        <w:rFonts w:ascii="Calibri" w:cs="Calibri" w:eastAsia="Calibri" w:hAnsi="Calibri"/>
        <w:color w:val="5A5A5A"/>
        <w:sz w:val="17"/>
        <w:szCs w:val="17"/>
      </w:rPr>
      <w:t xml:space="preserve">SLEP Andalién Sur  ·  Manual 1. Importancia y ventajas de la 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84EB"/>
      </w:rPr>
    </w:lvl>
    <w:lvl w:ilvl="1" w15:tentative="1">
      <w:start w:val="1"/>
      <w:numFmt w:val="bullet"/>
      <w:lvlText w:val="–"/>
      <w:lvlJc w:val="left"/>
      <w:pPr>
        <w:ind w:left="840" w:hanging="220"/>
      </w:pPr>
      <w:rPr>
        <w:color w:val="5A5A5A"/>
      </w:rPr>
    </w:lvl>
  </w:abstractNum>
  <w:abstractNum w:abstractNumId="3" w15:restartNumberingAfterBreak="0">
    <w:multiLevelType w:val="hybridMultilevel"/>
    <w:lvl w:ilvl="0" w15:tentative="1">
      <w:start w:val="1"/>
      <w:numFmt w:val="decimal"/>
      <w:lvlText w:val="%1."/>
      <w:lvlJc w:val="left"/>
      <w:pPr>
        <w:ind w:left="460" w:hanging="260"/>
      </w:pPr>
      <w:rPr>
        <w:b/>
        <w:bCs/>
        <w:color w:val="1F84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82828"/>
      <w:sz w:val="32"/>
      <w:szCs w:val="32"/>
    </w:rPr>
  </w:style>
  <w:style w:type="paragraph" w:styleId="Heading2">
    <w:name w:val="Heading 2"/>
    <w:basedOn w:val="Normal"/>
    <w:next w:val="Normal"/>
    <w:qFormat/>
    <w:rPr>
      <w:rFonts w:ascii="Calibri" w:cs="Calibri" w:eastAsia="Calibri" w:hAnsi="Calibri"/>
      <w:b/>
      <w:bCs/>
      <w:color w:val="1F84EB"/>
      <w:sz w:val="26"/>
      <w:szCs w:val="26"/>
    </w:rPr>
  </w:style>
  <w:style w:type="paragraph" w:styleId="Heading3">
    <w:name w:val="Heading 3"/>
    <w:basedOn w:val="Normal"/>
    <w:next w:val="Normal"/>
    <w:qFormat/>
    <w:rPr>
      <w:rFonts w:ascii="Calibri" w:cs="Calibri" w:eastAsia="Calibri" w:hAnsi="Calibri"/>
      <w:b/>
      <w:bCs/>
      <w:color w:val="282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801139c5e6c063a2b61058ac66ac4b79ddb0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 Importancia y ventajas de la inteligencia artificial en el contexto educativo nacional</dc:title>
  <dc:creator>SLEP Andalién Sur</dc:creator>
  <dc:description>Por qué la IA es hoy un asunto de gestión, equidad y liderazgo en la educación pública del territorio</dc:description>
  <cp:lastModifiedBy>Un-named</cp:lastModifiedBy>
  <cp:revision>1</cp:revision>
  <dcterms:created xsi:type="dcterms:W3CDTF">2026-10-14T14:16:18.551Z</dcterms:created>
  <dcterms:modified xsi:type="dcterms:W3CDTF">2026-10-14T14:16:18.551Z</dcterms:modified>
</cp:coreProperties>
</file>

<file path=docProps/custom.xml><?xml version="1.0" encoding="utf-8"?>
<Properties xmlns="http://schemas.openxmlformats.org/officeDocument/2006/custom-properties" xmlns:vt="http://schemas.openxmlformats.org/officeDocument/2006/docPropsVTypes"/>
</file>