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600"/>
        <w:jc w:val="center"/>
      </w:pPr>
      <w:r>
        <w:drawing>
          <wp:inline distT="0" distB="0" distL="0" distR="0">
            <wp:extent cx="2857500" cy="1514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857500" cy="1514475"/>
                    </a:xfrm>
                    <a:prstGeom prst="rect">
                      <a:avLst/>
                    </a:prstGeom>
                  </pic:spPr>
                </pic:pic>
              </a:graphicData>
            </a:graphic>
          </wp:inline>
        </w:drawing>
      </w:r>
    </w:p>
    <w:p>
      <w:pPr>
        <w:pBdr>
          <w:bottom w:val="single" w:color="F8D53C" w:sz="8" w:space="10"/>
        </w:pBdr>
        <w:spacing w:after="60"/>
        <w:jc w:val="center"/>
      </w:pPr>
      <w:r>
        <w:rPr>
          <w:rFonts w:ascii="Calibri" w:cs="Calibri" w:eastAsia="Calibri" w:hAnsi="Calibri"/>
          <w:b/>
          <w:bCs/>
          <w:color w:val="5A5A5A"/>
          <w:spacing w:val="20"/>
          <w:sz w:val="18"/>
          <w:szCs w:val="18"/>
        </w:rPr>
        <w:t xml:space="preserve">SERIE DE MANUALES · INTELIGENCIA ARTIFICIAL PARA LA GESTIÓN EDUCATIVA</w:t>
      </w:r>
    </w:p>
    <w:p>
      <w:pPr>
        <w:spacing w:after="500"/>
      </w:pPr>
      <w:r>
        <w:rPr>
          <w:sz w:val="12"/>
          <w:szCs w:val="12"/>
        </w:rPr>
        <w:t xml:space="preserve"/>
      </w:r>
    </w:p>
    <w:p>
      <w:pPr>
        <w:spacing w:after="120"/>
        <w:jc w:val="center"/>
      </w:pPr>
      <w:r>
        <w:rPr>
          <w:rFonts w:ascii="Calibri" w:cs="Calibri" w:eastAsia="Calibri" w:hAnsi="Calibri"/>
          <w:b/>
          <w:bCs/>
          <w:color w:val="1F84EB"/>
          <w:sz w:val="44"/>
          <w:szCs w:val="44"/>
        </w:rPr>
        <w:t xml:space="preserve">MANUAL 2</w:t>
      </w:r>
    </w:p>
    <w:p>
      <w:pPr>
        <w:spacing w:after="220"/>
        <w:jc w:val="center"/>
      </w:pPr>
      <w:r>
        <w:rPr>
          <w:rFonts w:ascii="Calibri" w:cs="Calibri" w:eastAsia="Calibri" w:hAnsi="Calibri"/>
          <w:b/>
          <w:bCs/>
          <w:color w:val="282828"/>
          <w:sz w:val="38"/>
          <w:szCs w:val="38"/>
        </w:rPr>
        <w:t xml:space="preserve">Uso ético de la información y tipos de uso de la IA en la gestión educativa</w:t>
      </w:r>
    </w:p>
    <w:p>
      <w:pPr>
        <w:spacing w:after="700"/>
        <w:ind w:left="700" w:right="700"/>
        <w:jc w:val="center"/>
      </w:pPr>
      <w:r>
        <w:rPr>
          <w:rFonts w:ascii="Calibri" w:cs="Calibri" w:eastAsia="Calibri" w:hAnsi="Calibri"/>
          <w:i/>
          <w:iCs/>
          <w:color w:val="5A5A5A"/>
          <w:sz w:val="23"/>
          <w:szCs w:val="23"/>
        </w:rPr>
        <w:t xml:space="preserve">Principios, criterios de decisión, protocolos de resguardo y seis formas de incorporar la IA al trabajo escolar</w:t>
      </w:r>
    </w:p>
    <w:p>
      <w:pPr>
        <w:spacing w:after="60"/>
        <w:jc w:val="center"/>
      </w:pPr>
      <w:r>
        <w:rPr>
          <w:rFonts w:ascii="Calibri" w:cs="Calibri" w:eastAsia="Calibri" w:hAnsi="Calibri"/>
          <w:b/>
          <w:bCs/>
          <w:color w:val="282828"/>
          <w:sz w:val="24"/>
          <w:szCs w:val="24"/>
        </w:rPr>
        <w:t xml:space="preserve">Servicio Local de Educación Pública Andalién Sur</w:t>
      </w:r>
    </w:p>
    <w:p>
      <w:pPr>
        <w:spacing w:after="60"/>
        <w:jc w:val="center"/>
      </w:pPr>
      <w:r>
        <w:rPr>
          <w:rFonts w:ascii="Calibri" w:cs="Calibri" w:eastAsia="Calibri" w:hAnsi="Calibri"/>
          <w:color w:val="5A5A5A"/>
          <w:sz w:val="21"/>
          <w:szCs w:val="21"/>
        </w:rPr>
        <w:t xml:space="preserve">Concepción · Chiguayante · Florida · Hualqui</w:t>
      </w:r>
    </w:p>
    <w:p>
      <w:pPr>
        <w:spacing w:after="400"/>
        <w:jc w:val="center"/>
      </w:pPr>
      <w:r>
        <w:rPr>
          <w:rFonts w:ascii="Calibri" w:cs="Calibri" w:eastAsia="Calibri" w:hAnsi="Calibri"/>
          <w:color w:val="5A5A5A"/>
          <w:sz w:val="21"/>
          <w:szCs w:val="21"/>
        </w:rPr>
        <w:t xml:space="preserve">Documento de trabajo · Propuesta técnica · 2026</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Presentación</w:t>
      </w:r>
    </w:p>
    <w:p>
      <w:pPr>
        <w:spacing w:after="140" w:line="300"/>
        <w:jc w:val="both"/>
      </w:pPr>
      <w:r>
        <w:rPr>
          <w:rFonts w:ascii="Calibri" w:cs="Calibri" w:eastAsia="Calibri" w:hAnsi="Calibri"/>
          <w:color w:val="282828"/>
          <w:sz w:val="22"/>
          <w:szCs w:val="22"/>
        </w:rPr>
        <w:t xml:space="preserve">Este manual reúne dos preguntas que conviene responder juntas: bajo qué reglas éticas corresponde usar la inteligencia artificial en la gestión escolar, y en qué tareas concretas conviene hacerlo. Separarlas produce documentos incompletos. Un catálogo de usos sin criterios de resguardo invita a errores; un conjunto de principios sin aplicaciones concretas queda en declaración.</w:t>
      </w:r>
    </w:p>
    <w:p>
      <w:pPr>
        <w:spacing w:after="140" w:line="300"/>
        <w:jc w:val="both"/>
      </w:pPr>
      <w:r>
        <w:rPr>
          <w:rFonts w:ascii="Calibri" w:cs="Calibri" w:eastAsia="Calibri" w:hAnsi="Calibri"/>
          <w:color w:val="282828"/>
          <w:sz w:val="22"/>
          <w:szCs w:val="22"/>
        </w:rPr>
        <w:t xml:space="preserve">El uso ético de la inteligencia artificial implica aplicarla de manera responsable, considerando su impacto en las personas, la equidad educativa y el desarrollo profesional de la comunidad escolar. En educación, esto significa tomar decisiones informadas sobre cuándo, cómo y para qué usar IA, evaluando tanto sus beneficios como sus riesgos potenciales (Uso ético de la inteligencia artificial, s.f.).</w:t>
      </w:r>
    </w:p>
    <w:p>
      <w:pPr>
        <w:spacing w:after="140" w:line="300"/>
        <w:jc w:val="both"/>
      </w:pPr>
      <w:r>
        <w:rPr>
          <w:rFonts w:ascii="Calibri" w:cs="Calibri" w:eastAsia="Calibri" w:hAnsi="Calibri"/>
          <w:color w:val="282828"/>
          <w:sz w:val="22"/>
          <w:szCs w:val="22"/>
        </w:rPr>
        <w:t xml:space="preserve">La primera parte entrega criterios de decisión, listas de tareas delegables y no delegables, protocolos de anonimización y modelos de declaración de uso. La segunda organiza las aplicaciones posibles en seis tipos de uso, ordenados por nivel de riesgo, con ejemplos referidos al sistema educativo chileno. El anexo final aborda un escenario cada vez más frecuente: equipos del Servicio que desarrollan sus propias plataformas y las conectan a un modelo de IA.</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Tres reglas que ordenan todo este manual</w:t>
            </w:r>
          </w:p>
          <w:p>
            <w:pPr>
              <w:spacing w:after="80" w:line="290"/>
              <w:jc w:val="both"/>
            </w:pPr>
            <w:r>
              <w:rPr>
                <w:rFonts w:ascii="Calibri" w:cs="Calibri" w:eastAsia="Calibri" w:hAnsi="Calibri"/>
                <w:b/>
                <w:bCs/>
                <w:color w:val="1F84EB"/>
                <w:sz w:val="21"/>
                <w:szCs w:val="21"/>
              </w:rPr>
              <w:t xml:space="preserve">1. </w:t>
            </w:r>
            <w:r>
              <w:rPr>
                <w:rFonts w:ascii="Calibri" w:cs="Calibri" w:eastAsia="Calibri" w:hAnsi="Calibri"/>
                <w:color w:val="282828"/>
                <w:sz w:val="21"/>
                <w:szCs w:val="21"/>
              </w:rPr>
              <w:t xml:space="preserve">La decisión final siempre es humana. La IA puede apoyar procesos, pero no reemplazar el criterio profesional, la empatía ni el liderazgo pedagógico de quien dirige una institución escolar.</w:t>
            </w:r>
          </w:p>
          <w:p>
            <w:pPr>
              <w:spacing w:after="80" w:line="290"/>
              <w:jc w:val="both"/>
            </w:pPr>
            <w:r>
              <w:rPr>
                <w:rFonts w:ascii="Calibri" w:cs="Calibri" w:eastAsia="Calibri" w:hAnsi="Calibri"/>
                <w:b/>
                <w:bCs/>
                <w:color w:val="1F84EB"/>
                <w:sz w:val="21"/>
                <w:szCs w:val="21"/>
              </w:rPr>
              <w:t xml:space="preserve">2. </w:t>
            </w:r>
            <w:r>
              <w:rPr>
                <w:rFonts w:ascii="Calibri" w:cs="Calibri" w:eastAsia="Calibri" w:hAnsi="Calibri"/>
                <w:color w:val="282828"/>
                <w:sz w:val="21"/>
                <w:szCs w:val="21"/>
              </w:rPr>
              <w:t xml:space="preserve">Mientras el Servicio no habilite un entorno autorizado, los datos personales de estudiantes, docentes y familias no se ingresan a plataformas de IA generativa de uso público. La ley no prohíbe tratar estos datos —el Servicio lo hace legítimamente todos los días—, sino que exige condiciones que las plataformas abiertas no cumplen. El apartado 1.3 explica cuáles son.</w:t>
            </w:r>
          </w:p>
          <w:p>
            <w:pPr>
              <w:spacing w:after="80" w:line="290"/>
              <w:jc w:val="both"/>
            </w:pPr>
            <w:r>
              <w:rPr>
                <w:rFonts w:ascii="Calibri" w:cs="Calibri" w:eastAsia="Calibri" w:hAnsi="Calibri"/>
                <w:b/>
                <w:bCs/>
                <w:color w:val="1F84EB"/>
                <w:sz w:val="21"/>
                <w:szCs w:val="21"/>
              </w:rPr>
              <w:t xml:space="preserve">3. </w:t>
            </w:r>
            <w:r>
              <w:rPr>
                <w:rFonts w:ascii="Calibri" w:cs="Calibri" w:eastAsia="Calibri" w:hAnsi="Calibri"/>
                <w:color w:val="282828"/>
                <w:sz w:val="21"/>
                <w:szCs w:val="21"/>
              </w:rPr>
              <w:t xml:space="preserve">Todo lo que la IA genera se verifica antes de usarse. Estas herramientas pueden cometer errores factuales o generar información inexacta.</w:t>
            </w:r>
          </w:p>
        </w:tc>
      </w:tr>
    </w:tbl>
    <w:p>
      <w:pPr>
        <w:spacing w:after="160"/>
      </w:pPr>
      <w:r>
        <w:rPr>
          <w:sz w:val="12"/>
          <w:szCs w:val="12"/>
        </w:rPr>
        <w:t xml:space="preserve"/>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Naturaleza de este documento</w:t>
            </w:r>
          </w:p>
          <w:p>
            <w:pPr>
              <w:spacing w:after="80" w:line="290"/>
              <w:jc w:val="both"/>
            </w:pPr>
            <w:r>
              <w:rPr>
                <w:rFonts w:ascii="Calibri" w:cs="Calibri" w:eastAsia="Calibri" w:hAnsi="Calibri"/>
                <w:b/>
                <w:bCs/>
                <w:color w:val="282828"/>
                <w:sz w:val="21"/>
                <w:szCs w:val="21"/>
              </w:rPr>
              <w:t xml:space="preserve">Esta serie es una propuesta técnica, no un conjunto de lineamientos vigentes. </w:t>
            </w:r>
            <w:r>
              <w:rPr>
                <w:rFonts w:ascii="Calibri" w:cs="Calibri" w:eastAsia="Calibri" w:hAnsi="Calibri"/>
                <w:color w:val="282828"/>
                <w:sz w:val="21"/>
                <w:szCs w:val="21"/>
              </w:rPr>
              <w:t xml:space="preserve">Al momento de su elaboración, el Servicio Local no ha dictado instrucciones formales sobre el uso de inteligencia artificial, y nada de lo que aquí se plantea ha sido aprobado por una instancia institucional.</w:t>
            </w:r>
          </w:p>
          <w:p>
            <w:pPr>
              <w:spacing w:after="80" w:line="290"/>
              <w:jc w:val="both"/>
            </w:pPr>
            <w:r>
              <w:rPr>
                <w:rFonts w:ascii="Calibri" w:cs="Calibri" w:eastAsia="Calibri" w:hAnsi="Calibri"/>
                <w:color w:val="282828"/>
                <w:sz w:val="21"/>
                <w:szCs w:val="21"/>
              </w:rPr>
              <w:t xml:space="preserve">Los criterios, principios, listas y rutas que contiene se ofrecen como insumo para que el Servicio y sus establecimientos deliberen y decidan. Mientras eso no ocurra, deben leerse en modo propositivo y no normativo.</w:t>
            </w:r>
          </w:p>
          <w:p>
            <w:pPr>
              <w:spacing w:after="80" w:line="290"/>
              <w:jc w:val="both"/>
            </w:pPr>
            <w:r>
              <w:rPr>
                <w:rFonts w:ascii="Calibri" w:cs="Calibri" w:eastAsia="Calibri" w:hAnsi="Calibri"/>
                <w:b/>
                <w:bCs/>
                <w:color w:val="282828"/>
                <w:sz w:val="21"/>
                <w:szCs w:val="21"/>
              </w:rPr>
              <w:t xml:space="preserve">Las unidades y responsables señalados en las tablas son referenciales. </w:t>
            </w:r>
            <w:r>
              <w:rPr>
                <w:rFonts w:ascii="Calibri" w:cs="Calibri" w:eastAsia="Calibri" w:hAnsi="Calibri"/>
                <w:color w:val="282828"/>
                <w:sz w:val="21"/>
                <w:szCs w:val="21"/>
              </w:rPr>
              <w:t xml:space="preserve">Corresponde al Servicio determinar qué unidad asume cada función según su propia estructura interna.</w:t>
            </w:r>
          </w:p>
          <w:p>
            <w:pPr>
              <w:spacing w:after="80" w:line="290"/>
              <w:jc w:val="both"/>
            </w:pPr>
            <w:r>
              <w:rPr>
                <w:rFonts w:ascii="Calibri" w:cs="Calibri" w:eastAsia="Calibri" w:hAnsi="Calibri"/>
                <w:b/>
                <w:bCs/>
                <w:color w:val="282828"/>
                <w:sz w:val="21"/>
                <w:szCs w:val="21"/>
              </w:rPr>
              <w:t xml:space="preserve">Sobre las fuentes: </w:t>
            </w:r>
            <w:r>
              <w:rPr>
                <w:rFonts w:ascii="Calibri" w:cs="Calibri" w:eastAsia="Calibri" w:hAnsi="Calibri"/>
                <w:color w:val="282828"/>
                <w:sz w:val="21"/>
                <w:szCs w:val="21"/>
              </w:rPr>
              <w:t xml:space="preserve">las obras públicas citadas fueron leídas y verificadas. Dos materiales de formación recibidos junto con el encargo no consignan autoría ni fecha, y por eso se citan como documentos de trabajo sin autor.</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Índice</w:t>
      </w:r>
    </w:p>
    <w:tbl>
      <w:tblPr>
        <w:tblW w:type="dxa" w:w="9360"/>
        <w:tblBorders>
          <w:top w:val="none"/>
          <w:left w:val="none"/>
          <w:bottom w:val="none"/>
          <w:right w:val="none"/>
          <w:insideH w:val="none"/>
          <w:insideV w:val="none"/>
        </w:tblBorders>
      </w:tblPr>
      <w:tblGrid>
        <w:gridCol w:w="8200"/>
        <w:gridCol w:w="1160"/>
      </w:tblGrid>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Presentación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Parte I. Uso ético de la información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 El marco normativo chileno que obliga al Servicio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 Por qué la ética aquí no es solo una convicción</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 Qué se juega el sistema escolar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 Lo que la ley permite y lo que este manual restringe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2. La Ley N.º 21.719 en la práctica escolar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 Los ocho principios y lo que exigen en un establecimiento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2.2 Por qué el Servicio no pide consentimiento, y qué sí debe hacer</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2.3 La obligación especial sobre datos de niños, niñas y adolescentes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2.4 Los derechos de las personas y cómo responder una solicitud</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2.5 Decisiones automatizadas: el artículo que habla directamente de la IA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2.6 Seguridad, seudonimización y reporte de brechas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2.7 Proveedores, plataformas y transferencia internacional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2.8 Qué debe publicarse en el sitio web</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2.9 Responsabilidades y sanciones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2.10 Casos prácticos: cómo tratar los datos en el día a día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19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2.11 Hoja de ruta hacia diciembre de 2026</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21</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3. Los cinco principios éticos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23</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4. Criterios de decisión: ¿cuándo usar 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5. Qué se puede delegar y qué no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5.1 Tareas apropiadas para delegar en IA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5.2 Tareas que no deben delegarse en IA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5.3 La zona intermedia y cómo resolverla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6. Protocolo de anonimización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6.1 Qué debe eliminarse siempre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6.2 Ejemplo aplicado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26</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7. Verificación: el trabajo que no se puede saltar</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7.1 Por qué la IA se equivoca con seguridad</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7.2 Protocolo de verificación en cuatro pasos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8. Transparencia: cómo declarar el uso de 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29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8.1 Fórmulas de declaración según el tipo de documento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8.2 Lo que la declaración no reemplaza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29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9. Protocolo institucional y uso estudiantil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9.1 Construcción participativa del protocolo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9.2 Uso ético de la información por parte de los estudiantes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31</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Parte II. Tipos de uso de la IA en la gestión educativa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10. La IA como copiloto: marco de los seis tipos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11. Tipo 1. Producción documental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11.2 Ejemplos en el contexto del territorio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11.3 Beneficios y límites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34</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12. Tipo 2. Síntesis y análisis de información</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12.2 Ejemplos en el contexto chileno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35</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12.3 Beneficios y límites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35</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13. Tipo 3. Diseño pedagógico y evaluativo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13.2 Ejemplos concretos para el sistema escolar chileno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13.3 Evidencia de aula en Chile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37</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13.4 Límites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37</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14. Tipo 4. Comunicación institucional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14.1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14.2 Ejemplos apropiados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14.3 Beneficios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38</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15. Tipo 5. Apoyo al uso de datos para la mejora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39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15.1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15.2 Ejemplos en el contexto del Servicio Local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39</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15.3 Lo que la evidencia respalda y lo que no</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39</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16. Tipo 6. Apoyo a la reflexión y al liderazgo</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41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16.1 En qué consiste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16.2 Ejemplos para equipos directivos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41</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16.3 Límite fundamental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41</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17. Beneficios esperados y cómo verificarlos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42</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Síntesis del manual</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Anexo. Sistemas propios que consumen una API de inteligencia artificial</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44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A.1 Qué cambia y qué no cambia respecto de una plataforma pública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44</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A.2 Paso a paso: seudonimizar sin perder utilidad</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46</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A.3 Instrucción de sistema: evitar que la IA valore</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48</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A.4 Lista de verificación antes de autorizar el sistema</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50</w:t>
            </w:r>
          </w:p>
        </w:tc>
      </w:tr>
      <w:tr>
        <w:tc>
          <w:tcPr>
            <w:tcW w:type="dxa" w:w="8200"/>
            <w:tcMar>
              <w:top w:type="dxa" w:w="40"/>
              <w:left w:type="dxa" w:w="0"/>
              <w:bottom w:type="dxa" w:w="40"/>
              <w:right w:type="dxa" w:w="60"/>
            </w:tcMar>
          </w:tcPr>
          <w:p>
            <w:pPr>
              <w:spacing w:after="0" w:line="280"/>
              <w:ind w:left="360"/>
            </w:pPr>
            <w:r>
              <w:rPr>
                <w:rFonts w:ascii="Calibri" w:cs="Calibri" w:eastAsia="Calibri" w:hAnsi="Calibri"/>
                <w:b w:val="false"/>
                <w:bCs w:val="false"/>
                <w:color w:val="5A5A5A"/>
                <w:sz w:val="20"/>
                <w:szCs w:val="20"/>
              </w:rPr>
              <w:t xml:space="preserve">A.5 La transparencia hacia los titulares</w:t>
            </w:r>
          </w:p>
        </w:tc>
        <w:tc>
          <w:tcPr>
            <w:tcW w:type="dxa" w:w="1160"/>
            <w:tcMar>
              <w:top w:type="dxa" w:w="40"/>
              <w:left w:type="dxa" w:w="60"/>
              <w:bottom w:type="dxa" w:w="40"/>
              <w:right w:type="dxa" w:w="0"/>
            </w:tcMar>
          </w:tcPr>
          <w:p>
            <w:pPr>
              <w:spacing w:after="0" w:line="280"/>
              <w:jc w:val="right"/>
            </w:pPr>
            <w:r>
              <w:rPr>
                <w:rFonts w:ascii="Calibri" w:cs="Calibri" w:eastAsia="Calibri" w:hAnsi="Calibri"/>
                <w:b w:val="false"/>
                <w:bCs w:val="false"/>
                <w:color w:val="5A5A5A"/>
                <w:sz w:val="20"/>
                <w:szCs w:val="20"/>
              </w:rPr>
              <w:t xml:space="preserve">50</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Referencias</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52</w:t>
            </w:r>
          </w:p>
        </w:tc>
      </w:tr>
      <w:tr>
        <w:tc>
          <w:tcPr>
            <w:tcW w:type="dxa" w:w="8200"/>
            <w:tcMar>
              <w:top w:type="dxa" w:w="40"/>
              <w:left w:type="dxa" w:w="0"/>
              <w:bottom w:type="dxa" w:w="40"/>
              <w:right w:type="dxa" w:w="60"/>
            </w:tcMar>
          </w:tcPr>
          <w:p>
            <w:pPr>
              <w:spacing w:after="0" w:line="280"/>
              <w:ind w:left="0"/>
            </w:pPr>
            <w:r>
              <w:rPr>
                <w:rFonts w:ascii="Calibri" w:cs="Calibri" w:eastAsia="Calibri" w:hAnsi="Calibri"/>
                <w:b/>
                <w:bCs/>
                <w:color w:val="282828"/>
                <w:sz w:val="21"/>
                <w:szCs w:val="21"/>
              </w:rPr>
              <w:t xml:space="preserve">Bibliografía complementaria</w:t>
            </w:r>
          </w:p>
        </w:tc>
        <w:tc>
          <w:tcPr>
            <w:tcW w:type="dxa" w:w="1160"/>
            <w:tcMar>
              <w:top w:type="dxa" w:w="40"/>
              <w:left w:type="dxa" w:w="60"/>
              <w:bottom w:type="dxa" w:w="40"/>
              <w:right w:type="dxa" w:w="0"/>
            </w:tcMar>
          </w:tcPr>
          <w:p>
            <w:pPr>
              <w:spacing w:after="0" w:line="280"/>
              <w:jc w:val="right"/>
            </w:pPr>
            <w:r>
              <w:rPr>
                <w:rFonts w:ascii="Calibri" w:cs="Calibri" w:eastAsia="Calibri" w:hAnsi="Calibri"/>
                <w:b/>
                <w:bCs/>
                <w:color w:val="282828"/>
                <w:sz w:val="21"/>
                <w:szCs w:val="21"/>
              </w:rPr>
              <w:t xml:space="preserve">53</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Parte I. Uso ético de la información</w:t>
      </w:r>
    </w:p>
    <w:p>
      <w:pPr>
        <w:spacing w:after="140" w:line="300"/>
        <w:jc w:val="both"/>
      </w:pPr>
      <w:r>
        <w:rPr>
          <w:rFonts w:ascii="Calibri" w:cs="Calibri" w:eastAsia="Calibri" w:hAnsi="Calibri"/>
          <w:i/>
          <w:iCs/>
          <w:color w:val="5A5A5A"/>
          <w:sz w:val="22"/>
          <w:szCs w:val="22"/>
        </w:rPr>
        <w:t xml:space="preserve">Un establecimiento puede recuperar una mala planificación, pero no puede recuperar la confianza de una familia cuyo dato sensible fue ingresado a una plataforma externa, ni deshacer una decisión disciplinaria fundada en una respuesta automática no verificada. Por eso esta parte antecede a la segunda.</w:t>
      </w:r>
    </w:p>
    <w:p>
      <w:pPr>
        <w:pStyle w:val="Heading1"/>
        <w:pBdr>
          <w:bottom w:val="single" w:color="1F84EB" w:sz="12" w:space="6"/>
        </w:pBdr>
        <w:spacing w:after="200" w:before="360"/>
      </w:pPr>
      <w:r>
        <w:rPr>
          <w:rFonts w:ascii="Calibri" w:cs="Calibri" w:eastAsia="Calibri" w:hAnsi="Calibri"/>
          <w:b/>
          <w:bCs/>
          <w:color w:val="282828"/>
          <w:sz w:val="32"/>
          <w:szCs w:val="32"/>
        </w:rPr>
        <w:t xml:space="preserve">1. El marco normativo chileno que obliga al Servicio</w:t>
      </w:r>
    </w:p>
    <w:p>
      <w:pPr>
        <w:pStyle w:val="Heading2"/>
        <w:spacing w:after="140" w:before="280"/>
      </w:pPr>
      <w:r>
        <w:rPr>
          <w:rFonts w:ascii="Calibri" w:cs="Calibri" w:eastAsia="Calibri" w:hAnsi="Calibri"/>
          <w:b/>
          <w:bCs/>
          <w:color w:val="1F84EB"/>
          <w:sz w:val="26"/>
          <w:szCs w:val="26"/>
        </w:rPr>
        <w:t xml:space="preserve">1.1 Por qué la ética aquí no es solo una convicción</w:t>
      </w:r>
    </w:p>
    <w:p>
      <w:pPr>
        <w:spacing w:after="140" w:line="300"/>
        <w:jc w:val="both"/>
      </w:pPr>
      <w:r>
        <w:rPr>
          <w:rFonts w:ascii="Calibri" w:cs="Calibri" w:eastAsia="Calibri" w:hAnsi="Calibri"/>
          <w:color w:val="282828"/>
          <w:sz w:val="22"/>
          <w:szCs w:val="22"/>
        </w:rPr>
        <w:t xml:space="preserve">En el sector público chileno, el tratamiento de información personal no depende del criterio de cada funcionario: está regulado. El SLEP Andalién Sur, como órgano de la Administración del Estado creado por la Ley N.º 21.040, administra datos de más de quince mil estudiantes y de sobre tres mil trabajadoras y trabajadores. Ese solo hecho convierte cualquier decisión sobre herramientas digitales en una decisión con consecuencias jurídicas.</w:t>
      </w:r>
    </w:p>
    <w:p>
      <w:pPr>
        <w:spacing w:after="40" w:before="240"/>
      </w:pPr>
      <w:r>
        <w:rPr>
          <w:rFonts w:ascii="Calibri" w:cs="Calibri" w:eastAsia="Calibri" w:hAnsi="Calibri"/>
          <w:b/>
          <w:bCs/>
          <w:color w:val="282828"/>
          <w:sz w:val="20"/>
          <w:szCs w:val="20"/>
        </w:rPr>
        <w:t xml:space="preserve">Tabla 1</w:t>
      </w:r>
    </w:p>
    <w:p>
      <w:pPr>
        <w:spacing w:after="110"/>
      </w:pPr>
      <w:r>
        <w:rPr>
          <w:rFonts w:ascii="Calibri" w:cs="Calibri" w:eastAsia="Calibri" w:hAnsi="Calibri"/>
          <w:i/>
          <w:iCs/>
          <w:color w:val="282828"/>
          <w:sz w:val="20"/>
          <w:szCs w:val="20"/>
        </w:rPr>
        <w:t xml:space="preserve">Marco normativo aplicable al uso de IA en establecimientos del Servicio Local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300"/>
        <w:gridCol w:w="3600"/>
        <w:gridCol w:w="3460"/>
      </w:tblGrid>
      <w:tr>
        <w:trPr>
          <w:tblHeader/>
        </w:trPr>
        <w:tc>
          <w:tcPr>
            <w:tcW w:type="dxa" w:w="23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Norma</w:t>
            </w:r>
          </w:p>
        </w:tc>
        <w:tc>
          <w:tcPr>
            <w:tcW w:type="dxa" w:w="36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establece</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Implicancia práctica</w:t>
            </w:r>
          </w:p>
        </w:tc>
      </w:tr>
      <w:tr>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Ley N.º 19.628, sobre protección de la vida privada</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Regula el tratamiento de datos personales y define categorías de datos sensibles.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datos de salud, situación socioeconómica y vida privada de estudiantes tienen protección reforzada.</w:t>
            </w:r>
          </w:p>
        </w:tc>
      </w:tr>
      <w:tr>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Ley N.º 21.719, sobre protección y tratamiento de datos personales (plena vigencia: 1 de diciembre de 2026)</w:t>
            </w:r>
          </w:p>
        </w:tc>
        <w:tc>
          <w:tcPr>
            <w:tcW w:type="dxa" w:w="3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Reforma íntegramente la Ley N.º 19.628, crea la Agencia de Protección de Datos Personales y establece un régimen sancionatorio.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Exige base de licitud, responsabilidad demostrable, protección desde el diseño, evaluación de impacto en tratamientos de alto riesgo y contrato con todo encargado de tratamiento.</w:t>
            </w:r>
          </w:p>
        </w:tc>
      </w:tr>
      <w:tr>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Ley N.º 21.040, que crea el Sistema de Educación Pública</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las obligaciones del Servicio en calidad, mejora continua y equidad, y sus instrumentos de gestión.</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uso de IA debe inscribirse en el Plan Estratégico Local y en el Plan Anual, no operar al margen.</w:t>
            </w:r>
          </w:p>
        </w:tc>
      </w:tr>
      <w:tr>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Ley N.º 20.285, sobre acceso a la información pública</w:t>
            </w:r>
          </w:p>
        </w:tc>
        <w:tc>
          <w:tcPr>
            <w:tcW w:type="dxa" w:w="3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Consagra el principio de transparencia de la función pública.</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documentos institucionales pueden ser requeridos; su trazabilidad y autoría importan.</w:t>
            </w:r>
          </w:p>
        </w:tc>
      </w:tr>
      <w:tr>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Política Nacional de Inteligencia Artificial</w:t>
            </w:r>
          </w:p>
        </w:tc>
        <w:tc>
          <w:tcPr>
            <w:tcW w:type="dxa" w:w="3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Marco de política bajo el cual el Mineduc despliega orientaciones para comunidades educativas.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 respaldo institucional a la adopción, condicionada a resguardos éticos.</w:t>
            </w:r>
          </w:p>
        </w:tc>
      </w:tr>
    </w:tbl>
    <w:p>
      <w:pPr>
        <w:spacing w:after="200" w:before="60"/>
      </w:pPr>
      <w:r>
        <w:rPr>
          <w:rFonts w:ascii="Calibri" w:cs="Calibri" w:eastAsia="Calibri" w:hAnsi="Calibri"/>
          <w:i/>
          <w:iCs/>
          <w:color w:val="5A5A5A"/>
          <w:sz w:val="18"/>
          <w:szCs w:val="18"/>
        </w:rPr>
        <w:t xml:space="preserve">Nota. Elaboración propia a partir de la normativa citada y de Ministerio de Educación de Chile (2025).</w:t>
      </w:r>
    </w:p>
    <w:p>
      <w:pPr>
        <w:pStyle w:val="Heading2"/>
        <w:spacing w:after="140" w:before="280"/>
      </w:pPr>
      <w:r>
        <w:rPr>
          <w:rFonts w:ascii="Calibri" w:cs="Calibri" w:eastAsia="Calibri" w:hAnsi="Calibri"/>
          <w:b/>
          <w:bCs/>
          <w:color w:val="1F84EB"/>
          <w:sz w:val="26"/>
          <w:szCs w:val="26"/>
        </w:rPr>
        <w:t xml:space="preserve">1.2 Qué se juega el sistema escolar</w:t>
      </w:r>
    </w:p>
    <w:p>
      <w:pPr>
        <w:spacing w:after="140" w:line="300"/>
        <w:jc w:val="both"/>
      </w:pPr>
      <w:r>
        <w:rPr>
          <w:rFonts w:ascii="Calibri" w:cs="Calibri" w:eastAsia="Calibri" w:hAnsi="Calibri"/>
          <w:color w:val="282828"/>
          <w:sz w:val="22"/>
          <w:szCs w:val="22"/>
        </w:rPr>
        <w:t xml:space="preserve">La literatura especializada advierte que las implicaciones éticas del uso de IA en educación no se agotan en el sesgo algorítmico. Bustamante Bula y Camacho Bonilla (2024) identificaron diez de los cincuenta y dos estudios revisados dedicados específicamente a este ámbito, y señalan que junto al uso inadecuado de datos de estudiantes o docentes y a la discriminación por sesgos aparecen temas como el cuidado del medio ambiente y la democratización de la educación.</w:t>
      </w:r>
    </w:p>
    <w:p>
      <w:pPr>
        <w:spacing w:after="140" w:line="300"/>
        <w:jc w:val="both"/>
      </w:pPr>
      <w:r>
        <w:rPr>
          <w:rFonts w:ascii="Calibri" w:cs="Calibri" w:eastAsia="Calibri" w:hAnsi="Calibri"/>
          <w:color w:val="282828"/>
          <w:sz w:val="22"/>
          <w:szCs w:val="22"/>
        </w:rPr>
        <w:t xml:space="preserve">Gray (2020, citado en Bustamante Bula &amp; Camacho Bonilla, 2024) manifiesta preocupación por el uso de datos de niños y jóvenes sin control en las escuelas cuando se pone en práctica la IA. Saltman (2020, citado en la misma revisión) advierte sobre los riesgos de la privatización educativa asociada a estas tecnologías. Para un sostenedor público, ambas advertencias tienen peso institucional: el Servicio responde por lo que hacen sus establecimientos con la información que custodia.</w:t>
      </w:r>
    </w:p>
    <w:p>
      <w:pPr>
        <w:pStyle w:val="Heading2"/>
        <w:spacing w:after="140" w:before="280"/>
      </w:pPr>
      <w:r>
        <w:rPr>
          <w:rFonts w:ascii="Calibri" w:cs="Calibri" w:eastAsia="Calibri" w:hAnsi="Calibri"/>
          <w:b/>
          <w:bCs/>
          <w:color w:val="1F84EB"/>
          <w:sz w:val="26"/>
          <w:szCs w:val="26"/>
        </w:rPr>
        <w:t xml:space="preserve">1.3 Lo que la ley permite y lo que este manual restringe</w:t>
      </w:r>
    </w:p>
    <w:p>
      <w:pPr>
        <w:spacing w:after="140" w:line="300"/>
        <w:jc w:val="both"/>
      </w:pPr>
      <w:r>
        <w:rPr>
          <w:rFonts w:ascii="Calibri" w:cs="Calibri" w:eastAsia="Calibri" w:hAnsi="Calibri"/>
          <w:color w:val="282828"/>
          <w:sz w:val="22"/>
          <w:szCs w:val="22"/>
        </w:rPr>
        <w:t xml:space="preserve">Conviene despejar una confusión frecuente, porque de ella depende que las reglas de este manual se entiendan y se cumplan. La normativa de datos personales no prohíbe que un organismo público trate información de las personas. El SLEP Andalién Sur trata datos personales de manera legítima y permanente: matrícula, asistencia, calificaciones, informes de programas de integración, antecedentes laborales de sus funcionarios. Sin ese tratamiento no podría cumplir las funciones que la Ley N.º 21.040 le encomienda.</w:t>
      </w:r>
    </w:p>
    <w:p>
      <w:pPr>
        <w:spacing w:after="140" w:line="300"/>
        <w:jc w:val="both"/>
      </w:pPr>
      <w:r>
        <w:rPr>
          <w:rFonts w:ascii="Calibri" w:cs="Calibri" w:eastAsia="Calibri" w:hAnsi="Calibri"/>
          <w:color w:val="282828"/>
          <w:sz w:val="22"/>
          <w:szCs w:val="22"/>
        </w:rPr>
        <w:t xml:space="preserve">Lo que la normativa regula son las condiciones de ese tratamiento. Bajo la Ley N.º 19.628, actualmente vigente, los organismos públicos pueden tratar datos personales respecto de materias de su competencia. La Ley N.º 21.719, que reforma íntegramente ese marco y entra en plena vigencia el 1 de diciembre de 2026, mantiene esa habilitación pero refuerza sustantivamente las exigencias: principios de finalidad, proporcionalidad, calidad, seguridad, responsabilidad y confidencialidad; protección desde el diseño y por defecto; evaluación de impacto en tratamientos de alto riesgo; reporte de brechas de seguridad; y contrato formal con todo tercero que trate datos por encargo del responsable (Ley N.º 21.719, 2024; Secretaría de Gobierno Digital, s.f.). El apartado 2 de este manual desarrolla cada una de estas exigencias con ejemplos escolares.</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Dónde está realmente el problema</w:t>
            </w:r>
          </w:p>
          <w:p>
            <w:pPr>
              <w:spacing w:after="80" w:line="290"/>
              <w:jc w:val="both"/>
            </w:pPr>
            <w:r>
              <w:rPr>
                <w:rFonts w:ascii="Calibri" w:cs="Calibri" w:eastAsia="Calibri" w:hAnsi="Calibri"/>
                <w:color w:val="282828"/>
                <w:sz w:val="21"/>
                <w:szCs w:val="21"/>
              </w:rPr>
              <w:t xml:space="preserve">El obstáculo no es el dato: es el destinatario. Cuando se pega información de un estudiante en una plataforma de IA de uso público, ocurren simultáneamente varias cosas que la normativa exige controlar y que en ese acto quedan sin control.</w:t>
            </w:r>
          </w:p>
          <w:p>
            <w:pPr>
              <w:spacing w:after="80" w:line="290"/>
              <w:jc w:val="both"/>
            </w:pPr>
            <w:r>
              <w:rPr>
                <w:rFonts w:ascii="Calibri" w:cs="Calibri" w:eastAsia="Calibri" w:hAnsi="Calibri"/>
                <w:b/>
                <w:bCs/>
                <w:color w:val="282828"/>
                <w:sz w:val="21"/>
                <w:szCs w:val="21"/>
              </w:rPr>
              <w:t xml:space="preserve">Se comunica el dato a un tercero</w:t>
            </w:r>
            <w:r>
              <w:rPr>
                <w:rFonts w:ascii="Calibri" w:cs="Calibri" w:eastAsia="Calibri" w:hAnsi="Calibri"/>
                <w:color w:val="282828"/>
                <w:sz w:val="21"/>
                <w:szCs w:val="21"/>
              </w:rPr>
              <w:t xml:space="preserve"> que actúa como encargado de tratamiento, sin el contrato que la ley exige para esa figura.</w:t>
            </w:r>
          </w:p>
          <w:p>
            <w:pPr>
              <w:spacing w:after="80" w:line="290"/>
              <w:jc w:val="both"/>
            </w:pPr>
            <w:r>
              <w:rPr>
                <w:rFonts w:ascii="Calibri" w:cs="Calibri" w:eastAsia="Calibri" w:hAnsi="Calibri"/>
                <w:b/>
                <w:bCs/>
                <w:color w:val="282828"/>
                <w:sz w:val="21"/>
                <w:szCs w:val="21"/>
              </w:rPr>
              <w:t xml:space="preserve">Se pierde el control de la finalidad</w:t>
            </w:r>
            <w:r>
              <w:rPr>
                <w:rFonts w:ascii="Calibri" w:cs="Calibri" w:eastAsia="Calibri" w:hAnsi="Calibri"/>
                <w:color w:val="282828"/>
                <w:sz w:val="21"/>
                <w:szCs w:val="21"/>
              </w:rPr>
              <w:t xml:space="preserve">: muchas plataformas de uso público utilizan lo ingresado para entrenar sus modelos, lo que constituye un tratamiento distinto de aquel para el cual el dato fue recogido.</w:t>
            </w:r>
          </w:p>
          <w:p>
            <w:pPr>
              <w:spacing w:after="80" w:line="290"/>
              <w:jc w:val="both"/>
            </w:pPr>
            <w:r>
              <w:rPr>
                <w:rFonts w:ascii="Calibri" w:cs="Calibri" w:eastAsia="Calibri" w:hAnsi="Calibri"/>
                <w:b/>
                <w:bCs/>
                <w:color w:val="282828"/>
                <w:sz w:val="21"/>
                <w:szCs w:val="21"/>
              </w:rPr>
              <w:t xml:space="preserve">Se produce una transferencia internacional</w:t>
            </w:r>
            <w:r>
              <w:rPr>
                <w:rFonts w:ascii="Calibri" w:cs="Calibri" w:eastAsia="Calibri" w:hAnsi="Calibri"/>
                <w:color w:val="282828"/>
                <w:sz w:val="21"/>
                <w:szCs w:val="21"/>
              </w:rPr>
              <w:t xml:space="preserve"> hacia servidores fuera de Chile, sujeta a requisitos propios.</w:t>
            </w:r>
          </w:p>
          <w:p>
            <w:pPr>
              <w:spacing w:after="80" w:line="290"/>
              <w:jc w:val="both"/>
            </w:pPr>
            <w:r>
              <w:rPr>
                <w:rFonts w:ascii="Calibri" w:cs="Calibri" w:eastAsia="Calibri" w:hAnsi="Calibri"/>
                <w:b/>
                <w:bCs/>
                <w:color w:val="282828"/>
                <w:sz w:val="21"/>
                <w:szCs w:val="21"/>
              </w:rPr>
              <w:t xml:space="preserve">No hay trazabilidad</w:t>
            </w:r>
            <w:r>
              <w:rPr>
                <w:rFonts w:ascii="Calibri" w:cs="Calibri" w:eastAsia="Calibri" w:hAnsi="Calibri"/>
                <w:color w:val="282828"/>
                <w:sz w:val="21"/>
                <w:szCs w:val="21"/>
              </w:rPr>
              <w:t xml:space="preserve">: el organismo no puede demostrar qué dato salió, cuándo y bajo qué control, que es precisamente lo que el nuevo régimen exige acreditar.</w:t>
            </w:r>
          </w:p>
        </w:tc>
      </w:tr>
    </w:tbl>
    <w:p>
      <w:pPr>
        <w:spacing w:after="140" w:line="300"/>
        <w:jc w:val="both"/>
      </w:pPr>
      <w:r>
        <w:rPr>
          <w:rFonts w:ascii="Calibri" w:cs="Calibri" w:eastAsia="Calibri" w:hAnsi="Calibri"/>
          <w:color w:val="282828"/>
          <w:sz w:val="22"/>
          <w:szCs w:val="22"/>
        </w:rPr>
        <w:t xml:space="preserve">Por eso la regla de este manual no dice que el dato no pueda tratarse, sino que no puede salir hacia una plataforma que el Servicio no ha habilitado. Es una restricción institucional fundada en la normativa, no una prohibición legal categórica sobre el uso de IA con información escolar.</w:t>
      </w:r>
    </w:p>
    <w:p>
      <w:pPr>
        <w:pStyle w:val="Heading3"/>
        <w:spacing w:after="110" w:before="220"/>
      </w:pPr>
      <w:r>
        <w:rPr>
          <w:rFonts w:ascii="Calibri" w:cs="Calibri" w:eastAsia="Calibri" w:hAnsi="Calibri"/>
          <w:b/>
          <w:bCs/>
          <w:color w:val="282828"/>
          <w:sz w:val="23"/>
          <w:szCs w:val="23"/>
        </w:rPr>
        <w:t xml:space="preserve">Bajo qué condiciones podría cambiar esta regla</w:t>
      </w:r>
    </w:p>
    <w:p>
      <w:pPr>
        <w:spacing w:after="140" w:line="300"/>
        <w:jc w:val="both"/>
      </w:pPr>
      <w:r>
        <w:rPr>
          <w:rFonts w:ascii="Calibri" w:cs="Calibri" w:eastAsia="Calibri" w:hAnsi="Calibri"/>
          <w:color w:val="282828"/>
          <w:sz w:val="22"/>
          <w:szCs w:val="22"/>
        </w:rPr>
        <w:t xml:space="preserve">La restricción es reversible. Si el Servicio Local habilita formalmente un entorno de IA que cumpla las condiciones siguientes, el tratamiento de datos personales en ese entorno específico pasa a ser admisible dentro de los límites que la propia autorización defina.</w:t>
      </w:r>
    </w:p>
    <w:p>
      <w:pPr>
        <w:spacing w:after="40" w:before="240"/>
      </w:pPr>
      <w:r>
        <w:rPr>
          <w:rFonts w:ascii="Calibri" w:cs="Calibri" w:eastAsia="Calibri" w:hAnsi="Calibri"/>
          <w:b/>
          <w:bCs/>
          <w:color w:val="282828"/>
          <w:sz w:val="20"/>
          <w:szCs w:val="20"/>
        </w:rPr>
        <w:t xml:space="preserve">Tabla 2</w:t>
      </w:r>
    </w:p>
    <w:p>
      <w:pPr>
        <w:spacing w:after="110"/>
      </w:pPr>
      <w:r>
        <w:rPr>
          <w:rFonts w:ascii="Calibri" w:cs="Calibri" w:eastAsia="Calibri" w:hAnsi="Calibri"/>
          <w:i/>
          <w:iCs/>
          <w:color w:val="282828"/>
          <w:sz w:val="20"/>
          <w:szCs w:val="20"/>
        </w:rPr>
        <w:t xml:space="preserve">Condiciones para habilitar un entorno de IA con datos personales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4400"/>
        <w:gridCol w:w="28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Condición</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implica</w:t>
            </w:r>
          </w:p>
        </w:tc>
        <w:tc>
          <w:tcPr>
            <w:tcW w:type="dxa" w:w="28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Quién la resuelve</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Base de licitud identificada</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Determinar en qué disposición se funda el tratamiento: ejercicio de funciones públicas, deber legal o consentimiento del titular.</w:t>
            </w:r>
          </w:p>
        </w:tc>
        <w:tc>
          <w:tcPr>
            <w:tcW w:type="dxa" w:w="2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Asesoría jurídica del Servicio Local.</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Contrato con el proveedor</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Instrumento que regule al proveedor como encargado de tratamiento: finalidad, prohibición de uso para entrenamiento, medidas de seguridad, plazo de conservación y devolución o supresión.</w:t>
            </w:r>
          </w:p>
        </w:tc>
        <w:tc>
          <w:tcPr>
            <w:tcW w:type="dxa" w:w="2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Unidad de administración y finanzas del Servicio, con asesoría jurídica.</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Delegado de protección de datos</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Designación facultativa (artículo 50). Si el Servicio opta por tenerlo, debe participar en la evaluación de la herramienta; si no, la función la asume quien la Dirección Ejecutiva designe.</w:t>
            </w:r>
          </w:p>
        </w:tc>
        <w:tc>
          <w:tcPr>
            <w:tcW w:type="dxa" w:w="2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Dirección Ejecutiva del Servicio Local.</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 de impacto</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Análisis previo de riesgos, exigible por el artículo 15 ter cuando el tratamiento se base en decisiones automatizadas con efectos significativos, sea masivo o involucre datos sensibles sin consentimiento.</w:t>
            </w:r>
          </w:p>
        </w:tc>
        <w:tc>
          <w:tcPr>
            <w:tcW w:type="dxa" w:w="2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Quien ejerza la función de protección de datos, con las subdirecciones técnicas.</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Definición de alcance</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Establecer qué datos concretos se autorizan, para qué tareas y qué queda excluido en todo caso.</w:t>
            </w:r>
          </w:p>
        </w:tc>
        <w:tc>
          <w:tcPr>
            <w:tcW w:type="dxa" w:w="2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Comité o instancia que el Servicio designe.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 y trazabilidad</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Mecanismo que permita demostrar qué se trató, quién lo hizo y con qué finalidad.</w:t>
            </w:r>
          </w:p>
        </w:tc>
        <w:tc>
          <w:tcPr>
            <w:tcW w:type="dxa" w:w="2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Área de tecnologías del Servicio Local.</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Instrucción formal a los establecimientos</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Comunicación oficial que informe qué queda habilitado, con qué límites y desde cuándo.</w:t>
            </w:r>
          </w:p>
        </w:tc>
        <w:tc>
          <w:tcPr>
            <w:tcW w:type="dxa" w:w="2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Dirección Ejecutiva y unidad técnico-pedagógica del Servicio.</w:t>
            </w:r>
          </w:p>
        </w:tc>
      </w:tr>
    </w:tbl>
    <w:p>
      <w:pPr>
        <w:spacing w:after="200" w:before="60"/>
      </w:pPr>
      <w:r>
        <w:rPr>
          <w:rFonts w:ascii="Calibri" w:cs="Calibri" w:eastAsia="Calibri" w:hAnsi="Calibri"/>
          <w:i/>
          <w:iCs/>
          <w:color w:val="5A5A5A"/>
          <w:sz w:val="18"/>
          <w:szCs w:val="18"/>
        </w:rPr>
        <w:t xml:space="preserve">Nota. Elaboración propia a partir de la Ley N.º 19.628 (1999), la Ley N.º 21.719 (2024) y Secretaría de Gobierno Digital (s.f.). Este manual no constituye asesoría jurídica; la evaluación de cada condición corresponde a la asesoría legal del Servicio.</w:t>
      </w:r>
    </w:p>
    <w:p>
      <w:pPr>
        <w:spacing w:after="140"/>
      </w:pPr>
      <w:r>
        <w:rPr>
          <w:sz w:val="12"/>
          <w:szCs w:val="12"/>
        </w:rPr>
        <w:t xml:space="preserve"/>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Regla vigente mientras eso no ocurra</w:t>
            </w:r>
          </w:p>
          <w:p>
            <w:pPr>
              <w:spacing w:after="80" w:line="290"/>
              <w:jc w:val="both"/>
            </w:pPr>
            <w:r>
              <w:rPr>
                <w:rFonts w:ascii="Calibri" w:cs="Calibri" w:eastAsia="Calibri" w:hAnsi="Calibri"/>
                <w:b/>
                <w:bCs/>
                <w:color w:val="282828"/>
                <w:sz w:val="21"/>
                <w:szCs w:val="21"/>
              </w:rPr>
              <w:t xml:space="preserve">Ningún dato personal ingresa a plataformas de IA generativa de uso público.</w:t>
            </w:r>
          </w:p>
          <w:p>
            <w:pPr>
              <w:spacing w:after="80" w:line="290"/>
              <w:jc w:val="both"/>
            </w:pPr>
            <w:r>
              <w:rPr>
                <w:rFonts w:ascii="Calibri" w:cs="Calibri" w:eastAsia="Calibri" w:hAnsi="Calibri"/>
                <w:color w:val="282828"/>
                <w:sz w:val="21"/>
                <w:szCs w:val="21"/>
              </w:rPr>
              <w:t xml:space="preserve">Existen dos variantes previstas en esta serie, y ninguna de las dos la habilita el establecimiento por su cuenta:</w:t>
            </w:r>
          </w:p>
          <w:p>
            <w:pPr>
              <w:spacing w:after="80" w:line="290"/>
              <w:jc w:val="both"/>
            </w:pPr>
            <w:r>
              <w:rPr>
                <w:rFonts w:ascii="Calibri" w:cs="Calibri" w:eastAsia="Calibri" w:hAnsi="Calibri"/>
                <w:b/>
                <w:bCs/>
                <w:color w:val="282828"/>
                <w:sz w:val="21"/>
                <w:szCs w:val="21"/>
              </w:rPr>
              <w:t xml:space="preserve">a) Funciones de IA integradas en la suite institucional </w:t>
            </w:r>
            <w:r>
              <w:rPr>
                <w:rFonts w:ascii="Calibri" w:cs="Calibri" w:eastAsia="Calibri" w:hAnsi="Calibri"/>
                <w:color w:val="282828"/>
                <w:sz w:val="21"/>
                <w:szCs w:val="21"/>
              </w:rPr>
              <w:t xml:space="preserve">del organismo, cuando el tratamiento esté formalmente cubierto por el contrato de servicio vigente y así lo confirme el área competente del Servicio. El Manual 3 desarrolla este punto en su apartado 7.2.</w:t>
            </w:r>
          </w:p>
          <w:p>
            <w:pPr>
              <w:spacing w:after="80" w:line="290"/>
              <w:jc w:val="both"/>
            </w:pPr>
            <w:r>
              <w:rPr>
                <w:rFonts w:ascii="Calibri" w:cs="Calibri" w:eastAsia="Calibri" w:hAnsi="Calibri"/>
                <w:b/>
                <w:bCs/>
                <w:color w:val="282828"/>
                <w:sz w:val="21"/>
                <w:szCs w:val="21"/>
              </w:rPr>
              <w:t xml:space="preserve">b) Sistemas propios que consumen una API de IA </w:t>
            </w:r>
            <w:r>
              <w:rPr>
                <w:rFonts w:ascii="Calibri" w:cs="Calibri" w:eastAsia="Calibri" w:hAnsi="Calibri"/>
                <w:color w:val="282828"/>
                <w:sz w:val="21"/>
                <w:szCs w:val="21"/>
              </w:rPr>
              <w:t xml:space="preserve">bajo términos comerciales, con las salvaguardas técnicas descritas en el Anexo de este manual y la arquitectura explicada en el Manual 5.</w:t>
            </w:r>
          </w:p>
          <w:p>
            <w:pPr>
              <w:spacing w:after="80" w:line="290"/>
              <w:jc w:val="both"/>
            </w:pPr>
            <w:r>
              <w:rPr>
                <w:rFonts w:ascii="Calibri" w:cs="Calibri" w:eastAsia="Calibri" w:hAnsi="Calibri"/>
                <w:color w:val="282828"/>
                <w:sz w:val="21"/>
                <w:szCs w:val="21"/>
              </w:rPr>
              <w:t xml:space="preserve">Fuera de esas dos variantes, la regla no admite excepciones.</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2. La Ley N.º 21.719 en la práctica escolar</w:t>
      </w:r>
    </w:p>
    <w:p>
      <w:pPr>
        <w:spacing w:after="140" w:line="300"/>
        <w:jc w:val="both"/>
      </w:pPr>
      <w:r>
        <w:rPr>
          <w:rFonts w:ascii="Calibri" w:cs="Calibri" w:eastAsia="Calibri" w:hAnsi="Calibri"/>
          <w:color w:val="282828"/>
          <w:sz w:val="22"/>
          <w:szCs w:val="22"/>
        </w:rPr>
        <w:t xml:space="preserve">La Ley N.º 21.719 reforma íntegramente la Ley N.º 19.628 y entra en plena vigencia el 1 de diciembre de 2026, según su artículo primero transitorio. Desde esa fecha, el conjunto de obligaciones que describe este apartado es exigible al Servicio Local y a cada uno de sus establecimientos, con un régimen sancionatorio que alcanza personalmente al jefe superior del organismo.</w:t>
      </w:r>
    </w:p>
    <w:p>
      <w:pPr>
        <w:spacing w:after="140" w:line="300"/>
        <w:jc w:val="both"/>
      </w:pPr>
      <w:r>
        <w:rPr>
          <w:rFonts w:ascii="Calibri" w:cs="Calibri" w:eastAsia="Calibri" w:hAnsi="Calibri"/>
          <w:color w:val="282828"/>
          <w:sz w:val="22"/>
          <w:szCs w:val="22"/>
        </w:rPr>
        <w:t xml:space="preserve">Este apartado traduce la ley a la operación escolar cotidiana. No sustituye su lectura ni la asesoría jurídica: ordena lo que un equipo directivo necesita saber para no cometer las infracciones más probables.</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Lo primero que conviene entender</w:t>
            </w:r>
          </w:p>
          <w:p>
            <w:pPr>
              <w:spacing w:after="80" w:line="290"/>
              <w:jc w:val="both"/>
            </w:pPr>
            <w:r>
              <w:rPr>
                <w:rFonts w:ascii="Calibri" w:cs="Calibri" w:eastAsia="Calibri" w:hAnsi="Calibri"/>
                <w:b/>
                <w:bCs/>
                <w:color w:val="282828"/>
                <w:sz w:val="21"/>
                <w:szCs w:val="21"/>
              </w:rPr>
              <w:t xml:space="preserve">La ley define dato personal de manera muy amplia </w:t>
            </w:r>
            <w:r>
              <w:rPr>
                <w:rFonts w:ascii="Calibri" w:cs="Calibri" w:eastAsia="Calibri" w:hAnsi="Calibri"/>
                <w:color w:val="282828"/>
                <w:sz w:val="21"/>
                <w:szCs w:val="21"/>
              </w:rPr>
              <w:t xml:space="preserve">(artículo 2°, letra f): cualquier información vinculada o referida a una persona identificada o identificable, considerando identificable a toda persona cuya identidad pueda determinarse directa o indirectamente mediante uno o más identificadores.</w:t>
            </w:r>
          </w:p>
          <w:p>
            <w:pPr>
              <w:spacing w:after="80" w:line="290"/>
              <w:jc w:val="both"/>
            </w:pPr>
            <w:r>
              <w:rPr>
                <w:rFonts w:ascii="Calibri" w:cs="Calibri" w:eastAsia="Calibri" w:hAnsi="Calibri"/>
                <w:b/>
                <w:bCs/>
                <w:color w:val="282828"/>
                <w:sz w:val="21"/>
                <w:szCs w:val="21"/>
              </w:rPr>
              <w:t xml:space="preserve">Esto significa que un listado sin nombres puede seguir siendo dato personal </w:t>
            </w:r>
            <w:r>
              <w:rPr>
                <w:rFonts w:ascii="Calibri" w:cs="Calibri" w:eastAsia="Calibri" w:hAnsi="Calibri"/>
                <w:color w:val="282828"/>
                <w:sz w:val="21"/>
                <w:szCs w:val="21"/>
              </w:rPr>
              <w:t xml:space="preserve">si el curso, la fecha y una característica permiten reconocer a alguien. En un establecimiento pequeño, “la estudiante de 7° B que se retiró en abril” identifica a una persona con la misma eficacia que su nombre completo.</w:t>
            </w:r>
          </w:p>
          <w:p>
            <w:pPr>
              <w:spacing w:after="80" w:line="290"/>
              <w:jc w:val="both"/>
            </w:pPr>
            <w:r>
              <w:rPr>
                <w:rFonts w:ascii="Calibri" w:cs="Calibri" w:eastAsia="Calibri" w:hAnsi="Calibri"/>
                <w:color w:val="282828"/>
                <w:sz w:val="21"/>
                <w:szCs w:val="21"/>
              </w:rPr>
              <w:t xml:space="preserve">La ley distingue además dos operaciones que conviene no confundir: la anonimización es irreversible y hace que el dato deje de ser personal; la seudonimización sustituye los identificadores pero mantiene la posibilidad de reversión, por lo que el dato sigue siendo personal y sigue protegido (artículo 2°, letras k y l).</w:t>
            </w:r>
          </w:p>
        </w:tc>
      </w:tr>
    </w:tbl>
    <w:p>
      <w:pPr>
        <w:pStyle w:val="Heading2"/>
        <w:spacing w:after="140" w:before="280"/>
      </w:pPr>
      <w:r>
        <w:rPr>
          <w:rFonts w:ascii="Calibri" w:cs="Calibri" w:eastAsia="Calibri" w:hAnsi="Calibri"/>
          <w:b/>
          <w:bCs/>
          <w:color w:val="1F84EB"/>
          <w:sz w:val="26"/>
          <w:szCs w:val="26"/>
        </w:rPr>
        <w:t xml:space="preserve">2.1 Los ocho principios y lo que exigen en un establecimiento</w:t>
      </w:r>
    </w:p>
    <w:p>
      <w:pPr>
        <w:spacing w:after="140" w:line="300"/>
        <w:jc w:val="both"/>
      </w:pPr>
      <w:r>
        <w:rPr>
          <w:rFonts w:ascii="Calibri" w:cs="Calibri" w:eastAsia="Calibri" w:hAnsi="Calibri"/>
          <w:color w:val="282828"/>
          <w:sz w:val="22"/>
          <w:szCs w:val="22"/>
        </w:rPr>
        <w:t xml:space="preserve">El artículo 3° establece ocho principios que rigen todo tratamiento. No son declaraciones: cada uno genera obligaciones verificables y su infracción es sancionable.</w:t>
      </w:r>
    </w:p>
    <w:p>
      <w:pPr>
        <w:spacing w:after="40" w:before="240"/>
      </w:pPr>
      <w:r>
        <w:rPr>
          <w:rFonts w:ascii="Calibri" w:cs="Calibri" w:eastAsia="Calibri" w:hAnsi="Calibri"/>
          <w:b/>
          <w:bCs/>
          <w:color w:val="282828"/>
          <w:sz w:val="20"/>
          <w:szCs w:val="20"/>
        </w:rPr>
        <w:t xml:space="preserve">Tabla 3</w:t>
      </w:r>
    </w:p>
    <w:p>
      <w:pPr>
        <w:spacing w:after="110"/>
      </w:pPr>
      <w:r>
        <w:rPr>
          <w:rFonts w:ascii="Calibri" w:cs="Calibri" w:eastAsia="Calibri" w:hAnsi="Calibri"/>
          <w:i/>
          <w:iCs/>
          <w:color w:val="282828"/>
          <w:sz w:val="20"/>
          <w:szCs w:val="20"/>
        </w:rPr>
        <w:t xml:space="preserve">Los principios del artículo 3° traducidos a la gestión escolar</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3700"/>
        <w:gridCol w:w="39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Principio</w:t>
            </w:r>
          </w:p>
        </w:tc>
        <w:tc>
          <w:tcPr>
            <w:tcW w:type="dxa" w:w="3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exige la ley</w:t>
            </w:r>
          </w:p>
        </w:tc>
        <w:tc>
          <w:tcPr>
            <w:tcW w:type="dxa" w:w="39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significa en el establecimiento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Licitud y lealtad</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Tratar los datos de manera lícita y leal. El responsable debe ser capaz de acreditar la licitud del tratamiento.</w:t>
            </w:r>
          </w:p>
        </w:tc>
        <w:tc>
          <w:tcPr>
            <w:tcW w:type="dxa" w:w="3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Para cada registro que mantenemos debemos poder responder: ¿en qué norma o función se funda que tengamos estos datos?</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Finalidad</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Recolectar con fines específicos, explícitos y lícitos, y limitar el tratamiento a esos fines.</w:t>
            </w:r>
          </w:p>
        </w:tc>
        <w:tc>
          <w:tcPr>
            <w:tcW w:type="dxa" w:w="3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datos de contacto recogidos para la matrícula no se usan para difundir actividades de un tercero ni para fines distintos de los informados.</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Proporcionalidad</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Limitar los datos a los estrictamente necesarios, adecuados y pertinentes. Conservarlos solo por el tiempo necesario.</w:t>
            </w:r>
          </w:p>
        </w:tc>
        <w:tc>
          <w:tcPr>
            <w:tcW w:type="dxa" w:w="3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el formulario de una actividad extraescolar pide el RUT del apoderado sin necesitarlo, ese campo debe eliminarse.</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Calidad</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datos deben ser exactos, completos, actuales y pertinentes.</w:t>
            </w:r>
          </w:p>
        </w:tc>
        <w:tc>
          <w:tcPr>
            <w:tcW w:type="dxa" w:w="3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registro de convivencia con información desactualizada o incompleta no es solo un mal registro: es un incumplimiento.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Responsabilidad</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Quienes tratan datos son legalmente responsables del cumplimiento de los principios y deberes.</w:t>
            </w:r>
          </w:p>
        </w:tc>
        <w:tc>
          <w:tcPr>
            <w:tcW w:type="dxa" w:w="3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responsabilidad no se delega en el proveedor de la plataforma ni en el funcionario que opera el sistema.</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Seguridad</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Garantizar estándares adecuados de seguridad, protegiendo contra tratamiento no autorizado, pérdida, filtración, daño accidental o destrucción.</w:t>
            </w:r>
          </w:p>
        </w:tc>
        <w:tc>
          <w:tcPr>
            <w:tcW w:type="dxa" w:w="3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Planillas en cuentas personales, carpetas compartidas con enlace abierto y pendrives sin cifrar son incumplimientos de este principio.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Transparencia e información</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Entregar al titular toda la información necesaria para ejercer sus derechos, y mantenerla permanentemente accesible y gratuita.</w:t>
            </w:r>
          </w:p>
        </w:tc>
        <w:tc>
          <w:tcPr>
            <w:tcW w:type="dxa" w:w="39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política de tratamiento de datos debe estar publicada y ser comprensible, no escondida en un reglamento de cien páginas.</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Confidencialidad</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Guardar secreto sobre los datos. El deber subsiste aun después de concluida la relación con el titular.</w:t>
            </w:r>
          </w:p>
        </w:tc>
        <w:tc>
          <w:tcPr>
            <w:tcW w:type="dxa" w:w="39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funcionario que deja el establecimiento sigue obligado a guardar reserva sobre lo que conoció en su cargo.</w:t>
            </w:r>
          </w:p>
        </w:tc>
      </w:tr>
    </w:tbl>
    <w:p>
      <w:pPr>
        <w:spacing w:after="200" w:before="60"/>
      </w:pPr>
      <w:r>
        <w:rPr>
          <w:rFonts w:ascii="Calibri" w:cs="Calibri" w:eastAsia="Calibri" w:hAnsi="Calibri"/>
          <w:i/>
          <w:iCs/>
          <w:color w:val="5A5A5A"/>
          <w:sz w:val="18"/>
          <w:szCs w:val="18"/>
        </w:rPr>
        <w:t xml:space="preserve">Nota. Elaboración propia a partir del artículo 3° de la Ley N.º 21.719 (2024). La columna de la derecha es interpretación aplicada, no texto legal.</w:t>
      </w:r>
    </w:p>
    <w:p>
      <w:r>
        <w:br w:type="page"/>
      </w:r>
    </w:p>
    <w:p>
      <w:pPr>
        <w:pStyle w:val="Heading2"/>
        <w:spacing w:after="140" w:before="280"/>
      </w:pPr>
      <w:r>
        <w:rPr>
          <w:rFonts w:ascii="Calibri" w:cs="Calibri" w:eastAsia="Calibri" w:hAnsi="Calibri"/>
          <w:b/>
          <w:bCs/>
          <w:color w:val="1F84EB"/>
          <w:sz w:val="26"/>
          <w:szCs w:val="26"/>
        </w:rPr>
        <w:t xml:space="preserve">2.2 Por qué el Servicio no pide consentimiento, y qué sí debe hacer</w:t>
      </w:r>
    </w:p>
    <w:p>
      <w:pPr>
        <w:spacing w:after="140" w:line="300"/>
        <w:jc w:val="both"/>
      </w:pPr>
      <w:r>
        <w:rPr>
          <w:rFonts w:ascii="Calibri" w:cs="Calibri" w:eastAsia="Calibri" w:hAnsi="Calibri"/>
          <w:color w:val="282828"/>
          <w:sz w:val="22"/>
          <w:szCs w:val="22"/>
        </w:rPr>
        <w:t xml:space="preserve">El artículo 20 establece la regla general para los órganos públicos: es lícito el tratamiento de datos personales que efectúan cuando se realiza para el cumplimiento de sus funciones legales, dentro del ámbito de sus competencias. En esas condiciones, los órganos públicos actúan como responsables de datos y no requieren el consentimiento del titular.</w:t>
      </w:r>
    </w:p>
    <w:p>
      <w:pPr>
        <w:spacing w:after="140" w:line="300"/>
        <w:jc w:val="both"/>
      </w:pPr>
      <w:r>
        <w:rPr>
          <w:rFonts w:ascii="Calibri" w:cs="Calibri" w:eastAsia="Calibri" w:hAnsi="Calibri"/>
          <w:color w:val="282828"/>
          <w:sz w:val="22"/>
          <w:szCs w:val="22"/>
        </w:rPr>
        <w:t xml:space="preserve">Esta es la base de licitud del Servicio para administrar matrícula, asistencia, calificaciones y antecedentes laborales. Pero la ausencia de consentimiento no significa ausencia de obligaciones: todos los principios, los derechos de los titulares y los deberes de seguridad, información y reporte siguen aplicando íntegramente.</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Dos consecuencias prácticas de esto</w:t>
            </w:r>
          </w:p>
          <w:p>
            <w:pPr>
              <w:spacing w:after="80" w:line="290"/>
              <w:jc w:val="both"/>
            </w:pPr>
            <w:r>
              <w:rPr>
                <w:rFonts w:ascii="Calibri" w:cs="Calibri" w:eastAsia="Calibri" w:hAnsi="Calibri"/>
                <w:b/>
                <w:bCs/>
                <w:color w:val="282828"/>
                <w:sz w:val="21"/>
                <w:szCs w:val="21"/>
              </w:rPr>
              <w:t xml:space="preserve">No corresponde pedir autorización para lo que la ley ya habilita. </w:t>
            </w:r>
            <w:r>
              <w:rPr>
                <w:rFonts w:ascii="Calibri" w:cs="Calibri" w:eastAsia="Calibri" w:hAnsi="Calibri"/>
                <w:color w:val="282828"/>
                <w:sz w:val="21"/>
                <w:szCs w:val="21"/>
              </w:rPr>
              <w:t xml:space="preserve">Solicitar consentimiento para registrar la asistencia confunde a las familias y sugiere, erróneamente, que podrían negarse.</w:t>
            </w:r>
          </w:p>
          <w:p>
            <w:pPr>
              <w:spacing w:after="80" w:line="290"/>
              <w:jc w:val="both"/>
            </w:pPr>
            <w:r>
              <w:rPr>
                <w:rFonts w:ascii="Calibri" w:cs="Calibri" w:eastAsia="Calibri" w:hAnsi="Calibri"/>
                <w:b/>
                <w:bCs/>
                <w:color w:val="282828"/>
                <w:sz w:val="21"/>
                <w:szCs w:val="21"/>
              </w:rPr>
              <w:t xml:space="preserve">Sí corresponde pedir consentimiento para lo que excede la función legal. </w:t>
            </w:r>
            <w:r>
              <w:rPr>
                <w:rFonts w:ascii="Calibri" w:cs="Calibri" w:eastAsia="Calibri" w:hAnsi="Calibri"/>
                <w:color w:val="282828"/>
                <w:sz w:val="21"/>
                <w:szCs w:val="21"/>
              </w:rPr>
              <w:t xml:space="preserve">Publicar fotografías de estudiantes en redes sociales del establecimiento, por ejemplo, no es necesario para impartir educación: requiere autorización expresa de quien ejerce el cuidado personal.</w:t>
            </w:r>
          </w:p>
        </w:tc>
      </w:tr>
    </w:tbl>
    <w:p>
      <w:pPr>
        <w:pStyle w:val="Heading2"/>
        <w:spacing w:after="140" w:before="280"/>
      </w:pPr>
      <w:r>
        <w:rPr>
          <w:rFonts w:ascii="Calibri" w:cs="Calibri" w:eastAsia="Calibri" w:hAnsi="Calibri"/>
          <w:b/>
          <w:bCs/>
          <w:color w:val="1F84EB"/>
          <w:sz w:val="26"/>
          <w:szCs w:val="26"/>
        </w:rPr>
        <w:t xml:space="preserve">2.3 La obligación especial sobre datos de niños, niñas y adolescentes</w:t>
      </w:r>
    </w:p>
    <w:p>
      <w:pPr>
        <w:spacing w:after="140" w:line="300"/>
        <w:jc w:val="both"/>
      </w:pPr>
      <w:r>
        <w:rPr>
          <w:rFonts w:ascii="Calibri" w:cs="Calibri" w:eastAsia="Calibri" w:hAnsi="Calibri"/>
          <w:color w:val="282828"/>
          <w:sz w:val="22"/>
          <w:szCs w:val="22"/>
        </w:rPr>
        <w:t xml:space="preserve">El artículo 16 quáter es la disposición más directamente dirigida al sistema escolar de toda la ley. Establece que el tratamiento de datos de niños, niñas y adolescentes solo puede realizarse atendiendo a su interés superior y al respeto de su autonomía progresiva, y agrega una obligación explícita:</w:t>
      </w:r>
    </w:p>
    <w:p>
      <w:pPr>
        <w:spacing w:after="140" w:line="300"/>
        <w:ind w:left="720"/>
        <w:jc w:val="both"/>
      </w:pPr>
      <w:r>
        <w:rPr>
          <w:rFonts w:ascii="Calibri" w:cs="Calibri" w:eastAsia="Calibri" w:hAnsi="Calibri"/>
          <w:color w:val="282828"/>
          <w:sz w:val="21"/>
          <w:szCs w:val="21"/>
        </w:rPr>
        <w:t xml:space="preserve">Constituye una obligación especial de los establecimientos educacionales, y de todas las personas o entidades públicas o privadas que traten o administren datos personales de niños, niñas y adolescentes, velar por el uso lícito y la protección de la información personal que les concierne (Ley N.º 21.719, 2024, art. 16 quáter).</w:t>
      </w:r>
    </w:p>
    <w:p>
      <w:pPr>
        <w:spacing w:after="140" w:line="300"/>
        <w:jc w:val="both"/>
      </w:pPr>
      <w:r>
        <w:rPr>
          <w:rFonts w:ascii="Calibri" w:cs="Calibri" w:eastAsia="Calibri" w:hAnsi="Calibri"/>
          <w:color w:val="282828"/>
          <w:sz w:val="22"/>
          <w:szCs w:val="22"/>
        </w:rPr>
        <w:t xml:space="preserve">La ley fija además tramos etarios con reglas distintas, que conviene tener presentes porque no coinciden con los ciclos escolares.</w:t>
      </w:r>
    </w:p>
    <w:p>
      <w:pPr>
        <w:spacing w:after="40" w:before="240"/>
      </w:pPr>
      <w:r>
        <w:rPr>
          <w:rFonts w:ascii="Calibri" w:cs="Calibri" w:eastAsia="Calibri" w:hAnsi="Calibri"/>
          <w:b/>
          <w:bCs/>
          <w:color w:val="282828"/>
          <w:sz w:val="20"/>
          <w:szCs w:val="20"/>
        </w:rPr>
        <w:t xml:space="preserve">Tabla 4</w:t>
      </w:r>
    </w:p>
    <w:p>
      <w:pPr>
        <w:spacing w:after="110"/>
      </w:pPr>
      <w:r>
        <w:rPr>
          <w:rFonts w:ascii="Calibri" w:cs="Calibri" w:eastAsia="Calibri" w:hAnsi="Calibri"/>
          <w:i/>
          <w:iCs/>
          <w:color w:val="282828"/>
          <w:sz w:val="20"/>
          <w:szCs w:val="20"/>
        </w:rPr>
        <w:t xml:space="preserve">Tramos etarios y reglas de tratamiento (artículo 16 quáter)</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1800"/>
        <w:gridCol w:w="3200"/>
        <w:gridCol w:w="26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Tramo</w:t>
            </w:r>
          </w:p>
        </w:tc>
        <w:tc>
          <w:tcPr>
            <w:tcW w:type="dxa" w:w="1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Denominación legal</w:t>
            </w:r>
          </w:p>
        </w:tc>
        <w:tc>
          <w:tcPr>
            <w:tcW w:type="dxa" w:w="3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Regla para datos comunes</w:t>
            </w:r>
          </w:p>
        </w:tc>
        <w:tc>
          <w:tcPr>
            <w:tcW w:type="dxa" w:w="26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Regla para datos sensibles</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Menores de 14 años</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Niños y niñas</w:t>
            </w:r>
          </w:p>
        </w:tc>
        <w:tc>
          <w:tcPr>
            <w:tcW w:type="dxa" w:w="3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Requiere consentimiento de padres, representantes legales o quien tenga a su cargo el cuidado personal, salvo que la ley lo autorice expresamente.</w:t>
            </w:r>
          </w:p>
        </w:tc>
        <w:tc>
          <w:tcPr>
            <w:tcW w:type="dxa" w:w="2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Requiere consentimiento de padres o representantes legales.</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 14 a 15 años</w:t>
            </w:r>
          </w:p>
        </w:tc>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Adolescentes</w:t>
            </w:r>
          </w:p>
        </w:tc>
        <w:tc>
          <w:tcPr>
            <w:tcW w:type="dxa" w:w="3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tratan conforme a las reglas de autorización previstas para los adultos.</w:t>
            </w:r>
          </w:p>
        </w:tc>
        <w:tc>
          <w:tcPr>
            <w:tcW w:type="dxa" w:w="2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Requiere consentimiento de padres o representantes legales.</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 16 a 17 años</w:t>
            </w:r>
          </w:p>
        </w:tc>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Adolescentes</w:t>
            </w:r>
          </w:p>
        </w:tc>
        <w:tc>
          <w:tcPr>
            <w:tcW w:type="dxa" w:w="3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tratan conforme a las reglas de autorización previstas para los adultos.</w:t>
            </w:r>
          </w:p>
        </w:tc>
        <w:tc>
          <w:tcPr>
            <w:tcW w:type="dxa" w:w="2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tratan conforme a las reglas previstas para los adultos.</w:t>
            </w:r>
          </w:p>
        </w:tc>
      </w:tr>
    </w:tbl>
    <w:p>
      <w:pPr>
        <w:spacing w:after="200" w:before="60"/>
      </w:pPr>
      <w:r>
        <w:rPr>
          <w:rFonts w:ascii="Calibri" w:cs="Calibri" w:eastAsia="Calibri" w:hAnsi="Calibri"/>
          <w:i/>
          <w:iCs/>
          <w:color w:val="5A5A5A"/>
          <w:sz w:val="18"/>
          <w:szCs w:val="18"/>
        </w:rPr>
        <w:t xml:space="preserve">Nota. Elaboración propia a partir del artículo 16 quáter de la Ley N.º 21.719 (2024). En todos los tramos rige el criterio del interés superior y la autonomía progresiva.</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La consecuencia operativa es que un mismo curso puede contener estudiantes sujetos a reglas distintas. Un 8.° básico habitualmente mezcla estudiantes de 13 y 14 años, y un 1.° medio, de 14 y 15. Antes de recabar un dato sensible —una condición de salud, una situación socioeconómica, una creencia— corresponde verificar la edad y no el nivel.</w:t>
      </w:r>
    </w:p>
    <w:p>
      <w:r>
        <w:br w:type="page"/>
      </w:r>
    </w:p>
    <w:p>
      <w:pPr>
        <w:pStyle w:val="Heading2"/>
        <w:spacing w:after="140" w:before="280"/>
      </w:pPr>
      <w:r>
        <w:rPr>
          <w:rFonts w:ascii="Calibri" w:cs="Calibri" w:eastAsia="Calibri" w:hAnsi="Calibri"/>
          <w:b/>
          <w:bCs/>
          <w:color w:val="1F84EB"/>
          <w:sz w:val="26"/>
          <w:szCs w:val="26"/>
        </w:rPr>
        <w:t xml:space="preserve">2.4 Los derechos de las personas y cómo responder una solicitud</w:t>
      </w:r>
    </w:p>
    <w:p>
      <w:pPr>
        <w:spacing w:after="140" w:line="300"/>
        <w:jc w:val="both"/>
      </w:pPr>
      <w:r>
        <w:rPr>
          <w:rFonts w:ascii="Calibri" w:cs="Calibri" w:eastAsia="Calibri" w:hAnsi="Calibri"/>
          <w:color w:val="282828"/>
          <w:sz w:val="22"/>
          <w:szCs w:val="22"/>
        </w:rPr>
        <w:t xml:space="preserve">Los artículos 4° a 11 reconocen seis derechos a los titulares. Son personales, intransferibles e irrenunciables, y no pueden limitarse por ningún acto o convención. Cualquier apoderado, funcionario o estudiante puede ejercerlos ante el establecimiento o el Servicio.</w:t>
      </w:r>
    </w:p>
    <w:p>
      <w:pPr>
        <w:spacing w:after="40" w:before="240"/>
      </w:pPr>
      <w:r>
        <w:rPr>
          <w:rFonts w:ascii="Calibri" w:cs="Calibri" w:eastAsia="Calibri" w:hAnsi="Calibri"/>
          <w:b/>
          <w:bCs/>
          <w:color w:val="282828"/>
          <w:sz w:val="20"/>
          <w:szCs w:val="20"/>
        </w:rPr>
        <w:t xml:space="preserve">Tabla 5</w:t>
      </w:r>
    </w:p>
    <w:p>
      <w:pPr>
        <w:spacing w:after="110"/>
      </w:pPr>
      <w:r>
        <w:rPr>
          <w:rFonts w:ascii="Calibri" w:cs="Calibri" w:eastAsia="Calibri" w:hAnsi="Calibri"/>
          <w:i/>
          <w:iCs/>
          <w:color w:val="282828"/>
          <w:sz w:val="20"/>
          <w:szCs w:val="20"/>
        </w:rPr>
        <w:t xml:space="preserve">Derechos del titular y situaciones escolares en que se ejercen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500"/>
        <w:gridCol w:w="4100"/>
        <w:gridCol w:w="3760"/>
      </w:tblGrid>
      <w:tr>
        <w:trPr>
          <w:tblHeader/>
        </w:trPr>
        <w:tc>
          <w:tcPr>
            <w:tcW w:type="dxa" w:w="1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Derecho</w:t>
            </w:r>
          </w:p>
        </w:tc>
        <w:tc>
          <w:tcPr>
            <w:tcW w:type="dxa" w:w="4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En qué consiste</w:t>
            </w:r>
          </w:p>
        </w:tc>
        <w:tc>
          <w:tcPr>
            <w:tcW w:type="dxa" w:w="37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 de solicitud en un establecimiento</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Acceso</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Obtener confirmación de si sus datos están siendo tratados, acceder a ellos, conocer su origen, finalidad, destinatarios y plazo de conservación.</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apoderado pide saber qué información sobre su hijo registra el sistema de convivencia escolar y quiénes la han consultado.</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Rectificación</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se modifiquen o completen los datos inexactos, desactualizados o incompletos.</w:t>
            </w:r>
          </w:p>
        </w:tc>
        <w:tc>
          <w:tcPr>
            <w:tcW w:type="dxa" w:w="3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Una funcionaria solicita corregir su dirección y su estado civil en el registro de personal.</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Supresión</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se eliminen los datos cuando ya no son necesarios, se revocó el consentimiento, fueron tratados ilícitamente o están caducos.</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ex apoderado pide eliminar su número de teléfono de las listas de difusión del establecimiento.</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Oposición</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Oponerse a un tratamiento determinado en los casos que la ley señala.</w:t>
            </w:r>
          </w:p>
        </w:tc>
        <w:tc>
          <w:tcPr>
            <w:tcW w:type="dxa" w:w="3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Una familia se opone a que la fotografía de su hijo aparezca en la página web del establecimiento.</w:t>
            </w:r>
          </w:p>
        </w:tc>
      </w:tr>
      <w:tr>
        <w:tc>
          <w:tcPr>
            <w:tcW w:type="dxa" w:w="1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Portabilidad</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Recibir copia de los datos en formato electrónico estructurado y de uso común, cuando el tratamiento sea automatizado y se base en el consentimiento.</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apoderado solicita el historial académico en formato digital para presentarlo en otro establecimiento.</w:t>
            </w:r>
          </w:p>
        </w:tc>
      </w:tr>
      <w:tr>
        <w:tc>
          <w:tcPr>
            <w:tcW w:type="dxa" w:w="1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Bloqueo</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Suspender temporalmente el tratamiento mientras se resuelve una solicitud de rectificación, supresión u oposición.</w:t>
            </w:r>
          </w:p>
        </w:tc>
        <w:tc>
          <w:tcPr>
            <w:tcW w:type="dxa" w:w="3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Mientras se resuelve una rectificación de calificaciones, se suspende el uso de ese dato.</w:t>
            </w:r>
          </w:p>
        </w:tc>
      </w:tr>
    </w:tbl>
    <w:p>
      <w:pPr>
        <w:spacing w:after="200" w:before="60"/>
      </w:pPr>
      <w:r>
        <w:rPr>
          <w:rFonts w:ascii="Calibri" w:cs="Calibri" w:eastAsia="Calibri" w:hAnsi="Calibri"/>
          <w:i/>
          <w:iCs/>
          <w:color w:val="5A5A5A"/>
          <w:sz w:val="18"/>
          <w:szCs w:val="18"/>
        </w:rPr>
        <w:t xml:space="preserve">Nota. Elaboración propia a partir de los artículos 2°, 5° a 9° de la Ley N.º 21.719 (2024).</w:t>
      </w:r>
    </w:p>
    <w:p>
      <w:pPr>
        <w:spacing w:after="140"/>
      </w:pPr>
      <w:r>
        <w:rPr>
          <w:sz w:val="12"/>
          <w:szCs w:val="12"/>
        </w:rPr>
        <w:t xml:space="preserve"/>
      </w:r>
    </w:p>
    <w:p>
      <w:pPr>
        <w:pStyle w:val="Heading3"/>
        <w:spacing w:after="110" w:before="220"/>
      </w:pPr>
      <w:r>
        <w:rPr>
          <w:rFonts w:ascii="Calibri" w:cs="Calibri" w:eastAsia="Calibri" w:hAnsi="Calibri"/>
          <w:b/>
          <w:bCs/>
          <w:color w:val="282828"/>
          <w:sz w:val="23"/>
          <w:szCs w:val="23"/>
        </w:rPr>
        <w:t xml:space="preserve">El procedimiento y los plazos</w:t>
      </w:r>
    </w:p>
    <w:p>
      <w:pPr>
        <w:spacing w:after="140" w:line="300"/>
        <w:jc w:val="both"/>
      </w:pPr>
      <w:r>
        <w:rPr>
          <w:rFonts w:ascii="Calibri" w:cs="Calibri" w:eastAsia="Calibri" w:hAnsi="Calibri"/>
          <w:color w:val="282828"/>
          <w:sz w:val="22"/>
          <w:szCs w:val="22"/>
        </w:rPr>
        <w:t xml:space="preserve">El artículo 11 fija el procedimiento ante el responsable, y el artículo 23 precisa que ante un órgano público la solicitud se dirige al jefe superior del servicio. Los plazos son breves y su incumplimiento habilita al titular a reclamar directamente ante la Agencia.</w:t>
      </w:r>
    </w:p>
    <w:p>
      <w:pPr>
        <w:pStyle w:val="ListParagraph"/>
        <w:numPr>
          <w:ilvl w:val="0"/>
          <w:numId w:val="2"/>
        </w:numPr>
        <w:spacing w:after="90" w:line="290"/>
        <w:jc w:val="both"/>
      </w:pPr>
      <w:r>
        <w:rPr>
          <w:rFonts w:ascii="Calibri" w:cs="Calibri" w:eastAsia="Calibri" w:hAnsi="Calibri"/>
          <w:color w:val="282828"/>
          <w:sz w:val="22"/>
          <w:szCs w:val="22"/>
        </w:rPr>
        <w:t xml:space="preserve">La solicitud debe presentarse por escrito, individualizando al titular, indicando un medio para comunicar la respuesta e identificando los datos o el tratamiento respecto del cual se ejerce el derecho.</w:t>
      </w:r>
    </w:p>
    <w:p>
      <w:pPr>
        <w:pStyle w:val="ListParagraph"/>
        <w:numPr>
          <w:ilvl w:val="0"/>
          <w:numId w:val="2"/>
        </w:numPr>
        <w:spacing w:after="90" w:line="290"/>
        <w:jc w:val="both"/>
      </w:pPr>
      <w:r>
        <w:rPr>
          <w:rFonts w:ascii="Calibri" w:cs="Calibri" w:eastAsia="Calibri" w:hAnsi="Calibri"/>
          <w:color w:val="282828"/>
          <w:sz w:val="22"/>
          <w:szCs w:val="22"/>
        </w:rPr>
        <w:t xml:space="preserve">El responsable debe acusar recibo y pronunciarse dentro de los treinta días corridos siguientes a la fecha de ingreso, plazo prorrogable por una sola vez hasta por treinta días corridos más.</w:t>
      </w:r>
    </w:p>
    <w:p>
      <w:pPr>
        <w:pStyle w:val="ListParagraph"/>
        <w:numPr>
          <w:ilvl w:val="0"/>
          <w:numId w:val="2"/>
        </w:numPr>
        <w:spacing w:after="90" w:line="290"/>
        <w:jc w:val="both"/>
      </w:pPr>
      <w:r>
        <w:rPr>
          <w:rFonts w:ascii="Calibri" w:cs="Calibri" w:eastAsia="Calibri" w:hAnsi="Calibri"/>
          <w:color w:val="282828"/>
          <w:sz w:val="22"/>
          <w:szCs w:val="22"/>
        </w:rPr>
        <w:t xml:space="preserve">La respuesta debe darse por escrito al domicilio o correo electrónico fijado por el titular, y el responsable debe conservar los respaldos que acrediten la remisión, su fecha y el contenido íntegro.</w:t>
      </w:r>
    </w:p>
    <w:p>
      <w:pPr>
        <w:pStyle w:val="ListParagraph"/>
        <w:numPr>
          <w:ilvl w:val="0"/>
          <w:numId w:val="2"/>
        </w:numPr>
        <w:spacing w:after="90" w:line="290"/>
        <w:jc w:val="both"/>
      </w:pPr>
      <w:r>
        <w:rPr>
          <w:rFonts w:ascii="Calibri" w:cs="Calibri" w:eastAsia="Calibri" w:hAnsi="Calibri"/>
          <w:color w:val="282828"/>
          <w:sz w:val="22"/>
          <w:szCs w:val="22"/>
        </w:rPr>
        <w:t xml:space="preserve">Si se deniega total o parcialmente, la decisión debe fundarse, indicando la causa y los antecedentes que la justifican, y señalar que el titular dispone de treinta días hábiles para reclamar ante la Agencia.</w:t>
      </w:r>
    </w:p>
    <w:p>
      <w:pPr>
        <w:pStyle w:val="ListParagraph"/>
        <w:numPr>
          <w:ilvl w:val="0"/>
          <w:numId w:val="2"/>
        </w:numPr>
        <w:spacing w:after="90" w:line="290"/>
        <w:jc w:val="both"/>
      </w:pPr>
      <w:r>
        <w:rPr>
          <w:rFonts w:ascii="Calibri" w:cs="Calibri" w:eastAsia="Calibri" w:hAnsi="Calibri"/>
          <w:color w:val="282828"/>
          <w:sz w:val="22"/>
          <w:szCs w:val="22"/>
        </w:rPr>
        <w:t xml:space="preserve">Si se solicita bloqueo temporal, el responsable debe responder dentro de los dos días hábiles siguientes y, mientras no resuelva, no puede tratar los datos del titular.</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Lo que esto exige preparar antes de diciembre de 2026</w:t>
            </w:r>
          </w:p>
          <w:p>
            <w:pPr>
              <w:spacing w:after="80" w:line="290"/>
              <w:jc w:val="both"/>
            </w:pPr>
            <w:r>
              <w:rPr>
                <w:rFonts w:ascii="Calibri" w:cs="Calibri" w:eastAsia="Calibri" w:hAnsi="Calibri"/>
                <w:color w:val="282828"/>
                <w:sz w:val="21"/>
                <w:szCs w:val="21"/>
              </w:rPr>
              <w:t xml:space="preserve">Un correo electrónico o formulario de contacto publicado y operativo para recibir estas solicitudes, exigido por el artículo 14 ter.</w:t>
            </w:r>
          </w:p>
          <w:p>
            <w:pPr>
              <w:spacing w:after="80" w:line="290"/>
              <w:jc w:val="both"/>
            </w:pPr>
            <w:r>
              <w:rPr>
                <w:rFonts w:ascii="Calibri" w:cs="Calibri" w:eastAsia="Calibri" w:hAnsi="Calibri"/>
                <w:color w:val="282828"/>
                <w:sz w:val="21"/>
                <w:szCs w:val="21"/>
              </w:rPr>
              <w:t xml:space="preserve">Un procedimiento interno escrito que asigne responsable, defina plazos de gestión y fije el formato de respuesta.</w:t>
            </w:r>
          </w:p>
          <w:p>
            <w:pPr>
              <w:spacing w:after="80" w:line="290"/>
              <w:jc w:val="both"/>
            </w:pPr>
            <w:r>
              <w:rPr>
                <w:rFonts w:ascii="Calibri" w:cs="Calibri" w:eastAsia="Calibri" w:hAnsi="Calibri"/>
                <w:color w:val="282828"/>
                <w:sz w:val="21"/>
                <w:szCs w:val="21"/>
              </w:rPr>
              <w:t xml:space="preserve">Un registro de solicitudes recibidas y respondidas, con los respaldos de envío.</w:t>
            </w:r>
          </w:p>
          <w:p>
            <w:pPr>
              <w:spacing w:after="80" w:line="290"/>
              <w:jc w:val="both"/>
            </w:pPr>
            <w:r>
              <w:rPr>
                <w:rFonts w:ascii="Calibri" w:cs="Calibri" w:eastAsia="Calibri" w:hAnsi="Calibri"/>
                <w:b/>
                <w:bCs/>
                <w:color w:val="282828"/>
                <w:sz w:val="21"/>
                <w:szCs w:val="21"/>
              </w:rPr>
              <w:t xml:space="preserve">Nota de alcance: </w:t>
            </w:r>
            <w:r>
              <w:rPr>
                <w:rFonts w:ascii="Calibri" w:cs="Calibri" w:eastAsia="Calibri" w:hAnsi="Calibri"/>
                <w:color w:val="282828"/>
                <w:sz w:val="21"/>
                <w:szCs w:val="21"/>
              </w:rPr>
              <w:t xml:space="preserve">el artículo 23 permite al organismo no acoger solicitudes cuando con ello se impida o entorpezca el cumplimiento de funciones fiscalizadoras, investigativas, de protección a víctimas y testigos o sancionatorias, o cuando se afecte el carácter secreto de la información establecido por ley. Esa negativa igualmente debe fundarse.</w:t>
            </w:r>
          </w:p>
        </w:tc>
      </w:tr>
    </w:tbl>
    <w:p>
      <w:r>
        <w:br w:type="page"/>
      </w:r>
    </w:p>
    <w:p>
      <w:pPr>
        <w:pStyle w:val="Heading2"/>
        <w:spacing w:after="140" w:before="280"/>
      </w:pPr>
      <w:r>
        <w:rPr>
          <w:rFonts w:ascii="Calibri" w:cs="Calibri" w:eastAsia="Calibri" w:hAnsi="Calibri"/>
          <w:b/>
          <w:bCs/>
          <w:color w:val="1F84EB"/>
          <w:sz w:val="26"/>
          <w:szCs w:val="26"/>
        </w:rPr>
        <w:t xml:space="preserve">2.5 Decisiones automatizadas: el artículo que habla directamente de la IA</w:t>
      </w:r>
    </w:p>
    <w:p>
      <w:pPr>
        <w:spacing w:after="140" w:line="300"/>
        <w:jc w:val="both"/>
      </w:pPr>
      <w:r>
        <w:rPr>
          <w:rFonts w:ascii="Calibri" w:cs="Calibri" w:eastAsia="Calibri" w:hAnsi="Calibri"/>
          <w:color w:val="282828"/>
          <w:sz w:val="22"/>
          <w:szCs w:val="22"/>
        </w:rPr>
        <w:t xml:space="preserve">El artículo 8° bis es la disposición que conecta de manera más directa esta ley con el objeto de esta serie de manuales. Reconoce al titular el derecho a oponerse y a no ser objeto de decisiones basadas en el tratamiento automatizado de sus datos personales, incluida la elaboración de perfiles, que produzcan efectos jurídicos en él o le afecten significativamente.</w:t>
      </w:r>
    </w:p>
    <w:p>
      <w:pPr>
        <w:spacing w:after="140" w:line="300"/>
        <w:jc w:val="both"/>
      </w:pPr>
      <w:r>
        <w:rPr>
          <w:rFonts w:ascii="Calibri" w:cs="Calibri" w:eastAsia="Calibri" w:hAnsi="Calibri"/>
          <w:color w:val="282828"/>
          <w:sz w:val="22"/>
          <w:szCs w:val="22"/>
        </w:rPr>
        <w:t xml:space="preserve">La ley define elaboración de perfiles como toda forma de tratamiento automatizado que consista en utilizar datos personales para evaluar, analizar o predecir aspectos relativos al rendimiento profesional, situación económica, de salud, preferencias personales, intereses, fiabilidad, comportamiento, ubicación o movimientos de una persona natural (artículo 2°, letra w).</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Por qué esto importa para un sistema escolar</w:t>
            </w:r>
          </w:p>
          <w:p>
            <w:pPr>
              <w:spacing w:after="80" w:line="290"/>
              <w:jc w:val="both"/>
            </w:pPr>
            <w:r>
              <w:rPr>
                <w:rFonts w:ascii="Calibri" w:cs="Calibri" w:eastAsia="Calibri" w:hAnsi="Calibri"/>
                <w:color w:val="282828"/>
                <w:sz w:val="21"/>
                <w:szCs w:val="21"/>
              </w:rPr>
              <w:t xml:space="preserve">Un modelo que estime la probabilidad de deserción de cada estudiante y active una medida en consecuencia, o uno que clasifique el desempeño de docentes a partir de registros acumulados, cae dentro de esta definición.</w:t>
            </w:r>
          </w:p>
          <w:p>
            <w:pPr>
              <w:spacing w:after="80" w:line="290"/>
              <w:jc w:val="both"/>
            </w:pPr>
            <w:r>
              <w:rPr>
                <w:rFonts w:ascii="Calibri" w:cs="Calibri" w:eastAsia="Calibri" w:hAnsi="Calibri"/>
                <w:b/>
                <w:bCs/>
                <w:color w:val="282828"/>
                <w:sz w:val="21"/>
                <w:szCs w:val="21"/>
              </w:rPr>
              <w:t xml:space="preserve">La ley no prohíbe estos tratamientos, pero exige garantías. </w:t>
            </w:r>
            <w:r>
              <w:rPr>
                <w:rFonts w:ascii="Calibri" w:cs="Calibri" w:eastAsia="Calibri" w:hAnsi="Calibri"/>
                <w:color w:val="282828"/>
                <w:sz w:val="21"/>
                <w:szCs w:val="21"/>
              </w:rPr>
              <w:t xml:space="preserve">En todos los casos de decisiones basadas en tratamiento automatizado, el responsable debe adoptar las medidas necesarias para asegurar el derecho a la información y transparencia, el derecho a obtener una explicación, la intervención humana, la posibilidad de expresar el punto de vista y la de solicitar la revisión de la decisión.</w:t>
            </w:r>
          </w:p>
          <w:p>
            <w:pPr>
              <w:spacing w:after="80" w:line="290"/>
              <w:jc w:val="both"/>
            </w:pPr>
            <w:r>
              <w:rPr>
                <w:rFonts w:ascii="Calibri" w:cs="Calibri" w:eastAsia="Calibri" w:hAnsi="Calibri"/>
                <w:b/>
                <w:bCs/>
                <w:color w:val="282828"/>
                <w:sz w:val="21"/>
                <w:szCs w:val="21"/>
              </w:rPr>
              <w:t xml:space="preserve">Coincidencia con la regla de esta serie: </w:t>
            </w:r>
            <w:r>
              <w:rPr>
                <w:rFonts w:ascii="Calibri" w:cs="Calibri" w:eastAsia="Calibri" w:hAnsi="Calibri"/>
                <w:color w:val="282828"/>
                <w:sz w:val="21"/>
                <w:szCs w:val="21"/>
              </w:rPr>
              <w:t xml:space="preserve">la prohibición de delegar en IA la evaluación del desempeño y las decisiones disciplinarias, establecida en el apartado 5 de este manual, es la forma más simple de no quedar expuesto a este artículo. Si siempre decide una persona informada, no hay decisión automatizada.</w:t>
            </w:r>
          </w:p>
        </w:tc>
      </w:tr>
    </w:tbl>
    <w:p>
      <w:pPr>
        <w:spacing w:after="140" w:line="300"/>
        <w:jc w:val="both"/>
      </w:pPr>
      <w:r>
        <w:rPr>
          <w:rFonts w:ascii="Calibri" w:cs="Calibri" w:eastAsia="Calibri" w:hAnsi="Calibri"/>
          <w:color w:val="282828"/>
          <w:sz w:val="22"/>
          <w:szCs w:val="22"/>
        </w:rPr>
        <w:t xml:space="preserve">El artículo 15 ter refuerza este punto desde otro ángulo: exige una evaluación de impacto en protección de datos, previa al inicio del tratamiento, siempre que se realice una evaluación sistemática y exhaustiva de aspectos personales de los titulares basada en tratamiento o decisiones automatizadas, como la elaboración de perfiles, que produzca en ellos efectos jurídicos significativos. La evaluación también es obligatoria en tratamientos masivos o a gran escala, en el monitoreo sistemático de zonas de acceso público y en el tratamiento de datos sensibles bajo las hipótesis de excepción del consentimiento.</w:t>
      </w:r>
    </w:p>
    <w:p>
      <w:pPr>
        <w:pStyle w:val="Heading2"/>
        <w:spacing w:after="140" w:before="280"/>
      </w:pPr>
      <w:r>
        <w:rPr>
          <w:rFonts w:ascii="Calibri" w:cs="Calibri" w:eastAsia="Calibri" w:hAnsi="Calibri"/>
          <w:b/>
          <w:bCs/>
          <w:color w:val="1F84EB"/>
          <w:sz w:val="26"/>
          <w:szCs w:val="26"/>
        </w:rPr>
        <w:t xml:space="preserve">2.6 Seguridad, seudonimización y reporte de brechas</w:t>
      </w:r>
    </w:p>
    <w:p>
      <w:pPr>
        <w:spacing w:after="140" w:line="300"/>
        <w:jc w:val="both"/>
      </w:pPr>
      <w:r>
        <w:rPr>
          <w:rFonts w:ascii="Calibri" w:cs="Calibri" w:eastAsia="Calibri" w:hAnsi="Calibri"/>
          <w:color w:val="282828"/>
          <w:sz w:val="22"/>
          <w:szCs w:val="22"/>
        </w:rPr>
        <w:t xml:space="preserve">El artículo 14 quinquies obliga a adoptar medidas técnicas y organizativas apropiadas para garantizar un nivel de seguridad adecuado al riesgo, y menciona expresamente, entre ellas, la seudonimización y el cifrado de datos personales, la capacidad de garantizar confidencialidad, integridad, disponibilidad y resiliencia de los sistemas, la capacidad de restaurar el acceso tras un incidente, y un proceso de verificación y evaluación regulares de la eficacia de esas medidas.</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La seudonimización no es una recomendación nuestra: es una medida que la ley nombra</w:t>
            </w:r>
          </w:p>
          <w:p>
            <w:pPr>
              <w:spacing w:after="80" w:line="290"/>
              <w:jc w:val="both"/>
            </w:pPr>
            <w:r>
              <w:rPr>
                <w:rFonts w:ascii="Calibri" w:cs="Calibri" w:eastAsia="Calibri" w:hAnsi="Calibri"/>
                <w:color w:val="282828"/>
                <w:sz w:val="21"/>
                <w:szCs w:val="21"/>
              </w:rPr>
              <w:t xml:space="preserve">El procedimiento descrito en el apartado A.2 del Anexo de este manual, y su implementación técnica en el Manual 5, corresponden exactamente a la medida que el artículo 14 quinquies, letra a), identifica como apropiada para garantizar la seguridad del tratamiento.</w:t>
            </w:r>
          </w:p>
          <w:p>
            <w:pPr>
              <w:spacing w:after="80" w:line="290"/>
              <w:jc w:val="both"/>
            </w:pPr>
            <w:r>
              <w:rPr>
                <w:rFonts w:ascii="Calibri" w:cs="Calibri" w:eastAsia="Calibri" w:hAnsi="Calibri"/>
                <w:color w:val="282828"/>
                <w:sz w:val="21"/>
                <w:szCs w:val="21"/>
              </w:rPr>
              <w:t xml:space="preserve">Adoptarla no solo reduce el riesgo: es un antecedente que el Servicio puede acreditar ante la Agencia si alguna vez debe demostrar que aplicó medidas de seguridad adecuadas al riesgo.</w:t>
            </w:r>
          </w:p>
        </w:tc>
      </w:tr>
    </w:tbl>
    <w:p>
      <w:pPr>
        <w:pStyle w:val="Heading3"/>
        <w:spacing w:after="110" w:before="220"/>
      </w:pPr>
      <w:r>
        <w:rPr>
          <w:rFonts w:ascii="Calibri" w:cs="Calibri" w:eastAsia="Calibri" w:hAnsi="Calibri"/>
          <w:b/>
          <w:bCs/>
          <w:color w:val="282828"/>
          <w:sz w:val="23"/>
          <w:szCs w:val="23"/>
        </w:rPr>
        <w:t xml:space="preserve">Qué hacer ante una filtración de datos</w:t>
      </w:r>
    </w:p>
    <w:p>
      <w:pPr>
        <w:spacing w:after="140" w:line="300"/>
        <w:jc w:val="both"/>
      </w:pPr>
      <w:r>
        <w:rPr>
          <w:rFonts w:ascii="Calibri" w:cs="Calibri" w:eastAsia="Calibri" w:hAnsi="Calibri"/>
          <w:color w:val="282828"/>
          <w:sz w:val="22"/>
          <w:szCs w:val="22"/>
        </w:rPr>
        <w:t xml:space="preserve">El artículo 14 sexies crea un deber que hoy no existe y que exige preparación previa: reportar las vulneraciones a las medidas de seguridad. El responsable debe reportar a la Agencia, por los medios más expeditos posibles y sin dilaciones indebidas, las vulneraciones que ocasionen destrucción, filtración, pérdida o alteración accidental o ilícita de los datos, o la comunicación o acceso no autorizados, cuando exista un riesgo razonable para los derechos y libertades de los titulares.</w:t>
      </w:r>
    </w:p>
    <w:p>
      <w:pPr>
        <w:spacing w:after="140" w:line="300"/>
        <w:jc w:val="both"/>
      </w:pPr>
      <w:r>
        <w:rPr>
          <w:rFonts w:ascii="Calibri" w:cs="Calibri" w:eastAsia="Calibri" w:hAnsi="Calibri"/>
          <w:color w:val="282828"/>
          <w:sz w:val="22"/>
          <w:szCs w:val="22"/>
        </w:rPr>
        <w:t xml:space="preserve">Cuando la vulneración afecte datos sensibles o datos relativos a niños y niñas menores de catorce años, el responsable debe además comunicarla a los titulares o sus representantes, en lenguaje claro y sencillo, singularizando los datos afectados, las posibles consecuencias y las medidas de solución o resguardo adoptadas. Si la notificación individual no fuera posible, debe difundirse un aviso en un medio de comunicación social masivo y de alcance nacional.</w:t>
      </w:r>
    </w:p>
    <w:p>
      <w:pPr>
        <w:spacing w:after="140" w:line="300"/>
        <w:jc w:val="both"/>
      </w:pPr>
      <w:r>
        <w:rPr>
          <w:rFonts w:ascii="Calibri" w:cs="Calibri" w:eastAsia="Calibri" w:hAnsi="Calibri"/>
          <w:color w:val="282828"/>
          <w:sz w:val="22"/>
          <w:szCs w:val="22"/>
        </w:rPr>
        <w:t xml:space="preserve">En un establecimiento escolar, los supuestos típicos son concretos y frecuentes: una planilla con datos de estudiantes enviada por error a un destinatario equivocado, una carpeta compartida que quedó accesible con enlace público, un computador institucional extraviado sin cifrado, o el acceso de un tercero a una cuenta institucional. Conviene definir desde ya quién detecta, quién evalúa el riesgo y quién reporta.</w:t>
      </w:r>
    </w:p>
    <w:p>
      <w:r>
        <w:br w:type="page"/>
      </w:r>
    </w:p>
    <w:p>
      <w:pPr>
        <w:pStyle w:val="Heading2"/>
        <w:spacing w:after="140" w:before="280"/>
      </w:pPr>
      <w:r>
        <w:rPr>
          <w:rFonts w:ascii="Calibri" w:cs="Calibri" w:eastAsia="Calibri" w:hAnsi="Calibri"/>
          <w:b/>
          <w:bCs/>
          <w:color w:val="1F84EB"/>
          <w:sz w:val="26"/>
          <w:szCs w:val="26"/>
        </w:rPr>
        <w:t xml:space="preserve">2.7 Proveedores, plataformas y transferencia internacional</w:t>
      </w:r>
    </w:p>
    <w:p>
      <w:pPr>
        <w:spacing w:after="140" w:line="300"/>
        <w:jc w:val="both"/>
      </w:pPr>
      <w:r>
        <w:rPr>
          <w:rFonts w:ascii="Calibri" w:cs="Calibri" w:eastAsia="Calibri" w:hAnsi="Calibri"/>
          <w:color w:val="282828"/>
          <w:sz w:val="22"/>
          <w:szCs w:val="22"/>
        </w:rPr>
        <w:t xml:space="preserve">El artículo 15 bis regula la figura del tercero mandatario o encargado: quien trata datos por cuenta del responsable. Toda plataforma externa que almacene o procese datos del establecimiento —un sistema de gestión escolar, un servicio de correo, una herramienta de encuestas, un proveedor de IA— ocupa esa posición.</w:t>
      </w:r>
    </w:p>
    <w:p>
      <w:pPr>
        <w:spacing w:after="140" w:line="300"/>
        <w:jc w:val="both"/>
      </w:pPr>
      <w:r>
        <w:rPr>
          <w:rFonts w:ascii="Calibri" w:cs="Calibri" w:eastAsia="Calibri" w:hAnsi="Calibri"/>
          <w:color w:val="282828"/>
          <w:sz w:val="22"/>
          <w:szCs w:val="22"/>
        </w:rPr>
        <w:t xml:space="preserve">La ley exige que ese tratamiento se rija por un contrato que establezca el objeto del encargo, su duración, la finalidad del tratamiento, el tipo de datos tratados, las categorías de titulares y los derechos y obligaciones de las partes. El encargado no puede tratar los datos para un objeto distinto del convenido, ni cederlos o entregarlos sin autorización expresa y específica. Si lo hace, se le considerará responsable de datos para todos los efectos legales y responderá solidariamente por los daños ocasionados. Cumplida la prestación, los datos deben ser suprimidos o devueltos.</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La pregunta que conviene hacerse con cada plataforma en uso hoy</w:t>
            </w:r>
          </w:p>
          <w:p>
            <w:pPr>
              <w:spacing w:after="80" w:line="290"/>
              <w:jc w:val="both"/>
            </w:pPr>
            <w:r>
              <w:rPr>
                <w:rFonts w:ascii="Calibri" w:cs="Calibri" w:eastAsia="Calibri" w:hAnsi="Calibri"/>
                <w:b/>
                <w:bCs/>
                <w:color w:val="282828"/>
                <w:sz w:val="21"/>
                <w:szCs w:val="21"/>
              </w:rPr>
              <w:t xml:space="preserve">¿Existe un contrato que cumpla el artículo 15 bis? </w:t>
            </w:r>
            <w:r>
              <w:rPr>
                <w:rFonts w:ascii="Calibri" w:cs="Calibri" w:eastAsia="Calibri" w:hAnsi="Calibri"/>
                <w:color w:val="282828"/>
                <w:sz w:val="21"/>
                <w:szCs w:val="21"/>
              </w:rPr>
              <w:t xml:space="preserve">Aceptar los términos de servicio de una herramienta gratuita haciendo clic no equivale a ese contrato, y es la situación en la que se encuentran muchas plataformas que los establecimientos usan a diario.</w:t>
            </w:r>
          </w:p>
          <w:p>
            <w:pPr>
              <w:spacing w:after="80" w:line="290"/>
              <w:jc w:val="both"/>
            </w:pPr>
            <w:r>
              <w:rPr>
                <w:rFonts w:ascii="Calibri" w:cs="Calibri" w:eastAsia="Calibri" w:hAnsi="Calibri"/>
                <w:color w:val="282828"/>
                <w:sz w:val="21"/>
                <w:szCs w:val="21"/>
              </w:rPr>
              <w:t xml:space="preserve">La Agencia pondrá a disposición del público modelos tipo de contratos en su página web, lo que facilitará regularizar estas relaciones antes de diciembre de 2026.</w:t>
            </w:r>
          </w:p>
          <w:p>
            <w:pPr>
              <w:spacing w:after="80" w:line="290"/>
              <w:jc w:val="both"/>
            </w:pPr>
            <w:r>
              <w:rPr>
                <w:rFonts w:ascii="Calibri" w:cs="Calibri" w:eastAsia="Calibri" w:hAnsi="Calibri"/>
                <w:b/>
                <w:bCs/>
                <w:color w:val="282828"/>
                <w:sz w:val="21"/>
                <w:szCs w:val="21"/>
              </w:rPr>
              <w:t xml:space="preserve">Conviene levantar ahora un catastro </w:t>
            </w:r>
            <w:r>
              <w:rPr>
                <w:rFonts w:ascii="Calibri" w:cs="Calibri" w:eastAsia="Calibri" w:hAnsi="Calibri"/>
                <w:color w:val="282828"/>
                <w:sz w:val="21"/>
                <w:szCs w:val="21"/>
              </w:rPr>
              <w:t xml:space="preserve">de todas las plataformas externas en uso en el establecimiento, con qué datos maneja cada una y bajo qué instrumento. Ese catastro es el punto de partida de cualquier regularización.</w:t>
            </w:r>
          </w:p>
        </w:tc>
      </w:tr>
    </w:tbl>
    <w:p>
      <w:pPr>
        <w:spacing w:after="140" w:line="300"/>
        <w:jc w:val="both"/>
      </w:pPr>
      <w:r>
        <w:rPr>
          <w:rFonts w:ascii="Calibri" w:cs="Calibri" w:eastAsia="Calibri" w:hAnsi="Calibri"/>
          <w:color w:val="282828"/>
          <w:sz w:val="22"/>
          <w:szCs w:val="22"/>
        </w:rPr>
        <w:t xml:space="preserve">Los artículos 27 y 28 regulan la transferencia internacional. Es lícita cuando el destinatario está sujeto al ordenamiento de un país que la Agencia haya determinado que ofrece niveles adecuados de protección, cuando queda amparada por cláusulas contractuales o normas corporativas vinculantes con garantías adecuadas, o cuando las partes adoptan un modelo de cumplimiento o mecanismo de certificación. En ausencia de esas condiciones, caben transferencias específicas y no habituales en los supuestos que la ley enumera, entre ellos el consentimiento expreso del titular. Corresponde al responsable acreditar ante la Agencia que la transferencia se practicó conforme a estas reglas.</w:t>
      </w:r>
    </w:p>
    <w:p>
      <w:pPr>
        <w:spacing w:after="140" w:line="300"/>
        <w:jc w:val="both"/>
      </w:pPr>
      <w:r>
        <w:rPr>
          <w:rFonts w:ascii="Calibri" w:cs="Calibri" w:eastAsia="Calibri" w:hAnsi="Calibri"/>
          <w:color w:val="282828"/>
          <w:sz w:val="22"/>
          <w:szCs w:val="22"/>
        </w:rPr>
        <w:t xml:space="preserve">Como casi todos los servicios digitales de uso escolar alojan datos fuera de Chile, esta es una de las materias que con mayor probabilidad requerirá revisión jurídica en el Servicio.</w:t>
      </w:r>
    </w:p>
    <w:p>
      <w:pPr>
        <w:pStyle w:val="Heading2"/>
        <w:spacing w:after="140" w:before="280"/>
      </w:pPr>
      <w:r>
        <w:rPr>
          <w:rFonts w:ascii="Calibri" w:cs="Calibri" w:eastAsia="Calibri" w:hAnsi="Calibri"/>
          <w:b/>
          <w:bCs/>
          <w:color w:val="1F84EB"/>
          <w:sz w:val="26"/>
          <w:szCs w:val="26"/>
        </w:rPr>
        <w:t xml:space="preserve">2.8 Qué debe publicarse en el sitio web</w:t>
      </w:r>
    </w:p>
    <w:p>
      <w:pPr>
        <w:spacing w:after="140" w:line="300"/>
        <w:jc w:val="both"/>
      </w:pPr>
      <w:r>
        <w:rPr>
          <w:rFonts w:ascii="Calibri" w:cs="Calibri" w:eastAsia="Calibri" w:hAnsi="Calibri"/>
          <w:color w:val="282828"/>
          <w:sz w:val="22"/>
          <w:szCs w:val="22"/>
        </w:rPr>
        <w:t xml:space="preserve">El artículo 14 ter establece un deber de información y transparencia que se cumple publicando determinada información y manteniéndola permanentemente disponible. Es una obligación verificable de un vistazo, y por eso una de las primeras que la Agencia podrá fiscalizar.</w:t>
      </w:r>
    </w:p>
    <w:p>
      <w:pPr>
        <w:spacing w:after="40" w:before="240"/>
      </w:pPr>
      <w:r>
        <w:rPr>
          <w:rFonts w:ascii="Calibri" w:cs="Calibri" w:eastAsia="Calibri" w:hAnsi="Calibri"/>
          <w:b/>
          <w:bCs/>
          <w:color w:val="282828"/>
          <w:sz w:val="20"/>
          <w:szCs w:val="20"/>
        </w:rPr>
        <w:t xml:space="preserve">Tabla 6</w:t>
      </w:r>
    </w:p>
    <w:p>
      <w:pPr>
        <w:spacing w:after="110"/>
      </w:pPr>
      <w:r>
        <w:rPr>
          <w:rFonts w:ascii="Calibri" w:cs="Calibri" w:eastAsia="Calibri" w:hAnsi="Calibri"/>
          <w:i/>
          <w:iCs/>
          <w:color w:val="282828"/>
          <w:sz w:val="20"/>
          <w:szCs w:val="20"/>
        </w:rPr>
        <w:t xml:space="preserve">Contenidos exigidos por el artículo 14 ter para el sitio web institucional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700"/>
        <w:gridCol w:w="8660"/>
      </w:tblGrid>
      <w:tr>
        <w:trPr>
          <w:tblHeader/>
        </w:trPr>
        <w:tc>
          <w:tcPr>
            <w:tcW w:type="dxa" w:w="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N.º</w:t>
            </w:r>
          </w:p>
        </w:tc>
        <w:tc>
          <w:tcPr>
            <w:tcW w:type="dxa" w:w="86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Contenido que debe publicarse</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política de tratamiento de datos personales adoptada, con su fecha y versión.</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individualización del responsable y de su representante legal.</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Domicilio, correo electrónico o formulario de contacto para recibir las solicitudes de los titulares.</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Las categorías de datos que se tratan, la descripción genérica del universo de personas, los destinatarios, las finalidades y la base de legitimidad de cada tratamiento.</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política y las medidas de seguridad adoptadas para proteger las bases de datos.</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derecho del titular a solicitar acceso, rectificación, supresión, oposición y portabilidad.</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7</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derecho a recurrir ante la Agencia si el responsable rechaza o no responde oportunamente.</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8</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existencia de transferencias a un tercer país u organización internacional y si ofrecen nivel adecuado de protección.</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9</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período durante el cual se conservarán los datos.</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fuente de la cual provienen los datos y si proceden de fuentes de acceso público.</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11</w:t>
            </w:r>
          </w:p>
        </w:tc>
        <w:tc>
          <w:tcPr>
            <w:tcW w:type="dxa" w:w="8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Cuando el tratamiento se base en el consentimiento, el derecho a retirarlo en cualquier momento.</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12</w:t>
            </w:r>
          </w:p>
        </w:tc>
        <w:tc>
          <w:tcPr>
            <w:tcW w:type="dxa" w:w="8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existencia de decisiones automatizadas, incluida la elaboración de perfiles, con información significativa sobre la lógica aplicada y sus consecuencias para el titular.</w:t>
            </w:r>
          </w:p>
        </w:tc>
      </w:tr>
    </w:tbl>
    <w:p>
      <w:pPr>
        <w:spacing w:after="200" w:before="60"/>
      </w:pPr>
      <w:r>
        <w:rPr>
          <w:rFonts w:ascii="Calibri" w:cs="Calibri" w:eastAsia="Calibri" w:hAnsi="Calibri"/>
          <w:i/>
          <w:iCs/>
          <w:color w:val="5A5A5A"/>
          <w:sz w:val="18"/>
          <w:szCs w:val="18"/>
        </w:rPr>
        <w:t xml:space="preserve">Nota. Elaboración propia a partir del artículo 14 ter de la Ley N.º 21.719 (2024). El punto 12 es el que obliga a declarar el uso de sistemas de IA que incidan en decisiones.</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A ello se suma una obligación específica de los órganos públicos: el artículo 22 exige informar mensualmente, a través de la página web institucional, los convenios suscritos con otros organismos públicos y con entidades privadas relativos a cesión o transferencia de datos personales.</w:t>
      </w:r>
    </w:p>
    <w:p>
      <w:r>
        <w:br w:type="page"/>
      </w:r>
    </w:p>
    <w:p>
      <w:pPr>
        <w:pStyle w:val="Heading2"/>
        <w:spacing w:after="140" w:before="280"/>
      </w:pPr>
      <w:r>
        <w:rPr>
          <w:rFonts w:ascii="Calibri" w:cs="Calibri" w:eastAsia="Calibri" w:hAnsi="Calibri"/>
          <w:b/>
          <w:bCs/>
          <w:color w:val="1F84EB"/>
          <w:sz w:val="26"/>
          <w:szCs w:val="26"/>
        </w:rPr>
        <w:t xml:space="preserve">2.9 Responsabilidades y sanciones</w:t>
      </w:r>
    </w:p>
    <w:p>
      <w:pPr>
        <w:spacing w:after="140" w:line="300"/>
        <w:jc w:val="both"/>
      </w:pPr>
      <w:r>
        <w:rPr>
          <w:rFonts w:ascii="Calibri" w:cs="Calibri" w:eastAsia="Calibri" w:hAnsi="Calibri"/>
          <w:color w:val="282828"/>
          <w:sz w:val="22"/>
          <w:szCs w:val="22"/>
        </w:rPr>
        <w:t xml:space="preserve">El régimen sancionatorio de esta ley tiene una particularidad que conviene conocer: en el sector público la sanción recae personalmente sobre el jefe superior del organismo, no sobre la institución.</w:t>
      </w:r>
    </w:p>
    <w:p>
      <w:pPr>
        <w:spacing w:after="140" w:line="300"/>
        <w:jc w:val="both"/>
      </w:pPr>
      <w:r>
        <w:rPr>
          <w:rFonts w:ascii="Calibri" w:cs="Calibri" w:eastAsia="Calibri" w:hAnsi="Calibri"/>
          <w:color w:val="282828"/>
          <w:sz w:val="22"/>
          <w:szCs w:val="22"/>
        </w:rPr>
        <w:t xml:space="preserve">El artículo 44 establece que el jefe superior de un órgano público debe velar por que el organismo realice sus operaciones de tratamiento con arreglo a los principios, derechos y obligaciones de la ley. Las infracciones se sancionan con multa de veinte a cincuenta por ciento de su remuneración mensual, determinada según la gravedad de la infracción, la naturaleza de los datos tratados y el número de titulares afectados. Tratándose de datos personales sensibles, la multa es del cincuenta por ciento de la remuneración mensual y procede la suspensión en el cargo de hasta treinta días. Si el organismo persiste en la infracción, se aplica el duplo de la sanción original y la suspensión en el cargo por cinco días.</w:t>
      </w:r>
    </w:p>
    <w:p>
      <w:pPr>
        <w:spacing w:after="140" w:line="300"/>
        <w:jc w:val="both"/>
      </w:pPr>
      <w:r>
        <w:rPr>
          <w:rFonts w:ascii="Calibri" w:cs="Calibri" w:eastAsia="Calibri" w:hAnsi="Calibri"/>
          <w:color w:val="282828"/>
          <w:sz w:val="22"/>
          <w:szCs w:val="22"/>
        </w:rPr>
        <w:t xml:space="preserve">El artículo 45 agrega que, si en el procedimiento se determinan responsabilidades individuales de uno o más funcionarios, la Contraloría General de la República iniciará una investigación sumaria. Las infracciones gravísimas del artículo 34 quáter se consideran contravención grave a la probidad administrativa.</w:t>
      </w:r>
    </w:p>
    <w:p>
      <w:pPr>
        <w:spacing w:after="140" w:line="300"/>
        <w:jc w:val="both"/>
      </w:pPr>
      <w:r>
        <w:rPr>
          <w:rFonts w:ascii="Calibri" w:cs="Calibri" w:eastAsia="Calibri" w:hAnsi="Calibri"/>
          <w:color w:val="282828"/>
          <w:sz w:val="22"/>
          <w:szCs w:val="22"/>
        </w:rPr>
        <w:t xml:space="preserve">El artículo 46 fija el deber de reserva de los funcionarios públicos que traten datos personales, especialmente datos sensibles o relativos a infracciones, y les prohíbe usar esa información con una finalidad distinta de sus funciones legales o en beneficio propio o de terceros.</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La lectura institucional de esto</w:t>
            </w:r>
          </w:p>
          <w:p>
            <w:pPr>
              <w:spacing w:after="80" w:line="290"/>
              <w:jc w:val="both"/>
            </w:pPr>
            <w:r>
              <w:rPr>
                <w:rFonts w:ascii="Calibri" w:cs="Calibri" w:eastAsia="Calibri" w:hAnsi="Calibri"/>
                <w:color w:val="282828"/>
                <w:sz w:val="21"/>
                <w:szCs w:val="21"/>
              </w:rPr>
              <w:t xml:space="preserve">El diseño de la ley traslada el incentivo de cumplimiento a la autoridad superior. Para un SLEP, eso convierte la protección de datos en una materia de gestión directiva y no solo de informática.</w:t>
            </w:r>
          </w:p>
          <w:p>
            <w:pPr>
              <w:spacing w:after="80" w:line="290"/>
              <w:jc w:val="both"/>
            </w:pPr>
            <w:r>
              <w:rPr>
                <w:rFonts w:ascii="Calibri" w:cs="Calibri" w:eastAsia="Calibri" w:hAnsi="Calibri"/>
                <w:b/>
                <w:bCs/>
                <w:color w:val="282828"/>
                <w:sz w:val="21"/>
                <w:szCs w:val="21"/>
              </w:rPr>
              <w:t xml:space="preserve">El artículo 47 añade la responsabilidad civil: </w:t>
            </w:r>
            <w:r>
              <w:rPr>
                <w:rFonts w:ascii="Calibri" w:cs="Calibri" w:eastAsia="Calibri" w:hAnsi="Calibri"/>
                <w:color w:val="282828"/>
                <w:sz w:val="21"/>
                <w:szCs w:val="21"/>
              </w:rPr>
              <w:t xml:space="preserve">el responsable debe indemnizar el daño patrimonial y extrapatrimonial que cause a los titulares cuando infrinja los principios, derechos u obligaciones de la ley y les cause perjuicio.</w:t>
            </w:r>
          </w:p>
        </w:tc>
      </w:tr>
    </w:tbl>
    <w:p>
      <w:r>
        <w:br w:type="page"/>
      </w:r>
    </w:p>
    <w:p>
      <w:pPr>
        <w:pStyle w:val="Heading2"/>
        <w:spacing w:after="140" w:before="280"/>
      </w:pPr>
      <w:r>
        <w:rPr>
          <w:rFonts w:ascii="Calibri" w:cs="Calibri" w:eastAsia="Calibri" w:hAnsi="Calibri"/>
          <w:b/>
          <w:bCs/>
          <w:color w:val="1F84EB"/>
          <w:sz w:val="26"/>
          <w:szCs w:val="26"/>
        </w:rPr>
        <w:t xml:space="preserve">2.10 Casos prácticos: cómo tratar los datos en el día a día</w:t>
      </w:r>
    </w:p>
    <w:p>
      <w:pPr>
        <w:spacing w:after="140" w:line="300"/>
        <w:jc w:val="both"/>
      </w:pPr>
      <w:r>
        <w:rPr>
          <w:rFonts w:ascii="Calibri" w:cs="Calibri" w:eastAsia="Calibri" w:hAnsi="Calibri"/>
          <w:color w:val="282828"/>
          <w:sz w:val="22"/>
          <w:szCs w:val="22"/>
        </w:rPr>
        <w:t xml:space="preserve">La tabla siguiente recorre situaciones habituales en establecimientos del territorio. No agota los casos posibles, pero cubre los que con mayor frecuencia generan incumplimientos por desconocimiento más que por mala intención.</w:t>
      </w:r>
    </w:p>
    <w:p>
      <w:pPr>
        <w:spacing w:after="40" w:before="240"/>
      </w:pPr>
      <w:r>
        <w:rPr>
          <w:rFonts w:ascii="Calibri" w:cs="Calibri" w:eastAsia="Calibri" w:hAnsi="Calibri"/>
          <w:b/>
          <w:bCs/>
          <w:color w:val="282828"/>
          <w:sz w:val="20"/>
          <w:szCs w:val="20"/>
        </w:rPr>
        <w:t xml:space="preserve">Tabla 7</w:t>
      </w:r>
    </w:p>
    <w:p>
      <w:pPr>
        <w:spacing w:after="110"/>
      </w:pPr>
      <w:r>
        <w:rPr>
          <w:rFonts w:ascii="Calibri" w:cs="Calibri" w:eastAsia="Calibri" w:hAnsi="Calibri"/>
          <w:i/>
          <w:iCs/>
          <w:color w:val="282828"/>
          <w:sz w:val="20"/>
          <w:szCs w:val="20"/>
        </w:rPr>
        <w:t xml:space="preserve">Situaciones escolares frecuentes y tratamiento correcto de los datos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3400"/>
        <w:gridCol w:w="38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Situación</w:t>
            </w:r>
          </w:p>
        </w:tc>
        <w:tc>
          <w:tcPr>
            <w:tcW w:type="dxa" w:w="3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suele hacerse</w:t>
            </w:r>
          </w:p>
        </w:tc>
        <w:tc>
          <w:tcPr>
            <w:tcW w:type="dxa" w:w="38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Cómo corresponde tratarlo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Correo masivo a apoderados del curso.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Enviar con todas las direcciones visibles en el campo “Para” o “CC”.</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copia oculta. Mostrar las direcciones comunica datos personales de cada apoderado al resto sin base legal alguna.</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Publicación de calificaciones.</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Listado con nombre y nota en el mural, o enviado al grupo de curso.</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Comunicar las calificaciones de manera individual, por el canal institucional. Un listado público es una comunicación de datos a terceros.</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Fotografías de estudiantes en redes sociales.</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Publicarlas asumiendo que la matrícula lo autoriza.</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Requiere autorización expresa de quien ejerce el cuidado personal, revocable, y específica sobre el medio y la finalidad. Debe existir un registro de quiénes no autorizaron.</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Grupos de WhatsApp con apoderados.</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Crear grupos con los teléfonos de todo el curso, administrados desde el celular personal del docente.</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canales institucionales. Si se usa mensajería, emplear listas de difusión desde una cuenta institucional y no exponer los números del resto.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Informes de la dupla psicosocial o del PIE.</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Guardarlos en carpetas compartidas de amplio acceso o enviarlos por correo sin resguardo.</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Son datos sensibles de salud. Acceso restringido a quienes los necesitan por su función, registro de accesos y conservación por el plazo estrictamente necesario.</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Nómina para una actividad extraescolar.</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Entregar al proveedor una planilla con RUT, dirección y datos de contacto completos.</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Entregar solo los datos necesarios para esa finalidad: habitualmente nombre y, si aplica, una condición de salud relevante informada con autorización.</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Formularios de inscripción.</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RUT, dirección, ocupación y previsión “por si acaso”.</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Aplicar proporcionalidad: cada campo debe justificarse por la finalidad declarada. Lo que no se necesita, no se pide.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Cámaras de seguridad.</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Instalarlas sin señalización ni política de conservación.</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Señalizar su existencia, definir finalidad, plazo de conservación y quién puede revisar las grabaciones. El monitoreo sistemático de zonas de acceso público exige evaluación de impacto.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 de estudiantes que egresaron o se retiraron.</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Conservarlos indefinidamente en las mismas planillas activas.</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Conservar solo lo que una norma obligue a mantener, por el plazo que esa norma fije. El resto se suprime o anonimiza.</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Encuesta de clima escolar.</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Aplicarla solicitando nombre y curso aunque el análisis sea agregado.</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el análisis es agregado, recoger los datos de forma anónima desde el origen. Lo que no se recolecta no hay que proteger.</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Planillas de trabajo del equipo directivo.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Mantenerlas en cuentas personales de correo o en unidades locales sin respaldo.</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Alojarlas en unidades institucionales, con control de acceso por perfil y respaldo. Una cuenta personal no es infraestructura institucional.</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Solicitud de un apoderado sobre los datos de su hijo.</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Responder informalmente o derivarla sin registro.</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Tramitarla como ejercicio del derecho de acceso: acuse de recibo, respuesta fundada por escrito dentro de treinta días corridos y conservación del respaldo.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Uso de una herramienta de IA para redactar un informe de caso.</w:t>
            </w:r>
          </w:p>
        </w:tc>
        <w:tc>
          <w:tcPr>
            <w:tcW w:type="dxa" w:w="3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Pegar el relato completo con nombre, curso y antecedentes.</w:t>
            </w:r>
          </w:p>
        </w:tc>
        <w:tc>
          <w:tcPr>
            <w:tcW w:type="dxa" w:w="38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Anonimizar según el apartado 6 de este manual, o emplear un entorno autorizado con las salvaguardas del Anexo.</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Traspaso de antecedentes a otro establecimiento.</w:t>
            </w:r>
          </w:p>
        </w:tc>
        <w:tc>
          <w:tcPr>
            <w:tcW w:type="dxa" w:w="3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Enviar el expediente completo por correo personal.</w:t>
            </w:r>
          </w:p>
        </w:tc>
        <w:tc>
          <w:tcPr>
            <w:tcW w:type="dxa" w:w="38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Comunicar solo lo que corresponde a la finalidad del traspaso, por canal institucional, dejando registro de qué se envió y a quién.</w:t>
            </w:r>
          </w:p>
        </w:tc>
      </w:tr>
    </w:tbl>
    <w:p>
      <w:pPr>
        <w:spacing w:after="200" w:before="60"/>
      </w:pPr>
      <w:r>
        <w:rPr>
          <w:rFonts w:ascii="Calibri" w:cs="Calibri" w:eastAsia="Calibri" w:hAnsi="Calibri"/>
          <w:i/>
          <w:iCs/>
          <w:color w:val="5A5A5A"/>
          <w:sz w:val="18"/>
          <w:szCs w:val="18"/>
        </w:rPr>
        <w:t xml:space="preserve">Nota. Elaboración propia a partir de la Ley N.º 21.719 (2024). La columna derecha expresa el criterio que se desprende de los principios del artículo 3° y de los deberes de los artículos 14 y siguientes, y no constituye asesoría jurídica.</w:t>
      </w:r>
    </w:p>
    <w:p>
      <w:r>
        <w:br w:type="page"/>
      </w:r>
    </w:p>
    <w:p>
      <w:pPr>
        <w:pStyle w:val="Heading2"/>
        <w:spacing w:after="140" w:before="280"/>
      </w:pPr>
      <w:r>
        <w:rPr>
          <w:rFonts w:ascii="Calibri" w:cs="Calibri" w:eastAsia="Calibri" w:hAnsi="Calibri"/>
          <w:b/>
          <w:bCs/>
          <w:color w:val="1F84EB"/>
          <w:sz w:val="26"/>
          <w:szCs w:val="26"/>
        </w:rPr>
        <w:t xml:space="preserve">2.11 Hoja de ruta hacia diciembre de 2026</w:t>
      </w:r>
    </w:p>
    <w:p>
      <w:pPr>
        <w:spacing w:after="140" w:line="300"/>
        <w:jc w:val="both"/>
      </w:pPr>
      <w:r>
        <w:rPr>
          <w:rFonts w:ascii="Calibri" w:cs="Calibri" w:eastAsia="Calibri" w:hAnsi="Calibri"/>
          <w:color w:val="282828"/>
          <w:sz w:val="22"/>
          <w:szCs w:val="22"/>
        </w:rPr>
        <w:t xml:space="preserve">Las obligaciones descritas no admiten preparación improvisada. La secuencia siguiente ordena el trabajo en función de lo que cada paso habilita.</w:t>
      </w:r>
    </w:p>
    <w:p>
      <w:pPr>
        <w:spacing w:after="40" w:before="240"/>
      </w:pPr>
      <w:r>
        <w:rPr>
          <w:rFonts w:ascii="Calibri" w:cs="Calibri" w:eastAsia="Calibri" w:hAnsi="Calibri"/>
          <w:b/>
          <w:bCs/>
          <w:color w:val="282828"/>
          <w:sz w:val="20"/>
          <w:szCs w:val="20"/>
        </w:rPr>
        <w:t xml:space="preserve">Tabla 8</w:t>
      </w:r>
    </w:p>
    <w:p>
      <w:pPr>
        <w:spacing w:after="110"/>
      </w:pPr>
      <w:r>
        <w:rPr>
          <w:rFonts w:ascii="Calibri" w:cs="Calibri" w:eastAsia="Calibri" w:hAnsi="Calibri"/>
          <w:i/>
          <w:iCs/>
          <w:color w:val="282828"/>
          <w:sz w:val="20"/>
          <w:szCs w:val="20"/>
        </w:rPr>
        <w:t xml:space="preserve">Pasos de preparación para la entrada en vigencia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700"/>
        <w:gridCol w:w="5200"/>
        <w:gridCol w:w="3460"/>
      </w:tblGrid>
      <w:tr>
        <w:trPr>
          <w:tblHeader/>
        </w:trPr>
        <w:tc>
          <w:tcPr>
            <w:tcW w:type="dxa" w:w="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Paso</w:t>
            </w:r>
          </w:p>
        </w:tc>
        <w:tc>
          <w:tcPr>
            <w:tcW w:type="dxa" w:w="5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Acción</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Producto esperado</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Inventario de tratamientos: qué datos recoge el Servicio y cada establecimiento, para qué, de quién, dónde se guardan y por cuánto tiempo.</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 de actividades de tratamiento.</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Identificación de la base de licitud de cada tratamiento, distinguiendo los que se fundan en la función legal de los que requieren consentimiento.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Matriz de licitud.</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Catastro de plataformas externas y revisión de los contratos con cada proveedor conforme al artículo 15 bis.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Catastro de encargados y plan de regularización.</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Elaboración y publicación de la política de tratamiento y de los demás contenidos del artículo 14 ter.</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Sección de protección de datos en el sitio web.</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Definición del procedimiento de atención de solicitudes de los titulares, con responsable y plazos.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Procedimiento interno y canal de contacto operativo.</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Revisión de las medidas de seguridad, incluidas seudonimización, cifrado, control de accesos y respaldo.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 de seguridad de la información.</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7</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Definición del procedimiento de detección, evaluación y reporte de brechas.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Protocolo de incidentes de seguridad.</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8</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 de impacto en los tratamientos que lo requieran conforme al artículo 15 ter.</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Informes de evaluación de impacto.</w:t>
            </w:r>
          </w:p>
        </w:tc>
      </w:tr>
      <w:tr>
        <w:tc>
          <w:tcPr>
            <w:tcW w:type="dxa" w:w="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9</w:t>
            </w:r>
          </w:p>
        </w:tc>
        <w:tc>
          <w:tcPr>
            <w:tcW w:type="dxa" w:w="5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Decisión sobre la designación de un delegado de protección de datos y, en su caso, sobre la adopción de un modelo de prevención de infracciones.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Resolución de la Dirección Ejecutiva.</w:t>
            </w:r>
          </w:p>
        </w:tc>
      </w:tr>
      <w:tr>
        <w:tc>
          <w:tcPr>
            <w:tcW w:type="dxa" w:w="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10</w:t>
            </w:r>
          </w:p>
        </w:tc>
        <w:tc>
          <w:tcPr>
            <w:tcW w:type="dxa" w:w="5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Capacitación de directivos, docentes y asistentes de la educación sobre deberes y derechos.</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 de formación ejecutado.</w:t>
            </w:r>
          </w:p>
        </w:tc>
      </w:tr>
    </w:tbl>
    <w:p>
      <w:pPr>
        <w:spacing w:after="200" w:before="60"/>
      </w:pPr>
      <w:r>
        <w:rPr>
          <w:rFonts w:ascii="Calibri" w:cs="Calibri" w:eastAsia="Calibri" w:hAnsi="Calibri"/>
          <w:i/>
          <w:iCs/>
          <w:color w:val="5A5A5A"/>
          <w:sz w:val="18"/>
          <w:szCs w:val="18"/>
        </w:rPr>
        <w:t xml:space="preserve">Nota. Elaboración propia. El paso 9 es facultativo: los artículos 49 y 50 establecen que la adopción de un modelo de prevención y la designación de un delegado son voluntarias. El artículo quinto transitorio precisa que los órganos públicos que los establezcan deberán designar para ello a un funcionario de la dotación vigente.</w:t>
      </w:r>
    </w:p>
    <w:p>
      <w:pPr>
        <w:spacing w:after="140"/>
      </w:pPr>
      <w:r>
        <w:rPr>
          <w:sz w:val="12"/>
          <w:szCs w:val="12"/>
        </w:rPr>
        <w:t xml:space="preserve"/>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La relación entre esta ley y el resto de este manual</w:t>
            </w:r>
          </w:p>
          <w:p>
            <w:pPr>
              <w:spacing w:after="80" w:line="290"/>
              <w:jc w:val="both"/>
            </w:pPr>
            <w:r>
              <w:rPr>
                <w:rFonts w:ascii="Calibri" w:cs="Calibri" w:eastAsia="Calibri" w:hAnsi="Calibri"/>
                <w:color w:val="282828"/>
                <w:sz w:val="21"/>
                <w:szCs w:val="21"/>
              </w:rPr>
              <w:t xml:space="preserve">Las reglas que el apartado 1.3 establece para el uso de IA no son una interpretación restrictiva: son la aplicación directa de los principios de finalidad, proporcionalidad y seguridad, y del deber de contrato con el encargado.</w:t>
            </w:r>
          </w:p>
          <w:p>
            <w:pPr>
              <w:spacing w:after="80" w:line="290"/>
              <w:jc w:val="both"/>
            </w:pPr>
            <w:r>
              <w:rPr>
                <w:rFonts w:ascii="Calibri" w:cs="Calibri" w:eastAsia="Calibri" w:hAnsi="Calibri"/>
                <w:color w:val="282828"/>
                <w:sz w:val="21"/>
                <w:szCs w:val="21"/>
              </w:rPr>
              <w:t xml:space="preserve">La anonimización del apartado 6 y la seudonimización del Anexo corresponden a figuras que la propia ley define y, en el segundo caso, nombra expresamente como medida de seguridad apropiada.</w:t>
            </w:r>
          </w:p>
          <w:p>
            <w:pPr>
              <w:spacing w:after="80" w:line="290"/>
              <w:jc w:val="both"/>
            </w:pPr>
            <w:r>
              <w:rPr>
                <w:rFonts w:ascii="Calibri" w:cs="Calibri" w:eastAsia="Calibri" w:hAnsi="Calibri"/>
                <w:color w:val="282828"/>
                <w:sz w:val="21"/>
                <w:szCs w:val="21"/>
              </w:rPr>
              <w:t xml:space="preserve">La prohibición de delegar en IA la evaluación del desempeño y las decisiones disciplinarias, del apartado 5, es la manera más simple de mantenerse fuera del supuesto del artículo 8° bis sobre decisiones automatizadas.</w:t>
            </w:r>
          </w:p>
          <w:p>
            <w:pPr>
              <w:spacing w:after="80" w:line="290"/>
              <w:jc w:val="both"/>
            </w:pPr>
            <w:r>
              <w:rPr>
                <w:rFonts w:ascii="Calibri" w:cs="Calibri" w:eastAsia="Calibri" w:hAnsi="Calibri"/>
                <w:b/>
                <w:bCs/>
                <w:color w:val="282828"/>
                <w:sz w:val="21"/>
                <w:szCs w:val="21"/>
              </w:rPr>
              <w:t xml:space="preserve">En otras palabras: </w:t>
            </w:r>
            <w:r>
              <w:rPr>
                <w:rFonts w:ascii="Calibri" w:cs="Calibri" w:eastAsia="Calibri" w:hAnsi="Calibri"/>
                <w:color w:val="282828"/>
                <w:sz w:val="21"/>
                <w:szCs w:val="21"/>
              </w:rPr>
              <w:t xml:space="preserve">quien cumple este manual está, en lo esencial, cumpliendo la ley. Lo que la ley agrega son obligaciones de documentación, publicación y procedimiento que el Servicio debe construir antes de diciembre de 2026.</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3. Los cinco principios éticos</w:t>
      </w:r>
    </w:p>
    <w:p>
      <w:pPr>
        <w:spacing w:after="140" w:line="300"/>
        <w:jc w:val="both"/>
      </w:pPr>
      <w:r>
        <w:rPr>
          <w:rFonts w:ascii="Calibri" w:cs="Calibri" w:eastAsia="Calibri" w:hAnsi="Calibri"/>
          <w:color w:val="282828"/>
          <w:sz w:val="22"/>
          <w:szCs w:val="22"/>
        </w:rPr>
        <w:t xml:space="preserve">Un material de formación interno, sin autoría consignada, establece cinco principios que deben guiar cualquier uso de IA en la gestión escolar (Uso ético de la inteligencia artificial, s.f.). Se presentan aquí con su traducción operativa al trabajo cotidiano.</w:t>
      </w:r>
    </w:p>
    <w:p>
      <w:pPr>
        <w:spacing w:after="40" w:before="240"/>
      </w:pPr>
      <w:r>
        <w:rPr>
          <w:rFonts w:ascii="Calibri" w:cs="Calibri" w:eastAsia="Calibri" w:hAnsi="Calibri"/>
          <w:b/>
          <w:bCs/>
          <w:color w:val="282828"/>
          <w:sz w:val="20"/>
          <w:szCs w:val="20"/>
        </w:rPr>
        <w:t xml:space="preserve">Tabla 9</w:t>
      </w:r>
    </w:p>
    <w:p>
      <w:pPr>
        <w:spacing w:after="110"/>
      </w:pPr>
      <w:r>
        <w:rPr>
          <w:rFonts w:ascii="Calibri" w:cs="Calibri" w:eastAsia="Calibri" w:hAnsi="Calibri"/>
          <w:i/>
          <w:iCs/>
          <w:color w:val="282828"/>
          <w:sz w:val="20"/>
          <w:szCs w:val="20"/>
        </w:rPr>
        <w:t xml:space="preserve">Principios éticos y su significado en la gestión escolar</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3900"/>
        <w:gridCol w:w="37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Principio</w:t>
            </w:r>
          </w:p>
        </w:tc>
        <w:tc>
          <w:tcPr>
            <w:tcW w:type="dxa" w:w="3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significa en la gestión escolar</w:t>
            </w:r>
          </w:p>
        </w:tc>
        <w:tc>
          <w:tcPr>
            <w:tcW w:type="dxa" w:w="37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 de aplicación en el territorio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Transparencia</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Ser claro sobre cuándo y cómo se usa IA. Si un documento fue generado con IA, debe informarse. La comunidad educativa tiene derecho a saber qué herramientas se están empleando.</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Una nota al pie en la minuta del Consejo Escolar: “Versión preliminar elaborada con apoyo de IA generativa; contenido revisado y validado por la dirección”.</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Privacidad y protección de datos</w:t>
            </w:r>
          </w:p>
        </w:tc>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ingresar datos sensibles de estudiantes, docentes o familias en plataformas de IA generativa. Respetar la confidencialidad y cumplir la normativa vigente.</w:t>
            </w:r>
          </w:p>
        </w:tc>
        <w:tc>
          <w:tcPr>
            <w:tcW w:type="dxa" w:w="3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 pedir apoyo para redactar un informe de un caso de convivencia, se describe la situación sin nombres, RUT, curso, dirección ni datos de salud.</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Equidad e inclusión</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Asegurar que el uso de IA no refuerce sesgos ni genere exclusión. Verificar que las respuestas sean justas, representativas y culturalmente pertinentes para el contexto chileno.</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Revisar que un material generado sobre historia local no reproduzca estereotipos ni omita la realidad rural presente en el territorio.</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Responsabilidad humana</w:t>
            </w:r>
          </w:p>
        </w:tc>
        <w:tc>
          <w:tcPr>
            <w:tcW w:type="dxa" w:w="3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decisión final siempre debe ser humana. La IA apoya procesos, pero no reemplaza el criterio profesional, la empatía ni el liderazgo pedagógico.</w:t>
            </w:r>
          </w:p>
        </w:tc>
        <w:tc>
          <w:tcPr>
            <w:tcW w:type="dxa" w:w="3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Una propuesta de reorganización de horarios generada con IA se discute en Consejo de Profesores antes de cualquier decisión.</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Veracidad y precisión</w:t>
            </w:r>
          </w:p>
        </w:tc>
        <w:tc>
          <w:tcPr>
            <w:tcW w:type="dxa" w:w="3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Revisar y validar siempre las respuestas generadas. Estas herramientas pueden cometer errores factuales o generar información inexacta.</w:t>
            </w:r>
          </w:p>
        </w:tc>
        <w:tc>
          <w:tcPr>
            <w:tcW w:type="dxa" w:w="3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Toda cita normativa, cifra o referencia a un decreto se contrasta con la fuente oficial antes de incorporarse a un documento.</w:t>
            </w:r>
          </w:p>
        </w:tc>
      </w:tr>
    </w:tbl>
    <w:p>
      <w:pPr>
        <w:spacing w:after="200" w:before="60"/>
      </w:pPr>
      <w:r>
        <w:rPr>
          <w:rFonts w:ascii="Calibri" w:cs="Calibri" w:eastAsia="Calibri" w:hAnsi="Calibri"/>
          <w:i/>
          <w:iCs/>
          <w:color w:val="5A5A5A"/>
          <w:sz w:val="18"/>
          <w:szCs w:val="18"/>
        </w:rPr>
        <w:t xml:space="preserve">Nota. Los principios y su definición corresponden a el material de formación recibido (Uso ético de la inteligencia artificial, s.f.); los ejemplos son elaboración propia.</w:t>
      </w:r>
    </w:p>
    <w:p>
      <w:pPr>
        <w:spacing w:after="140"/>
      </w:pPr>
      <w:r>
        <w:rPr>
          <w:sz w:val="12"/>
          <w:szCs w:val="12"/>
        </w:rPr>
        <w:t xml:space="preserve"/>
      </w:r>
    </w:p>
    <w:p>
      <w:pPr>
        <w:spacing w:after="140" w:line="300"/>
        <w:jc w:val="both"/>
      </w:pPr>
      <w:r>
        <w:rPr>
          <w:rFonts w:ascii="Calibri" w:cs="Calibri" w:eastAsia="Calibri" w:hAnsi="Calibri"/>
          <w:color w:val="282828"/>
          <w:sz w:val="22"/>
          <w:szCs w:val="22"/>
        </w:rPr>
        <w:t xml:space="preserve">Estos cinco principios son consistentes con los seis principios ministeriales para la adopción de IA generativa: potenciar lo humano, usarla como herramienta para pensar, potenciar la creatividad, resguardar la ética, promover la equidad y la inclusión, y fomentar el aprendizaje activo (Ministerio de Educación de Chile, 2025). El cuarto de ellos, resguardo ético, exige conocer los términos, condiciones y uso de información de las herramientas que se utilizan, y evaluar si estas respetan la privacidad y la transparencia en su funcionamiento.</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4. Criterios de decisión: ¿cuándo usar IA?</w:t>
      </w:r>
    </w:p>
    <w:p>
      <w:pPr>
        <w:spacing w:after="140" w:line="300"/>
        <w:jc w:val="both"/>
      </w:pPr>
      <w:r>
        <w:rPr>
          <w:rFonts w:ascii="Calibri" w:cs="Calibri" w:eastAsia="Calibri" w:hAnsi="Calibri"/>
          <w:color w:val="282828"/>
          <w:sz w:val="22"/>
          <w:szCs w:val="22"/>
        </w:rPr>
        <w:t xml:space="preserve">Antes de recurrir a una herramienta de IA para una tarea determinada, corresponde responder cinco preguntas. Si alguna respuesta enciende una alerta, la tarea debe reformularse o resolverse sin IA (Uso ético de la inteligencia artificial, s.f.).</w:t>
      </w:r>
    </w:p>
    <w:p>
      <w:pPr>
        <w:spacing w:after="40" w:before="240"/>
      </w:pPr>
      <w:r>
        <w:rPr>
          <w:rFonts w:ascii="Calibri" w:cs="Calibri" w:eastAsia="Calibri" w:hAnsi="Calibri"/>
          <w:b/>
          <w:bCs/>
          <w:color w:val="282828"/>
          <w:sz w:val="20"/>
          <w:szCs w:val="20"/>
        </w:rPr>
        <w:t xml:space="preserve">Tabla 10</w:t>
      </w:r>
    </w:p>
    <w:p>
      <w:pPr>
        <w:spacing w:after="110"/>
      </w:pPr>
      <w:r>
        <w:rPr>
          <w:rFonts w:ascii="Calibri" w:cs="Calibri" w:eastAsia="Calibri" w:hAnsi="Calibri"/>
          <w:i/>
          <w:iCs/>
          <w:color w:val="282828"/>
          <w:sz w:val="20"/>
          <w:szCs w:val="20"/>
        </w:rPr>
        <w:t xml:space="preserve">Preguntas previas al uso de IA en una tarea de gestión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3500"/>
        <w:gridCol w:w="2400"/>
        <w:gridCol w:w="3460"/>
      </w:tblGrid>
      <w:tr>
        <w:trPr>
          <w:tblHeader/>
        </w:trPr>
        <w:tc>
          <w:tcPr>
            <w:tcW w:type="dxa" w:w="35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Pregunta</w:t>
            </w:r>
          </w:p>
        </w:tc>
        <w:tc>
          <w:tcPr>
            <w:tcW w:type="dxa" w:w="2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Si la respuesta es afirmativa</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hacer</w:t>
            </w:r>
          </w:p>
        </w:tc>
      </w:tr>
      <w:tr>
        <w:tc>
          <w:tcPr>
            <w:tcW w:type="dxa" w:w="3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tarea requiere juicio profesional o sensibilidad humana?</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Alerta alta</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delegar la decisión. Puede usarse IA solo para organizar información previa, nunca para resolver.</w:t>
            </w:r>
          </w:p>
        </w:tc>
      </w:tr>
      <w:tr>
        <w:tc>
          <w:tcPr>
            <w:tcW w:type="dxa" w:w="3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información que ingresaré es sensible o confidencial?</w:t>
            </w:r>
          </w:p>
        </w:tc>
        <w:tc>
          <w:tcPr>
            <w:tcW w:type="dxa" w:w="2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Alerta crítica</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ingresar. Anonimizar completamente o resolver la tarea sin IA.</w:t>
            </w:r>
          </w:p>
        </w:tc>
      </w:tr>
      <w:tr>
        <w:tc>
          <w:tcPr>
            <w:tcW w:type="dxa" w:w="3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¿Tengo tiempo de revisar y validar la respuesta generada?</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la respuesta es NO, alerta alta</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Posponer. Usar IA sin tiempo de revisión es peor que no usarla.</w:t>
            </w:r>
          </w:p>
        </w:tc>
      </w:tr>
      <w:tr>
        <w:tc>
          <w:tcPr>
            <w:tcW w:type="dxa" w:w="35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herramienta puede generar sesgos o afectar la equidad?</w:t>
            </w:r>
          </w:p>
        </w:tc>
        <w:tc>
          <w:tcPr>
            <w:tcW w:type="dxa" w:w="2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Alerta media</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Revisar el resultado con foco explícito en representatividad y pertinencia cultural.</w:t>
            </w:r>
          </w:p>
        </w:tc>
      </w:tr>
      <w:tr>
        <w:tc>
          <w:tcPr>
            <w:tcW w:type="dxa" w:w="35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uso de IA contribuye genuinamente a mejorar mi gestión?</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la respuesta es NO, detenerse</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 no agrega valor, no se justifica el riesgo ni el tiempo invertido.</w:t>
            </w:r>
          </w:p>
        </w:tc>
      </w:tr>
    </w:tbl>
    <w:p>
      <w:pPr>
        <w:spacing w:after="200" w:before="60"/>
      </w:pPr>
      <w:r>
        <w:rPr>
          <w:rFonts w:ascii="Calibri" w:cs="Calibri" w:eastAsia="Calibri" w:hAnsi="Calibri"/>
          <w:i/>
          <w:iCs/>
          <w:color w:val="5A5A5A"/>
          <w:sz w:val="18"/>
          <w:szCs w:val="18"/>
        </w:rPr>
        <w:t xml:space="preserve">Nota. Preguntas tomadas de el material de formación recibido (Uso ético de la inteligencia artificial, s.f.); columnas de análisis, elaboración propia.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5. Qué se puede delegar y qué no</w:t>
      </w:r>
    </w:p>
    <w:p>
      <w:pPr>
        <w:pStyle w:val="Heading2"/>
        <w:spacing w:after="140" w:before="280"/>
      </w:pPr>
      <w:r>
        <w:rPr>
          <w:rFonts w:ascii="Calibri" w:cs="Calibri" w:eastAsia="Calibri" w:hAnsi="Calibri"/>
          <w:b/>
          <w:bCs/>
          <w:color w:val="1F84EB"/>
          <w:sz w:val="26"/>
          <w:szCs w:val="26"/>
        </w:rPr>
        <w:t xml:space="preserve">5.1 Tareas apropiadas para delegar en IA</w:t>
      </w:r>
    </w:p>
    <w:p>
      <w:pPr>
        <w:spacing w:after="140" w:line="300"/>
        <w:jc w:val="both"/>
      </w:pPr>
      <w:r>
        <w:rPr>
          <w:rFonts w:ascii="Calibri" w:cs="Calibri" w:eastAsia="Calibri" w:hAnsi="Calibri"/>
          <w:color w:val="282828"/>
          <w:sz w:val="22"/>
          <w:szCs w:val="22"/>
        </w:rPr>
        <w:t xml:space="preserve">Las siguientes son tareas donde la IA puede ser un apoyo efectivo, siempre bajo supervisión y validación humana (Uso ético de la inteligencia artificial, s.f.):</w:t>
      </w:r>
    </w:p>
    <w:p>
      <w:pPr>
        <w:pStyle w:val="ListParagraph"/>
        <w:numPr>
          <w:ilvl w:val="0"/>
          <w:numId w:val="3"/>
        </w:numPr>
        <w:spacing w:after="90" w:line="290"/>
        <w:jc w:val="both"/>
      </w:pPr>
      <w:r>
        <w:rPr>
          <w:rFonts w:ascii="Calibri" w:cs="Calibri" w:eastAsia="Calibri" w:hAnsi="Calibri"/>
          <w:color w:val="282828"/>
          <w:sz w:val="22"/>
          <w:szCs w:val="22"/>
        </w:rPr>
        <w:t xml:space="preserve">Borradores de documentos institucionales.</w:t>
      </w:r>
    </w:p>
    <w:p>
      <w:pPr>
        <w:pStyle w:val="ListParagraph"/>
        <w:numPr>
          <w:ilvl w:val="0"/>
          <w:numId w:val="3"/>
        </w:numPr>
        <w:spacing w:after="90" w:line="290"/>
        <w:jc w:val="both"/>
      </w:pPr>
      <w:r>
        <w:rPr>
          <w:rFonts w:ascii="Calibri" w:cs="Calibri" w:eastAsia="Calibri" w:hAnsi="Calibri"/>
          <w:color w:val="282828"/>
          <w:sz w:val="22"/>
          <w:szCs w:val="22"/>
        </w:rPr>
        <w:t xml:space="preserve">Estructuración de planes o proyectos educativos.</w:t>
      </w:r>
    </w:p>
    <w:p>
      <w:pPr>
        <w:pStyle w:val="ListParagraph"/>
        <w:numPr>
          <w:ilvl w:val="0"/>
          <w:numId w:val="3"/>
        </w:numPr>
        <w:spacing w:after="90" w:line="290"/>
        <w:jc w:val="both"/>
      </w:pPr>
      <w:r>
        <w:rPr>
          <w:rFonts w:ascii="Calibri" w:cs="Calibri" w:eastAsia="Calibri" w:hAnsi="Calibri"/>
          <w:color w:val="282828"/>
          <w:sz w:val="22"/>
          <w:szCs w:val="22"/>
        </w:rPr>
        <w:t xml:space="preserve">Generación de ideas para la toma de decisiones.</w:t>
      </w:r>
    </w:p>
    <w:p>
      <w:pPr>
        <w:pStyle w:val="ListParagraph"/>
        <w:numPr>
          <w:ilvl w:val="0"/>
          <w:numId w:val="3"/>
        </w:numPr>
        <w:spacing w:after="90" w:line="290"/>
        <w:jc w:val="both"/>
      </w:pPr>
      <w:r>
        <w:rPr>
          <w:rFonts w:ascii="Calibri" w:cs="Calibri" w:eastAsia="Calibri" w:hAnsi="Calibri"/>
          <w:color w:val="282828"/>
          <w:sz w:val="22"/>
          <w:szCs w:val="22"/>
        </w:rPr>
        <w:t xml:space="preserve">Creación de rúbricas e instrumentos de evaluación.</w:t>
      </w:r>
    </w:p>
    <w:p>
      <w:pPr>
        <w:pStyle w:val="ListParagraph"/>
        <w:numPr>
          <w:ilvl w:val="0"/>
          <w:numId w:val="3"/>
        </w:numPr>
        <w:spacing w:after="90" w:line="290"/>
        <w:jc w:val="both"/>
      </w:pPr>
      <w:r>
        <w:rPr>
          <w:rFonts w:ascii="Calibri" w:cs="Calibri" w:eastAsia="Calibri" w:hAnsi="Calibri"/>
          <w:color w:val="282828"/>
          <w:sz w:val="22"/>
          <w:szCs w:val="22"/>
        </w:rPr>
        <w:t xml:space="preserve">Resúmenes de documentos extensos, sin datos personales.</w:t>
      </w:r>
    </w:p>
    <w:p>
      <w:pPr>
        <w:pStyle w:val="ListParagraph"/>
        <w:numPr>
          <w:ilvl w:val="0"/>
          <w:numId w:val="3"/>
        </w:numPr>
        <w:spacing w:after="90" w:line="290"/>
        <w:jc w:val="both"/>
      </w:pPr>
      <w:r>
        <w:rPr>
          <w:rFonts w:ascii="Calibri" w:cs="Calibri" w:eastAsia="Calibri" w:hAnsi="Calibri"/>
          <w:color w:val="282828"/>
          <w:sz w:val="22"/>
          <w:szCs w:val="22"/>
        </w:rPr>
        <w:t xml:space="preserve">Elaboración de materiales didácticos básicos.</w:t>
      </w:r>
    </w:p>
    <w:p>
      <w:pPr>
        <w:pStyle w:val="Heading2"/>
        <w:spacing w:after="140" w:before="280"/>
      </w:pPr>
      <w:r>
        <w:rPr>
          <w:rFonts w:ascii="Calibri" w:cs="Calibri" w:eastAsia="Calibri" w:hAnsi="Calibri"/>
          <w:b/>
          <w:bCs/>
          <w:color w:val="1F84EB"/>
          <w:sz w:val="26"/>
          <w:szCs w:val="26"/>
        </w:rPr>
        <w:t xml:space="preserve">5.2 Tareas que no deben delegarse en IA</w:t>
      </w:r>
    </w:p>
    <w:p>
      <w:pPr>
        <w:spacing w:after="140" w:line="300"/>
        <w:jc w:val="both"/>
      </w:pPr>
      <w:r>
        <w:rPr>
          <w:rFonts w:ascii="Calibri" w:cs="Calibri" w:eastAsia="Calibri" w:hAnsi="Calibri"/>
          <w:color w:val="282828"/>
          <w:sz w:val="22"/>
          <w:szCs w:val="22"/>
        </w:rPr>
        <w:t xml:space="preserve">Estas decisiones y acciones deben permanecer siempre en manos humanas (Uso ético de la inteligencia artificial, s.f.):</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Zona prohibida</w:t>
            </w:r>
          </w:p>
          <w:p>
            <w:pPr>
              <w:spacing w:after="80" w:line="290"/>
              <w:jc w:val="both"/>
            </w:pPr>
            <w:r>
              <w:rPr>
                <w:rFonts w:ascii="Calibri" w:cs="Calibri" w:eastAsia="Calibri" w:hAnsi="Calibri"/>
                <w:b/>
                <w:bCs/>
                <w:color w:val="282828"/>
                <w:sz w:val="21"/>
                <w:szCs w:val="21"/>
              </w:rPr>
              <w:t xml:space="preserve">Evaluación del desempeño de estudiantes o docentes.</w:t>
            </w:r>
          </w:p>
          <w:p>
            <w:pPr>
              <w:spacing w:after="80" w:line="290"/>
              <w:jc w:val="both"/>
            </w:pPr>
            <w:r>
              <w:rPr>
                <w:rFonts w:ascii="Calibri" w:cs="Calibri" w:eastAsia="Calibri" w:hAnsi="Calibri"/>
                <w:b/>
                <w:bCs/>
                <w:color w:val="282828"/>
                <w:sz w:val="21"/>
                <w:szCs w:val="21"/>
              </w:rPr>
              <w:t xml:space="preserve">Decisiones disciplinarias o de convivencia escolar.</w:t>
            </w:r>
          </w:p>
          <w:p>
            <w:pPr>
              <w:spacing w:after="80" w:line="290"/>
              <w:jc w:val="both"/>
            </w:pPr>
            <w:r>
              <w:rPr>
                <w:rFonts w:ascii="Calibri" w:cs="Calibri" w:eastAsia="Calibri" w:hAnsi="Calibri"/>
                <w:b/>
                <w:bCs/>
                <w:color w:val="282828"/>
                <w:sz w:val="21"/>
                <w:szCs w:val="21"/>
              </w:rPr>
              <w:t xml:space="preserve">Comunicación sensible con familias o la comunidad.</w:t>
            </w:r>
          </w:p>
          <w:p>
            <w:pPr>
              <w:spacing w:after="80" w:line="290"/>
              <w:jc w:val="both"/>
            </w:pPr>
            <w:r>
              <w:rPr>
                <w:rFonts w:ascii="Calibri" w:cs="Calibri" w:eastAsia="Calibri" w:hAnsi="Calibri"/>
                <w:b/>
                <w:bCs/>
                <w:color w:val="282828"/>
                <w:sz w:val="21"/>
                <w:szCs w:val="21"/>
              </w:rPr>
              <w:t xml:space="preserve">Análisis de datos personales o información confidencial.</w:t>
            </w:r>
          </w:p>
          <w:p>
            <w:pPr>
              <w:spacing w:after="80" w:line="290"/>
              <w:jc w:val="both"/>
            </w:pPr>
            <w:r>
              <w:rPr>
                <w:rFonts w:ascii="Calibri" w:cs="Calibri" w:eastAsia="Calibri" w:hAnsi="Calibri"/>
                <w:b/>
                <w:bCs/>
                <w:color w:val="282828"/>
                <w:sz w:val="21"/>
                <w:szCs w:val="21"/>
              </w:rPr>
              <w:t xml:space="preserve">Diagnóstico o intervención en casos de vulneración de derechos.</w:t>
            </w:r>
          </w:p>
          <w:p>
            <w:pPr>
              <w:spacing w:after="80" w:line="290"/>
              <w:jc w:val="both"/>
            </w:pPr>
            <w:r>
              <w:rPr>
                <w:rFonts w:ascii="Calibri" w:cs="Calibri" w:eastAsia="Calibri" w:hAnsi="Calibri"/>
                <w:b/>
                <w:bCs/>
                <w:color w:val="282828"/>
                <w:sz w:val="21"/>
                <w:szCs w:val="21"/>
              </w:rPr>
              <w:t xml:space="preserve">Planificación estratégica institucional completa.</w:t>
            </w:r>
          </w:p>
          <w:p>
            <w:pPr>
              <w:spacing w:after="80" w:line="290"/>
              <w:jc w:val="both"/>
            </w:pPr>
            <w:r>
              <w:rPr>
                <w:rFonts w:ascii="Calibri" w:cs="Calibri" w:eastAsia="Calibri" w:hAnsi="Calibri"/>
                <w:color w:val="282828"/>
                <w:sz w:val="21"/>
                <w:szCs w:val="21"/>
              </w:rPr>
              <w:t xml:space="preserve">La razón común a las seis: en todas ellas la calidad de la decisión depende del conocimiento del contexto, de la relación con las personas involucradas y de la responsabilidad de quien firma. Ninguno de esos tres elementos puede transferirse a un sistema automático.</w:t>
            </w:r>
          </w:p>
        </w:tc>
      </w:tr>
    </w:tbl>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5.3 La zona intermedia y cómo resolverla</w:t>
      </w:r>
    </w:p>
    <w:p>
      <w:pPr>
        <w:spacing w:after="140" w:line="300"/>
        <w:jc w:val="both"/>
      </w:pPr>
      <w:r>
        <w:rPr>
          <w:rFonts w:ascii="Calibri" w:cs="Calibri" w:eastAsia="Calibri" w:hAnsi="Calibri"/>
          <w:color w:val="282828"/>
          <w:sz w:val="22"/>
          <w:szCs w:val="22"/>
        </w:rPr>
        <w:t xml:space="preserve">Muchas tareas reales no caen limpiamente en ninguna de las dos listas. Un informe de convivencia escolar, por ejemplo, contiene datos sensibles pero también secciones descriptivas y de contexto normativo. La regla operativa es dividir la tarea:</w:t>
      </w:r>
    </w:p>
    <w:p>
      <w:pPr>
        <w:pStyle w:val="ListParagraph"/>
        <w:numPr>
          <w:ilvl w:val="0"/>
          <w:numId w:val="2"/>
        </w:numPr>
        <w:spacing w:after="90" w:line="290"/>
        <w:jc w:val="both"/>
      </w:pPr>
      <w:r>
        <w:rPr>
          <w:rFonts w:ascii="Calibri" w:cs="Calibri" w:eastAsia="Calibri" w:hAnsi="Calibri"/>
          <w:color w:val="282828"/>
          <w:sz w:val="22"/>
          <w:szCs w:val="22"/>
        </w:rPr>
        <w:t xml:space="preserve">Separar la parte que contiene datos personales de la parte que no los contiene.</w:t>
      </w:r>
    </w:p>
    <w:p>
      <w:pPr>
        <w:pStyle w:val="ListParagraph"/>
        <w:numPr>
          <w:ilvl w:val="0"/>
          <w:numId w:val="2"/>
        </w:numPr>
        <w:spacing w:after="90" w:line="290"/>
        <w:jc w:val="both"/>
      </w:pPr>
      <w:r>
        <w:rPr>
          <w:rFonts w:ascii="Calibri" w:cs="Calibri" w:eastAsia="Calibri" w:hAnsi="Calibri"/>
          <w:color w:val="282828"/>
          <w:sz w:val="22"/>
          <w:szCs w:val="22"/>
        </w:rPr>
        <w:t xml:space="preserve">Usar IA únicamente para la segunda parte: estructura, marco normativo, redacción de secciones generales.</w:t>
      </w:r>
    </w:p>
    <w:p>
      <w:pPr>
        <w:pStyle w:val="ListParagraph"/>
        <w:numPr>
          <w:ilvl w:val="0"/>
          <w:numId w:val="2"/>
        </w:numPr>
        <w:spacing w:after="90" w:line="290"/>
        <w:jc w:val="both"/>
      </w:pPr>
      <w:r>
        <w:rPr>
          <w:rFonts w:ascii="Calibri" w:cs="Calibri" w:eastAsia="Calibri" w:hAnsi="Calibri"/>
          <w:color w:val="282828"/>
          <w:sz w:val="22"/>
          <w:szCs w:val="22"/>
        </w:rPr>
        <w:t xml:space="preserve">Redactar personalmente los apartados con información identificable.</w:t>
      </w:r>
    </w:p>
    <w:p>
      <w:pPr>
        <w:pStyle w:val="ListParagraph"/>
        <w:numPr>
          <w:ilvl w:val="0"/>
          <w:numId w:val="2"/>
        </w:numPr>
        <w:spacing w:after="90" w:line="290"/>
        <w:jc w:val="both"/>
      </w:pPr>
      <w:r>
        <w:rPr>
          <w:rFonts w:ascii="Calibri" w:cs="Calibri" w:eastAsia="Calibri" w:hAnsi="Calibri"/>
          <w:color w:val="282828"/>
          <w:sz w:val="22"/>
          <w:szCs w:val="22"/>
        </w:rPr>
        <w:t xml:space="preserve">Integrar, revisar la coherencia del conjunto y firmar como autor responsable.</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6. Protocolo de anonimización</w:t>
      </w:r>
    </w:p>
    <w:p>
      <w:pPr>
        <w:spacing w:after="140" w:line="300"/>
        <w:jc w:val="both"/>
      </w:pPr>
      <w:r>
        <w:rPr>
          <w:rFonts w:ascii="Calibri" w:cs="Calibri" w:eastAsia="Calibri" w:hAnsi="Calibri"/>
          <w:color w:val="282828"/>
          <w:sz w:val="22"/>
          <w:szCs w:val="22"/>
        </w:rPr>
        <w:t xml:space="preserve">La mayoría de las consultas útiles para la gestión escolar pueden formularse sin exponer un solo dato personal. Lo que sigue es un procedimiento práctico, aplicable a los casos más frecuentes en los establecimientos del territorio.</w:t>
      </w:r>
    </w:p>
    <w:p>
      <w:pPr>
        <w:pStyle w:val="Heading2"/>
        <w:spacing w:after="140" w:before="280"/>
      </w:pPr>
      <w:r>
        <w:rPr>
          <w:rFonts w:ascii="Calibri" w:cs="Calibri" w:eastAsia="Calibri" w:hAnsi="Calibri"/>
          <w:b/>
          <w:bCs/>
          <w:color w:val="1F84EB"/>
          <w:sz w:val="26"/>
          <w:szCs w:val="26"/>
        </w:rPr>
        <w:t xml:space="preserve">6.1 Qué debe eliminarse siempre</w:t>
      </w:r>
    </w:p>
    <w:p>
      <w:pPr>
        <w:spacing w:after="40" w:before="240"/>
      </w:pPr>
      <w:r>
        <w:rPr>
          <w:rFonts w:ascii="Calibri" w:cs="Calibri" w:eastAsia="Calibri" w:hAnsi="Calibri"/>
          <w:b/>
          <w:bCs/>
          <w:color w:val="282828"/>
          <w:sz w:val="20"/>
          <w:szCs w:val="20"/>
        </w:rPr>
        <w:t xml:space="preserve">Tabla 11</w:t>
      </w:r>
    </w:p>
    <w:p>
      <w:pPr>
        <w:spacing w:after="110"/>
      </w:pPr>
      <w:r>
        <w:rPr>
          <w:rFonts w:ascii="Calibri" w:cs="Calibri" w:eastAsia="Calibri" w:hAnsi="Calibri"/>
          <w:i/>
          <w:iCs/>
          <w:color w:val="282828"/>
          <w:sz w:val="20"/>
          <w:szCs w:val="20"/>
        </w:rPr>
        <w:t xml:space="preserve">Datos que no deben ingresarse a plataformas de IA generativa de uso público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4200"/>
        <w:gridCol w:w="30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Categoría</w:t>
            </w:r>
          </w:p>
        </w:tc>
        <w:tc>
          <w:tcPr>
            <w:tcW w:type="dxa" w:w="4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Ejemplos</w:t>
            </w:r>
          </w:p>
        </w:tc>
        <w:tc>
          <w:tcPr>
            <w:tcW w:type="dxa" w:w="30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Reemplazo sugerido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Identificadores directos</w:t>
            </w:r>
          </w:p>
        </w:tc>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Nombre y apellidos, RUT, número de matrícula, correo institucional del estudiante.</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“Estudiante A”, “Estudiante B”.</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Identificadores indirectos</w:t>
            </w:r>
          </w:p>
        </w:tc>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Curso y letra, nombre del establecimiento, nombre del profesor jefe, dirección del hogar.</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“Un curso de segundo ciclo básico”, “un establecimiento urbano del territorio”.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 sensibles</w:t>
            </w:r>
          </w:p>
        </w:tc>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Diagnósticos de salud, informes psicológicos, situación socioeconómica, pertenencia a programas sociales, situación migratoria.</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Omitir por completo o describir de forma genérica solo si es indispensable.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 de terceros</w:t>
            </w:r>
          </w:p>
        </w:tc>
        <w:tc>
          <w:tcPr>
            <w:tcW w:type="dxa" w:w="4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Nombres de apoderados, antecedentes de la familia, datos de funcionarios.</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apoderado”, “un asistente de la educación”.</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Documentos completos</w:t>
            </w:r>
          </w:p>
        </w:tc>
        <w:tc>
          <w:tcPr>
            <w:tcW w:type="dxa" w:w="4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Actas, informes psicosociales, expedientes, planillas con nóminas.</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Extraer solo el fragmento estrictamente necesario, ya anonimizado.</w:t>
            </w:r>
          </w:p>
        </w:tc>
      </w:tr>
    </w:tbl>
    <w:p>
      <w:pPr>
        <w:spacing w:after="200" w:before="60"/>
      </w:pPr>
      <w:r>
        <w:rPr>
          <w:rFonts w:ascii="Calibri" w:cs="Calibri" w:eastAsia="Calibri" w:hAnsi="Calibri"/>
          <w:i/>
          <w:iCs/>
          <w:color w:val="5A5A5A"/>
          <w:sz w:val="18"/>
          <w:szCs w:val="18"/>
        </w:rPr>
        <w:t xml:space="preserve">Nota. Elaboración propia a partir de el material de formación recibido (Uso ético de la inteligencia artificial, s.f.), Ley N.º 19.628 (1999) y Ley N.º 21.719 (2024).</w:t>
      </w:r>
    </w:p>
    <w:p>
      <w:pPr>
        <w:pStyle w:val="Heading2"/>
        <w:spacing w:after="140" w:before="280"/>
      </w:pPr>
      <w:r>
        <w:rPr>
          <w:rFonts w:ascii="Calibri" w:cs="Calibri" w:eastAsia="Calibri" w:hAnsi="Calibri"/>
          <w:b/>
          <w:bCs/>
          <w:color w:val="1F84EB"/>
          <w:sz w:val="26"/>
          <w:szCs w:val="26"/>
        </w:rPr>
        <w:t xml:space="preserve">6.2 Ejemplo aplicado</w:t>
      </w:r>
    </w:p>
    <w:p>
      <w:pPr>
        <w:spacing w:after="140" w:line="300"/>
        <w:jc w:val="both"/>
      </w:pPr>
      <w:r>
        <w:rPr>
          <w:rFonts w:ascii="Calibri" w:cs="Calibri" w:eastAsia="Calibri" w:hAnsi="Calibri"/>
          <w:color w:val="282828"/>
          <w:sz w:val="22"/>
          <w:szCs w:val="22"/>
        </w:rPr>
        <w:t xml:space="preserve">El siguiente par de consultas ilustra la diferencia entre una formulación que vulnera la normativa y una equivalente que resuelve la misma necesidad sin exponer información.</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Formulación incorrecta (no debe usarse)</w:t>
            </w:r>
          </w:p>
          <w:p>
            <w:pPr>
              <w:spacing w:after="100" w:line="280"/>
            </w:pPr>
            <w:r>
              <w:rPr>
                <w:rFonts w:ascii="Consolas" w:cs="Consolas" w:eastAsia="Consolas" w:hAnsi="Consolas"/>
                <w:color w:val="1F3864"/>
                <w:sz w:val="18"/>
                <w:szCs w:val="18"/>
              </w:rPr>
              <w:t xml:space="preserve">Tengo un estudiante, Matías González, de 6° B de la Escuela [nombre], con diagnóstico de TDAH y cuyo apoderado no asiste a las reuniones. Ayúdame a redactar un informe para derivarlo a la dupla psicosocial.</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Expone nombre, curso, establecimiento, diagnóstico de salud y antecedentes familiares. Cada uno de esos elementos es un dato personal y el diagnóstico es un dato sensible bajo la Ley N.º 19.628.</w:t>
            </w:r>
          </w:p>
        </w:tc>
      </w:tr>
    </w:tbl>
    <w:p>
      <w:pPr>
        <w:spacing w:after="14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Formulación correcta</w:t>
            </w:r>
          </w:p>
          <w:p>
            <w:pPr>
              <w:spacing w:after="100" w:line="280"/>
            </w:pPr>
            <w:r>
              <w:rPr>
                <w:rFonts w:ascii="Consolas" w:cs="Consolas" w:eastAsia="Consolas" w:hAnsi="Consolas"/>
                <w:color w:val="1F3864"/>
                <w:sz w:val="18"/>
                <w:szCs w:val="18"/>
              </w:rPr>
              <w:t xml:space="preserve">Actúa como jefe de UTP de un establecimiento de educación pública chileno. Necesito la estructura de un informe de derivación a dupla psicosocial para un estudiante de segundo ciclo básico con dificultades de atención en clases y baja participación de la familia en instancias formales. Indícame qué secciones debe contener el informe, qué antecedentes objetivos debo recopilar en cada una y qué lenguaje corresponde usar para no emitir juicios ni diagnósticos. No inventes datos: deja los campos como espacios a completar.</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Obtiene exactamente el mismo apoyo profesional —la estructura del documento— sin entregar un solo dato identificable. Los antecedentes del caso los completa el equipo directamente en el archivo institucional.</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7. Verificación: el trabajo que no se puede saltar</w:t>
      </w:r>
    </w:p>
    <w:p>
      <w:pPr>
        <w:pStyle w:val="Heading2"/>
        <w:spacing w:after="140" w:before="280"/>
      </w:pPr>
      <w:r>
        <w:rPr>
          <w:rFonts w:ascii="Calibri" w:cs="Calibri" w:eastAsia="Calibri" w:hAnsi="Calibri"/>
          <w:b/>
          <w:bCs/>
          <w:color w:val="1F84EB"/>
          <w:sz w:val="26"/>
          <w:szCs w:val="26"/>
        </w:rPr>
        <w:t xml:space="preserve">7.1 Por qué la IA se equivoca con seguridad</w:t>
      </w:r>
    </w:p>
    <w:p>
      <w:pPr>
        <w:spacing w:after="140" w:line="300"/>
        <w:jc w:val="both"/>
      </w:pPr>
      <w:r>
        <w:rPr>
          <w:rFonts w:ascii="Calibri" w:cs="Calibri" w:eastAsia="Calibri" w:hAnsi="Calibri"/>
          <w:color w:val="282828"/>
          <w:sz w:val="22"/>
          <w:szCs w:val="22"/>
        </w:rPr>
        <w:t xml:space="preserve">Los modelos de lenguaje determinan el resultado más probable al requerimiento establecido por el usuario, construyendo las respuestas de forma encadenada a partir de patrones y relaciones aprendidas (Ministerio de Educación de Chile, 2025). Producir el texto más probable no es lo mismo que producir el texto verdadero. De ahí que estas herramientas puedan generar con total fluidez una cita normativa inexistente, una cifra equivocada o una atribución falsa.</w:t>
      </w:r>
    </w:p>
    <w:p>
      <w:pPr>
        <w:spacing w:after="140" w:line="300"/>
        <w:jc w:val="both"/>
      </w:pPr>
      <w:r>
        <w:rPr>
          <w:rFonts w:ascii="Calibri" w:cs="Calibri" w:eastAsia="Calibri" w:hAnsi="Calibri"/>
          <w:color w:val="282828"/>
          <w:sz w:val="22"/>
          <w:szCs w:val="22"/>
        </w:rPr>
        <w:t xml:space="preserve">El riesgo es mayor precisamente donde más se necesita precisión: números de decretos, artículos de reglamentos internos, plazos administrativos, estadísticas territoriales y citas bibliográficas.</w:t>
      </w:r>
    </w:p>
    <w:p>
      <w:pPr>
        <w:pStyle w:val="Heading2"/>
        <w:spacing w:after="140" w:before="280"/>
      </w:pPr>
      <w:r>
        <w:rPr>
          <w:rFonts w:ascii="Calibri" w:cs="Calibri" w:eastAsia="Calibri" w:hAnsi="Calibri"/>
          <w:b/>
          <w:bCs/>
          <w:color w:val="1F84EB"/>
          <w:sz w:val="26"/>
          <w:szCs w:val="26"/>
        </w:rPr>
        <w:t xml:space="preserve">7.2 Protocolo de verificación en cuatro pasos</w:t>
      </w:r>
    </w:p>
    <w:p>
      <w:pPr>
        <w:pStyle w:val="ListParagraph"/>
        <w:numPr>
          <w:ilvl w:val="0"/>
          <w:numId w:val="2"/>
        </w:numPr>
        <w:spacing w:after="90" w:line="290"/>
        <w:jc w:val="both"/>
      </w:pPr>
      <w:r>
        <w:rPr>
          <w:rFonts w:ascii="Calibri" w:cs="Calibri" w:eastAsia="Calibri" w:hAnsi="Calibri"/>
          <w:color w:val="282828"/>
          <w:sz w:val="22"/>
          <w:szCs w:val="22"/>
        </w:rPr>
        <w:t xml:space="preserve">Datos y cifras: contrastar con la fuente oficial. Ninguna estadística generada por IA se publica sin verificación en la fuente primaria.</w:t>
      </w:r>
    </w:p>
    <w:p>
      <w:pPr>
        <w:pStyle w:val="ListParagraph"/>
        <w:numPr>
          <w:ilvl w:val="0"/>
          <w:numId w:val="2"/>
        </w:numPr>
        <w:spacing w:after="90" w:line="290"/>
        <w:jc w:val="both"/>
      </w:pPr>
      <w:r>
        <w:rPr>
          <w:rFonts w:ascii="Calibri" w:cs="Calibri" w:eastAsia="Calibri" w:hAnsi="Calibri"/>
          <w:color w:val="282828"/>
          <w:sz w:val="22"/>
          <w:szCs w:val="22"/>
        </w:rPr>
        <w:t xml:space="preserve">Referencias normativas: revisar cada norma citada en la Biblioteca del Congreso Nacional o en el sitio del Ministerio. Si la norma no aparece, no existe.</w:t>
      </w:r>
    </w:p>
    <w:p>
      <w:pPr>
        <w:pStyle w:val="ListParagraph"/>
        <w:numPr>
          <w:ilvl w:val="0"/>
          <w:numId w:val="2"/>
        </w:numPr>
        <w:spacing w:after="90" w:line="290"/>
        <w:jc w:val="both"/>
      </w:pPr>
      <w:r>
        <w:rPr>
          <w:rFonts w:ascii="Calibri" w:cs="Calibri" w:eastAsia="Calibri" w:hAnsi="Calibri"/>
          <w:color w:val="282828"/>
          <w:sz w:val="22"/>
          <w:szCs w:val="22"/>
        </w:rPr>
        <w:t xml:space="preserve">Pertinencia contextual: evaluar si la respuesta corresponde al sistema educativo chileno. Los modelos tienden a incorporar terminología y estructuras de otros países.</w:t>
      </w:r>
    </w:p>
    <w:p>
      <w:pPr>
        <w:pStyle w:val="ListParagraph"/>
        <w:numPr>
          <w:ilvl w:val="0"/>
          <w:numId w:val="2"/>
        </w:numPr>
        <w:spacing w:after="90" w:line="290"/>
        <w:jc w:val="both"/>
      </w:pPr>
      <w:r>
        <w:rPr>
          <w:rFonts w:ascii="Calibri" w:cs="Calibri" w:eastAsia="Calibri" w:hAnsi="Calibri"/>
          <w:color w:val="282828"/>
          <w:sz w:val="22"/>
          <w:szCs w:val="22"/>
        </w:rPr>
        <w:t xml:space="preserve">Sesgos y representatividad: revisar si el texto reproduce estereotipos de género, socioeconómicos o territoriales, o si invisibiliza la realidad rural del territorio.</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Preguntas de verificación sugeridas por el Ministerio</w:t>
            </w:r>
          </w:p>
          <w:p>
            <w:pPr>
              <w:spacing w:after="80" w:line="290"/>
              <w:jc w:val="both"/>
            </w:pPr>
            <w:r>
              <w:rPr>
                <w:rFonts w:ascii="Calibri" w:cs="Calibri" w:eastAsia="Calibri" w:hAnsi="Calibri"/>
                <w:color w:val="282828"/>
                <w:sz w:val="21"/>
                <w:szCs w:val="21"/>
              </w:rPr>
              <w:t xml:space="preserve">¿La respuesta que nos da es precisa?</w:t>
            </w:r>
          </w:p>
          <w:p>
            <w:pPr>
              <w:spacing w:after="80" w:line="290"/>
              <w:jc w:val="both"/>
            </w:pPr>
            <w:r>
              <w:rPr>
                <w:rFonts w:ascii="Calibri" w:cs="Calibri" w:eastAsia="Calibri" w:hAnsi="Calibri"/>
                <w:color w:val="282828"/>
                <w:sz w:val="21"/>
                <w:szCs w:val="21"/>
              </w:rPr>
              <w:t xml:space="preserve">¿Cómo podemos comprobar la veracidad o exactitud de la información?</w:t>
            </w:r>
          </w:p>
          <w:p>
            <w:pPr>
              <w:spacing w:after="80" w:line="290"/>
              <w:jc w:val="both"/>
            </w:pPr>
            <w:r>
              <w:rPr>
                <w:rFonts w:ascii="Calibri" w:cs="Calibri" w:eastAsia="Calibri" w:hAnsi="Calibri"/>
                <w:color w:val="282828"/>
                <w:sz w:val="21"/>
                <w:szCs w:val="21"/>
              </w:rPr>
              <w:t xml:space="preserve">¿La respuesta es correcta en cualquier contexto?</w:t>
            </w:r>
          </w:p>
          <w:p>
            <w:pPr>
              <w:spacing w:after="80" w:line="290"/>
              <w:jc w:val="both"/>
            </w:pPr>
            <w:r>
              <w:rPr>
                <w:rFonts w:ascii="Calibri" w:cs="Calibri" w:eastAsia="Calibri" w:hAnsi="Calibri"/>
                <w:color w:val="282828"/>
                <w:sz w:val="21"/>
                <w:szCs w:val="21"/>
              </w:rPr>
              <w:t xml:space="preserve">¿La respuesta reproduce estereotipos?</w:t>
            </w:r>
          </w:p>
        </w:tc>
      </w:tr>
    </w:tbl>
    <w:p>
      <w:pPr>
        <w:spacing w:after="200" w:before="60"/>
      </w:pPr>
      <w:r>
        <w:rPr>
          <w:rFonts w:ascii="Calibri" w:cs="Calibri" w:eastAsia="Calibri" w:hAnsi="Calibri"/>
          <w:i/>
          <w:iCs/>
          <w:color w:val="5A5A5A"/>
          <w:sz w:val="18"/>
          <w:szCs w:val="18"/>
        </w:rPr>
        <w:t xml:space="preserve">Nota. Preguntas tomadas de Ministerio de Educación de Chile (2023).</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8. Transparencia: cómo declarar el uso de IA</w:t>
      </w:r>
    </w:p>
    <w:p>
      <w:pPr>
        <w:spacing w:after="140" w:line="300"/>
        <w:jc w:val="both"/>
      </w:pPr>
      <w:r>
        <w:rPr>
          <w:rFonts w:ascii="Calibri" w:cs="Calibri" w:eastAsia="Calibri" w:hAnsi="Calibri"/>
          <w:color w:val="282828"/>
          <w:sz w:val="22"/>
          <w:szCs w:val="22"/>
        </w:rPr>
        <w:t xml:space="preserve">Si un documento fue generado con IA, debe informarse (Uso ético de la inteligencia artificial, s.f.). La transparencia no debilita el documento: lo fortalece, porque explicita que hubo revisión profesional y que alguien asume la autoría de las decisiones contenidas en él.</w:t>
      </w:r>
    </w:p>
    <w:p>
      <w:pPr>
        <w:pStyle w:val="Heading2"/>
        <w:spacing w:after="140" w:before="280"/>
      </w:pPr>
      <w:r>
        <w:rPr>
          <w:rFonts w:ascii="Calibri" w:cs="Calibri" w:eastAsia="Calibri" w:hAnsi="Calibri"/>
          <w:b/>
          <w:bCs/>
          <w:color w:val="1F84EB"/>
          <w:sz w:val="26"/>
          <w:szCs w:val="26"/>
        </w:rPr>
        <w:t xml:space="preserve">8.1 Fórmulas de declaración según el tipo de documento</w:t>
      </w:r>
    </w:p>
    <w:p>
      <w:pPr>
        <w:spacing w:after="40" w:before="240"/>
      </w:pPr>
      <w:r>
        <w:rPr>
          <w:rFonts w:ascii="Calibri" w:cs="Calibri" w:eastAsia="Calibri" w:hAnsi="Calibri"/>
          <w:b/>
          <w:bCs/>
          <w:color w:val="282828"/>
          <w:sz w:val="20"/>
          <w:szCs w:val="20"/>
        </w:rPr>
        <w:t xml:space="preserve">Tabla 12</w:t>
      </w:r>
    </w:p>
    <w:p>
      <w:pPr>
        <w:spacing w:after="110"/>
      </w:pPr>
      <w:r>
        <w:rPr>
          <w:rFonts w:ascii="Calibri" w:cs="Calibri" w:eastAsia="Calibri" w:hAnsi="Calibri"/>
          <w:i/>
          <w:iCs/>
          <w:color w:val="282828"/>
          <w:sz w:val="20"/>
          <w:szCs w:val="20"/>
        </w:rPr>
        <w:t xml:space="preserve">Modelos de declaración de uso de IA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700"/>
        <w:gridCol w:w="2400"/>
        <w:gridCol w:w="4260"/>
      </w:tblGrid>
      <w:tr>
        <w:trPr>
          <w:tblHeader/>
        </w:trPr>
        <w:tc>
          <w:tcPr>
            <w:tcW w:type="dxa" w:w="2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Tipo de documento</w:t>
            </w:r>
          </w:p>
        </w:tc>
        <w:tc>
          <w:tcPr>
            <w:tcW w:type="dxa" w:w="2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Nivel de uso</w:t>
            </w:r>
          </w:p>
        </w:tc>
        <w:tc>
          <w:tcPr>
            <w:tcW w:type="dxa" w:w="4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Fórmula sugerida</w:t>
            </w:r>
          </w:p>
        </w:tc>
      </w:tr>
      <w:tr>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Documento institucional interno (minutas, actas, informes de gestión)</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Borrador generado con IA y editado</w:t>
            </w:r>
          </w:p>
        </w:tc>
        <w:tc>
          <w:tcPr>
            <w:tcW w:type="dxa" w:w="4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“Versión preliminar elaborada con apoyo de inteligencia artificial generativa. Contenido revisado, corregido y validado por [cargo].”</w:t>
            </w:r>
          </w:p>
        </w:tc>
      </w:tr>
      <w:tr>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Material didáctico para estudiantes</w:t>
            </w:r>
          </w:p>
        </w:tc>
        <w:tc>
          <w:tcPr>
            <w:tcW w:type="dxa" w:w="2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Contenido generado y adaptado</w:t>
            </w:r>
          </w:p>
        </w:tc>
        <w:tc>
          <w:tcPr>
            <w:tcW w:type="dxa" w:w="4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“Material elaborado con apoyo de herramientas de inteligencia artificial y adaptado por el equipo docente de la asignatura.”</w:t>
            </w:r>
          </w:p>
        </w:tc>
      </w:tr>
      <w:tr>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Comunicación oficial a familias</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Solo apoyo en redacción o simplificación de lenguaje</w:t>
            </w:r>
          </w:p>
        </w:tc>
        <w:tc>
          <w:tcPr>
            <w:tcW w:type="dxa" w:w="4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“Texto redactado por el equipo directivo, con apoyo de herramientas digitales para la revisión de claridad y lenguaje.”</w:t>
            </w:r>
          </w:p>
        </w:tc>
      </w:tr>
      <w:tr>
        <w:tc>
          <w:tcPr>
            <w:tcW w:type="dxa" w:w="2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Instrumento de evaluación</w:t>
            </w:r>
          </w:p>
        </w:tc>
        <w:tc>
          <w:tcPr>
            <w:tcW w:type="dxa" w:w="2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Rúbrica o ítems generados con IA</w:t>
            </w:r>
          </w:p>
        </w:tc>
        <w:tc>
          <w:tcPr>
            <w:tcW w:type="dxa" w:w="4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“Instrumento construido con apoyo de inteligencia artificial y validado por el equipo técnico-pedagógico del establecimiento.”</w:t>
            </w:r>
          </w:p>
        </w:tc>
      </w:tr>
      <w:tr>
        <w:tc>
          <w:tcPr>
            <w:tcW w:type="dxa" w:w="2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Documento con imagen generada por IA</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Recurso visual sintético</w:t>
            </w:r>
          </w:p>
        </w:tc>
        <w:tc>
          <w:tcPr>
            <w:tcW w:type="dxa" w:w="4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“Imagen generada mediante inteligencia artificial. Se advierte que estas herramientas pueden reproducir sesgos en la representación de personas.”</w:t>
            </w:r>
          </w:p>
        </w:tc>
      </w:tr>
    </w:tbl>
    <w:p>
      <w:pPr>
        <w:spacing w:after="200" w:before="60"/>
      </w:pPr>
      <w:r>
        <w:rPr>
          <w:rFonts w:ascii="Calibri" w:cs="Calibri" w:eastAsia="Calibri" w:hAnsi="Calibri"/>
          <w:i/>
          <w:iCs/>
          <w:color w:val="5A5A5A"/>
          <w:sz w:val="18"/>
          <w:szCs w:val="18"/>
        </w:rPr>
        <w:t xml:space="preserve">Nota. Elaboración propia. La última fórmula se inspira en la advertencia editorial de Educ.ar (2025) sobre el uso de imágenes generadas con IA.</w:t>
      </w:r>
    </w:p>
    <w:p>
      <w:pPr>
        <w:pStyle w:val="Heading2"/>
        <w:spacing w:after="140" w:before="280"/>
      </w:pPr>
      <w:r>
        <w:rPr>
          <w:rFonts w:ascii="Calibri" w:cs="Calibri" w:eastAsia="Calibri" w:hAnsi="Calibri"/>
          <w:b/>
          <w:bCs/>
          <w:color w:val="1F84EB"/>
          <w:sz w:val="26"/>
          <w:szCs w:val="26"/>
        </w:rPr>
        <w:t xml:space="preserve">8.2 Lo que la declaración no reemplaza</w:t>
      </w:r>
    </w:p>
    <w:p>
      <w:pPr>
        <w:spacing w:after="140" w:line="300"/>
        <w:jc w:val="both"/>
      </w:pPr>
      <w:r>
        <w:rPr>
          <w:rFonts w:ascii="Calibri" w:cs="Calibri" w:eastAsia="Calibri" w:hAnsi="Calibri"/>
          <w:color w:val="282828"/>
          <w:sz w:val="22"/>
          <w:szCs w:val="22"/>
        </w:rPr>
        <w:t xml:space="preserve">Declarar el uso de IA no traslada la responsabilidad a la herramienta. Quien firma el documento responde íntegramente por su contenido, incluidos los errores que la IA haya introducido y que la revisión no haya detectado. La declaración informa; la responsabilidad permanece.</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9. Protocolo institucional y uso estudiantil</w:t>
      </w:r>
    </w:p>
    <w:p>
      <w:pPr>
        <w:pStyle w:val="Heading2"/>
        <w:spacing w:after="140" w:before="280"/>
      </w:pPr>
      <w:r>
        <w:rPr>
          <w:rFonts w:ascii="Calibri" w:cs="Calibri" w:eastAsia="Calibri" w:hAnsi="Calibri"/>
          <w:b/>
          <w:bCs/>
          <w:color w:val="1F84EB"/>
          <w:sz w:val="26"/>
          <w:szCs w:val="26"/>
        </w:rPr>
        <w:t xml:space="preserve">9.1 Construcción participativa del protocolo</w:t>
      </w:r>
    </w:p>
    <w:p>
      <w:pPr>
        <w:spacing w:after="140" w:line="300"/>
        <w:jc w:val="both"/>
      </w:pPr>
      <w:r>
        <w:rPr>
          <w:rFonts w:ascii="Calibri" w:cs="Calibri" w:eastAsia="Calibri" w:hAnsi="Calibri"/>
          <w:color w:val="282828"/>
          <w:sz w:val="22"/>
          <w:szCs w:val="22"/>
        </w:rPr>
        <w:t xml:space="preserve">EduCaixa (2024) documentó el acompañamiento a cuatro centros educativos durante un curso completo en la elaboración de un protocolo institucional sobre IA. Su conclusión central es que el protocolo no puede redactarse en una oficina y distribuirse: debe construirse con la comunidad, partiendo del diagnóstico del uso real que ya existe. La misma lógica sostiene la elaboración participativa de los instrumentos de gestión escolar chilenos, orientada a comunidades más cohesionadas y comprometidas con metas de mejora comunes (Ministerio de Educación de Chile, 2018b).</w:t>
      </w:r>
    </w:p>
    <w:p>
      <w:pPr>
        <w:pStyle w:val="Heading3"/>
        <w:spacing w:after="110" w:before="220"/>
      </w:pPr>
      <w:r>
        <w:rPr>
          <w:rFonts w:ascii="Calibri" w:cs="Calibri" w:eastAsia="Calibri" w:hAnsi="Calibri"/>
          <w:b/>
          <w:bCs/>
          <w:color w:val="282828"/>
          <w:sz w:val="23"/>
          <w:szCs w:val="23"/>
        </w:rPr>
        <w:t xml:space="preserve">Contenidos mínimos del protocolo</w:t>
      </w:r>
    </w:p>
    <w:p>
      <w:pPr>
        <w:pStyle w:val="ListParagraph"/>
        <w:numPr>
          <w:ilvl w:val="0"/>
          <w:numId w:val="2"/>
        </w:numPr>
        <w:spacing w:after="90" w:line="290"/>
        <w:jc w:val="both"/>
      </w:pPr>
      <w:r>
        <w:rPr>
          <w:rFonts w:ascii="Calibri" w:cs="Calibri" w:eastAsia="Calibri" w:hAnsi="Calibri"/>
          <w:color w:val="282828"/>
          <w:sz w:val="22"/>
          <w:szCs w:val="22"/>
        </w:rPr>
        <w:t xml:space="preserve">Alcance: a quiénes aplica —directivos, docentes, asistentes de la educación, estudiantes— y en qué actividades.</w:t>
      </w:r>
    </w:p>
    <w:p>
      <w:pPr>
        <w:pStyle w:val="ListParagraph"/>
        <w:numPr>
          <w:ilvl w:val="0"/>
          <w:numId w:val="2"/>
        </w:numPr>
        <w:spacing w:after="90" w:line="290"/>
        <w:jc w:val="both"/>
      </w:pPr>
      <w:r>
        <w:rPr>
          <w:rFonts w:ascii="Calibri" w:cs="Calibri" w:eastAsia="Calibri" w:hAnsi="Calibri"/>
          <w:color w:val="282828"/>
          <w:sz w:val="22"/>
          <w:szCs w:val="22"/>
        </w:rPr>
        <w:t xml:space="preserve">Herramientas autorizadas y no autorizadas, con revisión periódica del listado.</w:t>
      </w:r>
    </w:p>
    <w:p>
      <w:pPr>
        <w:pStyle w:val="ListParagraph"/>
        <w:numPr>
          <w:ilvl w:val="0"/>
          <w:numId w:val="2"/>
        </w:numPr>
        <w:spacing w:after="90" w:line="290"/>
        <w:jc w:val="both"/>
      </w:pPr>
      <w:r>
        <w:rPr>
          <w:rFonts w:ascii="Calibri" w:cs="Calibri" w:eastAsia="Calibri" w:hAnsi="Calibri"/>
          <w:color w:val="282828"/>
          <w:sz w:val="22"/>
          <w:szCs w:val="22"/>
        </w:rPr>
        <w:t xml:space="preserve">Reglas de protección de datos: qué información nunca se ingresa y cómo se anonimiza.</w:t>
      </w:r>
    </w:p>
    <w:p>
      <w:pPr>
        <w:pStyle w:val="ListParagraph"/>
        <w:numPr>
          <w:ilvl w:val="0"/>
          <w:numId w:val="2"/>
        </w:numPr>
        <w:spacing w:after="90" w:line="290"/>
        <w:jc w:val="both"/>
      </w:pPr>
      <w:r>
        <w:rPr>
          <w:rFonts w:ascii="Calibri" w:cs="Calibri" w:eastAsia="Calibri" w:hAnsi="Calibri"/>
          <w:color w:val="282828"/>
          <w:sz w:val="22"/>
          <w:szCs w:val="22"/>
        </w:rPr>
        <w:t xml:space="preserve">Tareas delegables y no delegables, adaptadas a la realidad del establecimiento.</w:t>
      </w:r>
    </w:p>
    <w:p>
      <w:pPr>
        <w:pStyle w:val="ListParagraph"/>
        <w:numPr>
          <w:ilvl w:val="0"/>
          <w:numId w:val="2"/>
        </w:numPr>
        <w:spacing w:after="90" w:line="290"/>
        <w:jc w:val="both"/>
      </w:pPr>
      <w:r>
        <w:rPr>
          <w:rFonts w:ascii="Calibri" w:cs="Calibri" w:eastAsia="Calibri" w:hAnsi="Calibri"/>
          <w:color w:val="282828"/>
          <w:sz w:val="22"/>
          <w:szCs w:val="22"/>
        </w:rPr>
        <w:t xml:space="preserve">Obligación de declaración y verificación, con las fórmulas del apartado 8.</w:t>
      </w:r>
    </w:p>
    <w:p>
      <w:pPr>
        <w:pStyle w:val="ListParagraph"/>
        <w:numPr>
          <w:ilvl w:val="0"/>
          <w:numId w:val="2"/>
        </w:numPr>
        <w:spacing w:after="90" w:line="290"/>
        <w:jc w:val="both"/>
      </w:pPr>
      <w:r>
        <w:rPr>
          <w:rFonts w:ascii="Calibri" w:cs="Calibri" w:eastAsia="Calibri" w:hAnsi="Calibri"/>
          <w:color w:val="282828"/>
          <w:sz w:val="22"/>
          <w:szCs w:val="22"/>
        </w:rPr>
        <w:t xml:space="preserve">Reglas para el uso estudiantil por nivel, articuladas con el reglamento de evaluación.</w:t>
      </w:r>
    </w:p>
    <w:p>
      <w:pPr>
        <w:pStyle w:val="ListParagraph"/>
        <w:numPr>
          <w:ilvl w:val="0"/>
          <w:numId w:val="2"/>
        </w:numPr>
        <w:spacing w:after="90" w:line="290"/>
        <w:jc w:val="both"/>
      </w:pPr>
      <w:r>
        <w:rPr>
          <w:rFonts w:ascii="Calibri" w:cs="Calibri" w:eastAsia="Calibri" w:hAnsi="Calibri"/>
          <w:color w:val="282828"/>
          <w:sz w:val="22"/>
          <w:szCs w:val="22"/>
        </w:rPr>
        <w:t xml:space="preserve">Procedimiento ante un uso indebido, sin criminalizar el error de buena fe.</w:t>
      </w:r>
    </w:p>
    <w:p>
      <w:pPr>
        <w:pStyle w:val="ListParagraph"/>
        <w:numPr>
          <w:ilvl w:val="0"/>
          <w:numId w:val="2"/>
        </w:numPr>
        <w:spacing w:after="90" w:line="290"/>
        <w:jc w:val="both"/>
      </w:pPr>
      <w:r>
        <w:rPr>
          <w:rFonts w:ascii="Calibri" w:cs="Calibri" w:eastAsia="Calibri" w:hAnsi="Calibri"/>
          <w:color w:val="282828"/>
          <w:sz w:val="22"/>
          <w:szCs w:val="22"/>
        </w:rPr>
        <w:t xml:space="preserve">Responsable institucional del protocolo y periodicidad de su revisión.</w:t>
      </w:r>
    </w:p>
    <w:p>
      <w:pPr>
        <w:spacing w:after="40" w:before="240"/>
      </w:pPr>
      <w:r>
        <w:rPr>
          <w:rFonts w:ascii="Calibri" w:cs="Calibri" w:eastAsia="Calibri" w:hAnsi="Calibri"/>
          <w:b/>
          <w:bCs/>
          <w:color w:val="282828"/>
          <w:sz w:val="20"/>
          <w:szCs w:val="20"/>
        </w:rPr>
        <w:t xml:space="preserve">Tabla 13</w:t>
      </w:r>
    </w:p>
    <w:p>
      <w:pPr>
        <w:spacing w:after="110"/>
      </w:pPr>
      <w:r>
        <w:rPr>
          <w:rFonts w:ascii="Calibri" w:cs="Calibri" w:eastAsia="Calibri" w:hAnsi="Calibri"/>
          <w:i/>
          <w:iCs/>
          <w:color w:val="282828"/>
          <w:sz w:val="20"/>
          <w:szCs w:val="20"/>
        </w:rPr>
        <w:t xml:space="preserve">Etapas de construcción participativa del protocolo institucional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000"/>
        <w:gridCol w:w="4700"/>
        <w:gridCol w:w="2660"/>
      </w:tblGrid>
      <w:tr>
        <w:trPr>
          <w:tblHeader/>
        </w:trPr>
        <w:tc>
          <w:tcPr>
            <w:tcW w:type="dxa" w:w="20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Etapa</w:t>
            </w:r>
          </w:p>
        </w:tc>
        <w:tc>
          <w:tcPr>
            <w:tcW w:type="dxa" w:w="4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Actividad</w:t>
            </w:r>
          </w:p>
        </w:tc>
        <w:tc>
          <w:tcPr>
            <w:tcW w:type="dxa" w:w="26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Participantes</w:t>
            </w:r>
          </w:p>
        </w:tc>
      </w:tr>
      <w:tr>
        <w:tc>
          <w:tcPr>
            <w:tcW w:type="dxa" w:w="2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Punto de partida</w:t>
            </w:r>
          </w:p>
        </w:tc>
        <w:tc>
          <w:tcPr>
            <w:tcW w:type="dxa" w:w="4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Diagnóstico del uso actual de IA en el establecimiento, sin ánimo sancionatorio. Encuesta anónima a docentes y conversación con estudiantes.</w:t>
            </w:r>
          </w:p>
        </w:tc>
        <w:tc>
          <w:tcPr>
            <w:tcW w:type="dxa" w:w="2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Equipo directivo y UTP.</w:t>
            </w:r>
          </w:p>
        </w:tc>
      </w:tr>
      <w:tr>
        <w:tc>
          <w:tcPr>
            <w:tcW w:type="dxa" w:w="2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Deliberación</w:t>
            </w:r>
          </w:p>
        </w:tc>
        <w:tc>
          <w:tcPr>
            <w:tcW w:type="dxa" w:w="4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Jornada de reflexión con los cinco principios éticos y la pauta de autoevaluación ministerial.</w:t>
            </w:r>
          </w:p>
        </w:tc>
        <w:tc>
          <w:tcPr>
            <w:tcW w:type="dxa" w:w="2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Consejo de Profesores y asistentes de la educación.</w:t>
            </w:r>
          </w:p>
        </w:tc>
      </w:tr>
      <w:tr>
        <w:tc>
          <w:tcPr>
            <w:tcW w:type="dxa" w:w="2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Voces estudiantiles y familiares</w:t>
            </w:r>
          </w:p>
        </w:tc>
        <w:tc>
          <w:tcPr>
            <w:tcW w:type="dxa" w:w="4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Consulta al Centro de Estudiantes y al Centro de Padres sobre expectativas y preocupaciones.</w:t>
            </w:r>
          </w:p>
        </w:tc>
        <w:tc>
          <w:tcPr>
            <w:tcW w:type="dxa" w:w="2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Consejo Escolar.</w:t>
            </w:r>
          </w:p>
        </w:tc>
      </w:tr>
      <w:tr>
        <w:tc>
          <w:tcPr>
            <w:tcW w:type="dxa" w:w="2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Redacción</w:t>
            </w:r>
          </w:p>
        </w:tc>
        <w:tc>
          <w:tcPr>
            <w:tcW w:type="dxa" w:w="4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Elaboración del documento, con apoyo de IA para la estructura y redacción humana de los acuerdos.</w:t>
            </w:r>
          </w:p>
        </w:tc>
        <w:tc>
          <w:tcPr>
            <w:tcW w:type="dxa" w:w="2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Comisión designada por el Consejo Escolar.</w:t>
            </w:r>
          </w:p>
        </w:tc>
      </w:tr>
      <w:tr>
        <w:tc>
          <w:tcPr>
            <w:tcW w:type="dxa" w:w="2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Validación y difusión</w:t>
            </w:r>
          </w:p>
        </w:tc>
        <w:tc>
          <w:tcPr>
            <w:tcW w:type="dxa" w:w="4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Aprobación formal, incorporación al Reglamento Interno y difusión a toda la comunidad.</w:t>
            </w:r>
          </w:p>
        </w:tc>
        <w:tc>
          <w:tcPr>
            <w:tcW w:type="dxa" w:w="26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Dirección, con informe al Servicio Local.</w:t>
            </w:r>
          </w:p>
        </w:tc>
      </w:tr>
      <w:tr>
        <w:tc>
          <w:tcPr>
            <w:tcW w:type="dxa" w:w="2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Revisión</w:t>
            </w:r>
          </w:p>
        </w:tc>
        <w:tc>
          <w:tcPr>
            <w:tcW w:type="dxa" w:w="4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 anual del funcionamiento y actualización del listado de herramientas.</w:t>
            </w:r>
          </w:p>
        </w:tc>
        <w:tc>
          <w:tcPr>
            <w:tcW w:type="dxa" w:w="26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Equipo directivo y Consejo Escolar.</w:t>
            </w:r>
          </w:p>
        </w:tc>
      </w:tr>
    </w:tbl>
    <w:p>
      <w:pPr>
        <w:spacing w:after="200" w:before="60"/>
      </w:pPr>
      <w:r>
        <w:rPr>
          <w:rFonts w:ascii="Calibri" w:cs="Calibri" w:eastAsia="Calibri" w:hAnsi="Calibri"/>
          <w:i/>
          <w:iCs/>
          <w:color w:val="5A5A5A"/>
          <w:sz w:val="18"/>
          <w:szCs w:val="18"/>
        </w:rPr>
        <w:t xml:space="preserve">Nota. Elaboración propia a partir de EduCaixa (2024) y Ministerio de Educación de Chile (2018b).</w:t>
      </w:r>
    </w:p>
    <w:p>
      <w:pPr>
        <w:pStyle w:val="Heading2"/>
        <w:spacing w:after="140" w:before="280"/>
      </w:pPr>
      <w:r>
        <w:rPr>
          <w:rFonts w:ascii="Calibri" w:cs="Calibri" w:eastAsia="Calibri" w:hAnsi="Calibri"/>
          <w:b/>
          <w:bCs/>
          <w:color w:val="1F84EB"/>
          <w:sz w:val="26"/>
          <w:szCs w:val="26"/>
        </w:rPr>
        <w:t xml:space="preserve">9.2 Uso ético de la información por parte de los estudiantes</w:t>
      </w:r>
    </w:p>
    <w:p>
      <w:pPr>
        <w:spacing w:after="140" w:line="300"/>
        <w:jc w:val="both"/>
      </w:pPr>
      <w:r>
        <w:rPr>
          <w:rFonts w:ascii="Calibri" w:cs="Calibri" w:eastAsia="Calibri" w:hAnsi="Calibri"/>
          <w:color w:val="282828"/>
          <w:sz w:val="22"/>
          <w:szCs w:val="22"/>
        </w:rPr>
        <w:t xml:space="preserve">El resguardo ético no es solo una obligación de los adultos. Como docentes, existe la responsabilidad de evaluar críticamente las herramientas que se usan y de enseñar a las y los estudiantes a hacer lo mismo (Ministerio de Educación de Chile, 2025). Las experiencias escolares chilenas sistematizadas por Ortiz González y Fourt (2025) identifican precisamente la profundización en la ética de la IA —sesgos algorítmicos, privacidad y derechos de autor— como uno de los desafíos pendientes que debe abordarse de manera más sistemática.</w:t>
      </w:r>
    </w:p>
    <w:p>
      <w:pPr>
        <w:spacing w:after="140" w:line="300"/>
        <w:jc w:val="both"/>
      </w:pPr>
      <w:r>
        <w:rPr>
          <w:rFonts w:ascii="Calibri" w:cs="Calibri" w:eastAsia="Calibri" w:hAnsi="Calibri"/>
          <w:color w:val="282828"/>
          <w:sz w:val="22"/>
          <w:szCs w:val="22"/>
        </w:rPr>
        <w:t xml:space="preserve">La discusión sobre el uso estudiantil de IA suele reducirse a la copia. Es un enfoque insuficiente. Lo que corresponde instalar es una distinción de fondo entre usar IA para pensar mejor y usarla para evitar pensar. El testimonio de una estudiante recogido en la sistematización chilena resulta ilustrativo: el valor del trabajo no estuvo en lo que la herramienta generaba, sino en analizarlo, cuestionarlo y agregar ideas propias (Ortiz González &amp; Fourt, 2025).</w:t>
      </w:r>
    </w:p>
    <w:p>
      <w:pPr>
        <w:spacing w:after="40" w:before="240"/>
      </w:pPr>
      <w:r>
        <w:rPr>
          <w:rFonts w:ascii="Calibri" w:cs="Calibri" w:eastAsia="Calibri" w:hAnsi="Calibri"/>
          <w:b/>
          <w:bCs/>
          <w:color w:val="282828"/>
          <w:sz w:val="20"/>
          <w:szCs w:val="20"/>
        </w:rPr>
        <w:t xml:space="preserve">Tabla 14</w:t>
      </w:r>
    </w:p>
    <w:p>
      <w:pPr>
        <w:spacing w:after="110"/>
      </w:pPr>
      <w:r>
        <w:rPr>
          <w:rFonts w:ascii="Calibri" w:cs="Calibri" w:eastAsia="Calibri" w:hAnsi="Calibri"/>
          <w:i/>
          <w:iCs/>
          <w:color w:val="282828"/>
          <w:sz w:val="20"/>
          <w:szCs w:val="20"/>
        </w:rPr>
        <w:t xml:space="preserve">Criterios para orientar el uso estudiantil de IA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4680"/>
        <w:gridCol w:w="4680"/>
      </w:tblGrid>
      <w:tr>
        <w:trPr>
          <w:tblHeader/>
        </w:trPr>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Uso que fortalece el aprendizaje</w:t>
            </w:r>
          </w:p>
        </w:tc>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Uso que lo sustituye</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explicaciones alternativas de un contenido que no se comprendió.</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Pedir el desarrollo completo de una tarea evaluada y entregarlo sin modificación.</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Generar ideas iniciales que luego se desarrollan con criterio propio.</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Presentar como propio un texto generado íntegramente por la herramienta.</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Contrastar la respuesta de la IA con fuentes confiables y detectar sus errores.</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Aceptar la respuesta sin verificación y citarla como fuente.</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la IA para revisar la ortografía o la estructura de un texto ya escrito.</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Usar la IA para responder una evaluación que mide comprensión individual.</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Analizar cómo funciona la herramienta y qué sesgos introduce.</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Ingresar datos personales propios o de compañeros en la plataforma.</w:t>
            </w:r>
          </w:p>
        </w:tc>
      </w:tr>
    </w:tbl>
    <w:p>
      <w:pPr>
        <w:spacing w:after="200" w:before="60"/>
      </w:pPr>
      <w:r>
        <w:rPr>
          <w:rFonts w:ascii="Calibri" w:cs="Calibri" w:eastAsia="Calibri" w:hAnsi="Calibri"/>
          <w:i/>
          <w:iCs/>
          <w:color w:val="5A5A5A"/>
          <w:sz w:val="18"/>
          <w:szCs w:val="18"/>
        </w:rPr>
        <w:t xml:space="preserve">Nota. Elaboración propia a partir de Ministerio de Educación de Chile (2023, 2025) y Ortiz González y Fourt (2025).</w:t>
      </w:r>
    </w:p>
    <w:p>
      <w:pPr>
        <w:spacing w:after="120"/>
      </w:pPr>
      <w:r>
        <w:rPr>
          <w:sz w:val="12"/>
          <w:szCs w:val="12"/>
        </w:rPr>
        <w:t xml:space="preserve"/>
      </w:r>
    </w:p>
    <w:p>
      <w:pPr>
        <w:spacing w:after="140" w:line="300"/>
        <w:jc w:val="both"/>
      </w:pPr>
      <w:r>
        <w:rPr>
          <w:rFonts w:ascii="Calibri" w:cs="Calibri" w:eastAsia="Calibri" w:hAnsi="Calibri"/>
          <w:color w:val="282828"/>
          <w:sz w:val="22"/>
          <w:szCs w:val="22"/>
        </w:rPr>
        <w:t xml:space="preserve">Se sugiere que cada establecimiento incorpore en su reglamento de evaluación la obligación de declarar el uso de IA en los trabajos, indicando qué herramienta se usó, para qué parte del trabajo y qué se modificó después. Esta práctica cumple dos funciones: enseña transparencia y traslada el foco de la evaluación desde el producto hacia el proceso, que es donde ocurre el aprendizaje.</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Parte II. Tipos de uso de la IA en la gestión educativa</w:t>
      </w:r>
    </w:p>
    <w:p>
      <w:pPr>
        <w:spacing w:after="140" w:line="300"/>
        <w:jc w:val="both"/>
      </w:pPr>
      <w:r>
        <w:rPr>
          <w:rFonts w:ascii="Calibri" w:cs="Calibri" w:eastAsia="Calibri" w:hAnsi="Calibri"/>
          <w:i/>
          <w:iCs/>
          <w:color w:val="5A5A5A"/>
          <w:sz w:val="22"/>
          <w:szCs w:val="22"/>
        </w:rPr>
        <w:t xml:space="preserve">Las herramientas cambian cada pocos meses; los tipos de uso son estables. Un equipo directivo que comprende para qué sirve la IA puede adaptarse a cualquier plataforma; uno que solo aprendió a usar una aplicación queda desactualizado con la siguiente versión.</w:t>
      </w:r>
    </w:p>
    <w:p>
      <w:pPr>
        <w:pStyle w:val="Heading1"/>
        <w:pBdr>
          <w:bottom w:val="single" w:color="1F84EB" w:sz="12" w:space="6"/>
        </w:pBdr>
        <w:spacing w:after="200" w:before="360"/>
      </w:pPr>
      <w:r>
        <w:rPr>
          <w:rFonts w:ascii="Calibri" w:cs="Calibri" w:eastAsia="Calibri" w:hAnsi="Calibri"/>
          <w:b/>
          <w:bCs/>
          <w:color w:val="282828"/>
          <w:sz w:val="32"/>
          <w:szCs w:val="32"/>
        </w:rPr>
        <w:t xml:space="preserve">10. La IA como copiloto: marco de los seis tipos</w:t>
      </w:r>
    </w:p>
    <w:p>
      <w:pPr>
        <w:spacing w:after="140" w:line="300"/>
        <w:jc w:val="both"/>
      </w:pPr>
      <w:r>
        <w:rPr>
          <w:rFonts w:ascii="Calibri" w:cs="Calibri" w:eastAsia="Calibri" w:hAnsi="Calibri"/>
          <w:color w:val="282828"/>
          <w:sz w:val="22"/>
          <w:szCs w:val="22"/>
        </w:rPr>
        <w:t xml:space="preserve">El hallazgo central del análisis bibliométrico de Adıgüzel et al. (2026) sobre inteligencia artificial y liderazgo educativo es el modelo humano-IA-humano, que sitúa a la IA como copiloto en vez de árbitro final y subraya que los procesos educativos deben comenzar y terminar con la perspectiva humana. Los autores describen además una tendencia hacia un liderazgo distribuido híbrido, donde las tareas técnicas se delegan a la IA mientras el liderazgo adaptativo, fundado en la empatía y la ética, se mantiene como prerrogativa humana.</w:t>
      </w:r>
    </w:p>
    <w:p>
      <w:pPr>
        <w:spacing w:after="140" w:line="300"/>
        <w:jc w:val="both"/>
      </w:pPr>
      <w:r>
        <w:rPr>
          <w:rFonts w:ascii="Calibri" w:cs="Calibri" w:eastAsia="Calibri" w:hAnsi="Calibri"/>
          <w:color w:val="282828"/>
          <w:sz w:val="22"/>
          <w:szCs w:val="22"/>
        </w:rPr>
        <w:t xml:space="preserve">Este marco tiene una consecuencia práctica inmediata: la pregunta correcta no es qué puede hacer la IA, sino qué parte del proceso conviene delegarle para que el equipo profesional se concentre en lo que solo él puede hacer.</w:t>
      </w:r>
    </w:p>
    <w:p>
      <w:pPr>
        <w:spacing w:after="40" w:before="240"/>
      </w:pPr>
      <w:r>
        <w:rPr>
          <w:rFonts w:ascii="Calibri" w:cs="Calibri" w:eastAsia="Calibri" w:hAnsi="Calibri"/>
          <w:b/>
          <w:bCs/>
          <w:color w:val="282828"/>
          <w:sz w:val="20"/>
          <w:szCs w:val="20"/>
        </w:rPr>
        <w:t xml:space="preserve">Tabla 15</w:t>
      </w:r>
    </w:p>
    <w:p>
      <w:pPr>
        <w:spacing w:after="110"/>
      </w:pPr>
      <w:r>
        <w:rPr>
          <w:rFonts w:ascii="Calibri" w:cs="Calibri" w:eastAsia="Calibri" w:hAnsi="Calibri"/>
          <w:i/>
          <w:iCs/>
          <w:color w:val="282828"/>
          <w:sz w:val="20"/>
          <w:szCs w:val="20"/>
        </w:rPr>
        <w:t xml:space="preserve">Distribución de funciones en el modelo humano-IA-humano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800"/>
        <w:gridCol w:w="2400"/>
        <w:gridCol w:w="5160"/>
      </w:tblGrid>
      <w:tr>
        <w:trPr>
          <w:tblHeader/>
        </w:trPr>
        <w:tc>
          <w:tcPr>
            <w:tcW w:type="dxa" w:w="18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Momento</w:t>
            </w:r>
          </w:p>
        </w:tc>
        <w:tc>
          <w:tcPr>
            <w:tcW w:type="dxa" w:w="2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Quién actúa</w:t>
            </w:r>
          </w:p>
        </w:tc>
        <w:tc>
          <w:tcPr>
            <w:tcW w:type="dxa" w:w="5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ocurre</w:t>
            </w:r>
          </w:p>
        </w:tc>
      </w:tr>
      <w:tr>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Inicio</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Persona</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Define el problema, aporta el contexto, establece el propósito pedagógico y los criterios de calidad.</w:t>
            </w:r>
          </w:p>
        </w:tc>
      </w:tr>
      <w:tr>
        <w:tc>
          <w:tcPr>
            <w:tcW w:type="dxa" w:w="18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Desarrollo</w:t>
            </w:r>
          </w:p>
        </w:tc>
        <w:tc>
          <w:tcPr>
            <w:tcW w:type="dxa" w:w="2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IA como copiloto</w:t>
            </w:r>
          </w:p>
        </w:tc>
        <w:tc>
          <w:tcPr>
            <w:tcW w:type="dxa" w:w="5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 opciones, organiza información, produce borradores, sintetiza volúmenes extensos de texto.</w:t>
            </w:r>
          </w:p>
        </w:tc>
      </w:tr>
      <w:tr>
        <w:tc>
          <w:tcPr>
            <w:tcW w:type="dxa" w:w="18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Cierre</w:t>
            </w:r>
          </w:p>
        </w:tc>
        <w:tc>
          <w:tcPr>
            <w:tcW w:type="dxa" w:w="2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Persona</w:t>
            </w:r>
          </w:p>
        </w:tc>
        <w:tc>
          <w:tcPr>
            <w:tcW w:type="dxa" w:w="5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 corrige, contextualiza, decide y asume la responsabilidad del resultado.</w:t>
            </w:r>
          </w:p>
        </w:tc>
      </w:tr>
    </w:tbl>
    <w:p>
      <w:pPr>
        <w:spacing w:after="200" w:before="60"/>
      </w:pPr>
      <w:r>
        <w:rPr>
          <w:rFonts w:ascii="Calibri" w:cs="Calibri" w:eastAsia="Calibri" w:hAnsi="Calibri"/>
          <w:i/>
          <w:iCs/>
          <w:color w:val="5A5A5A"/>
          <w:sz w:val="18"/>
          <w:szCs w:val="18"/>
        </w:rPr>
        <w:t xml:space="preserve">Nota. Elaboración propia a partir de Adıgüzel et al. (2026).</w:t>
      </w:r>
    </w:p>
    <w:p>
      <w:pPr>
        <w:spacing w:after="140"/>
      </w:pPr>
      <w:r>
        <w:rPr>
          <w:sz w:val="12"/>
          <w:szCs w:val="12"/>
        </w:rPr>
        <w:t xml:space="preserve"/>
      </w:r>
    </w:p>
    <w:p>
      <w:pPr>
        <w:spacing w:after="140" w:line="300"/>
        <w:jc w:val="both"/>
      </w:pPr>
      <w:r>
        <w:rPr>
          <w:rFonts w:ascii="Calibri" w:cs="Calibri" w:eastAsia="Calibri" w:hAnsi="Calibri"/>
          <w:color w:val="282828"/>
          <w:sz w:val="22"/>
          <w:szCs w:val="22"/>
        </w:rPr>
        <w:t xml:space="preserve">La revisión sistemática de Bustamante Bula y Camacho Bonilla (2024) confirma que la gestión educativa es una de las cuatro áreas donde la IA está impactando la educación escolar. Entre sus conclusiones señala el potencial de esta tecnología para optimizar la gestión educativa y abordar desafíos como la personalización de la enseñanza y la evaluación del rendimiento.</w:t>
      </w:r>
    </w:p>
    <w:p>
      <w:pPr>
        <w:spacing w:after="40" w:before="240"/>
      </w:pPr>
      <w:r>
        <w:rPr>
          <w:rFonts w:ascii="Calibri" w:cs="Calibri" w:eastAsia="Calibri" w:hAnsi="Calibri"/>
          <w:b/>
          <w:bCs/>
          <w:color w:val="282828"/>
          <w:sz w:val="20"/>
          <w:szCs w:val="20"/>
        </w:rPr>
        <w:t xml:space="preserve">Tabla 16</w:t>
      </w:r>
    </w:p>
    <w:p>
      <w:pPr>
        <w:spacing w:after="110"/>
      </w:pPr>
      <w:r>
        <w:rPr>
          <w:rFonts w:ascii="Calibri" w:cs="Calibri" w:eastAsia="Calibri" w:hAnsi="Calibri"/>
          <w:i/>
          <w:iCs/>
          <w:color w:val="282828"/>
          <w:sz w:val="20"/>
          <w:szCs w:val="20"/>
        </w:rPr>
        <w:t xml:space="preserve">Los seis tipos de uso de la IA en la gestión educativa</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200"/>
        <w:gridCol w:w="3300"/>
        <w:gridCol w:w="1600"/>
        <w:gridCol w:w="2260"/>
      </w:tblGrid>
      <w:tr>
        <w:trPr>
          <w:tblHeader/>
        </w:trPr>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Tipo de uso</w:t>
            </w:r>
          </w:p>
        </w:tc>
        <w:tc>
          <w:tcPr>
            <w:tcW w:type="dxa" w:w="33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Función de la IA</w:t>
            </w:r>
          </w:p>
        </w:tc>
        <w:tc>
          <w:tcPr>
            <w:tcW w:type="dxa" w:w="16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Nivel de riesgo</w:t>
            </w:r>
          </w:p>
        </w:tc>
        <w:tc>
          <w:tcPr>
            <w:tcW w:type="dxa" w:w="2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Requisito previo</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1. Producción documental</w:t>
            </w:r>
          </w:p>
        </w:tc>
        <w:tc>
          <w:tcPr>
            <w:tcW w:type="dxa" w:w="3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Redactar borradores y estructurar documentos institucionales.</w:t>
            </w:r>
          </w:p>
        </w:tc>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Bajo</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Verificación de datos y referencias normativas.</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2. Síntesis y análisis de información</w:t>
            </w:r>
          </w:p>
        </w:tc>
        <w:tc>
          <w:tcPr>
            <w:tcW w:type="dxa" w:w="3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Resumir documentos extensos y ordenar información dispersa.</w:t>
            </w:r>
          </w:p>
        </w:tc>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Bajo a medio</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Anonimización previa de todo contenido con datos personales.</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3. Diseño pedagógico y evaluativo</w:t>
            </w:r>
          </w:p>
        </w:tc>
        <w:tc>
          <w:tcPr>
            <w:tcW w:type="dxa" w:w="3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Generar planificaciones, materiales, rúbricas e ítems.</w:t>
            </w:r>
          </w:p>
        </w:tc>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Medio</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Validación técnico-pedagógica y alineación curricular.</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4. Comunicación institucional</w:t>
            </w:r>
          </w:p>
        </w:tc>
        <w:tc>
          <w:tcPr>
            <w:tcW w:type="dxa" w:w="3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Adaptar el lenguaje de comunicados y protocolos a distintas audiencias.</w:t>
            </w:r>
          </w:p>
        </w:tc>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Medio</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Revisión humana obligatoria; nunca en comunicación sensible.</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5. Apoyo al uso de datos</w:t>
            </w:r>
          </w:p>
        </w:tc>
        <w:tc>
          <w:tcPr>
            <w:tcW w:type="dxa" w:w="3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Ordenar datos agregados, sugerir análisis y formular preguntas.</w:t>
            </w:r>
          </w:p>
        </w:tc>
        <w:tc>
          <w:tcPr>
            <w:tcW w:type="dxa" w:w="1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Medio a alto</w:t>
            </w:r>
          </w:p>
        </w:tc>
        <w:tc>
          <w:tcPr>
            <w:tcW w:type="dxa" w:w="2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 agregados y anonimizados; interpretación humana.</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6. Apoyo a la reflexión y al liderazgo</w:t>
            </w:r>
          </w:p>
        </w:tc>
        <w:tc>
          <w:tcPr>
            <w:tcW w:type="dxa" w:w="3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Actuar como interlocutor crítico en el análisis de decisiones complejas.</w:t>
            </w:r>
          </w:p>
        </w:tc>
        <w:tc>
          <w:tcPr>
            <w:tcW w:type="dxa" w:w="1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Alto</w:t>
            </w:r>
          </w:p>
        </w:tc>
        <w:tc>
          <w:tcPr>
            <w:tcW w:type="dxa" w:w="2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Criterio profesional consolidado; nunca sustituye la deliberación colectiva.</w:t>
            </w:r>
          </w:p>
        </w:tc>
      </w:tr>
    </w:tbl>
    <w:p>
      <w:pPr>
        <w:spacing w:after="200" w:before="60"/>
      </w:pPr>
      <w:r>
        <w:rPr>
          <w:rFonts w:ascii="Calibri" w:cs="Calibri" w:eastAsia="Calibri" w:hAnsi="Calibri"/>
          <w:i/>
          <w:iCs/>
          <w:color w:val="5A5A5A"/>
          <w:sz w:val="18"/>
          <w:szCs w:val="18"/>
        </w:rPr>
        <w:t xml:space="preserve">Nota. Elaboración propia a partir de Adıgüzel et al. (2026), Bustamante Bula y Camacho Bonilla (2024), CAF (2024) y Educ.ar (2025). Los seis tipos son acumulativos en dificultad: los primeros requieren poca preparación; los últimos exigen criterio profesional consolidado y acuerdos institucionales previos.</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11. Tipo 1. Producción documental</w:t>
      </w:r>
    </w:p>
    <w:p>
      <w:pPr>
        <w:pStyle w:val="Heading2"/>
        <w:spacing w:after="140" w:before="280"/>
      </w:pPr>
      <w:r>
        <w:rPr>
          <w:rFonts w:ascii="Calibri" w:cs="Calibri" w:eastAsia="Calibri" w:hAnsi="Calibri"/>
          <w:b/>
          <w:bCs/>
          <w:color w:val="1F84EB"/>
          <w:sz w:val="26"/>
          <w:szCs w:val="26"/>
        </w:rPr>
        <w:t xml:space="preserve">11.1 En qué consiste</w:t>
      </w:r>
    </w:p>
    <w:p>
      <w:pPr>
        <w:spacing w:after="140" w:line="300"/>
        <w:jc w:val="both"/>
      </w:pPr>
      <w:r>
        <w:rPr>
          <w:rFonts w:ascii="Calibri" w:cs="Calibri" w:eastAsia="Calibri" w:hAnsi="Calibri"/>
          <w:color w:val="282828"/>
          <w:sz w:val="22"/>
          <w:szCs w:val="22"/>
        </w:rPr>
        <w:t xml:space="preserve">Es el uso más inmediato y de menor riesgo: emplear la IA para producir la primera versión de un documento institucional, que luego el equipo corrige, contextualiza y valida. El principio operativo es que la IA no aporta el contenido sustantivo —ese lo tiene el equipo— sino la arquitectura, la redacción y la consistencia formal. Un buen borrador generado con IA es aquel que deja explícitos los espacios que el equipo debe completar con información real.</w:t>
      </w:r>
    </w:p>
    <w:p>
      <w:pPr>
        <w:pStyle w:val="Heading2"/>
        <w:spacing w:after="140" w:before="280"/>
      </w:pPr>
      <w:r>
        <w:rPr>
          <w:rFonts w:ascii="Calibri" w:cs="Calibri" w:eastAsia="Calibri" w:hAnsi="Calibri"/>
          <w:b/>
          <w:bCs/>
          <w:color w:val="1F84EB"/>
          <w:sz w:val="26"/>
          <w:szCs w:val="26"/>
        </w:rPr>
        <w:t xml:space="preserve">11.2 Ejemplos en el contexto del territorio</w:t>
      </w:r>
    </w:p>
    <w:p>
      <w:pPr>
        <w:spacing w:after="40" w:before="240"/>
      </w:pPr>
      <w:r>
        <w:rPr>
          <w:rFonts w:ascii="Calibri" w:cs="Calibri" w:eastAsia="Calibri" w:hAnsi="Calibri"/>
          <w:b/>
          <w:bCs/>
          <w:color w:val="282828"/>
          <w:sz w:val="20"/>
          <w:szCs w:val="20"/>
        </w:rPr>
        <w:t xml:space="preserve">Tabla 17</w:t>
      </w:r>
    </w:p>
    <w:p>
      <w:pPr>
        <w:spacing w:after="110"/>
      </w:pPr>
      <w:r>
        <w:rPr>
          <w:rFonts w:ascii="Calibri" w:cs="Calibri" w:eastAsia="Calibri" w:hAnsi="Calibri"/>
          <w:i/>
          <w:iCs/>
          <w:color w:val="282828"/>
          <w:sz w:val="20"/>
          <w:szCs w:val="20"/>
        </w:rPr>
        <w:t xml:space="preserve">Aplicaciones de producción documental en establecimientos del Servicio Local</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100"/>
        <w:gridCol w:w="4000"/>
        <w:gridCol w:w="3260"/>
      </w:tblGrid>
      <w:tr>
        <w:trPr>
          <w:tblHeader/>
        </w:trPr>
        <w:tc>
          <w:tcPr>
            <w:tcW w:type="dxa" w:w="2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Documento</w:t>
            </w:r>
          </w:p>
        </w:tc>
        <w:tc>
          <w:tcPr>
            <w:tcW w:type="dxa" w:w="40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delega el equipo a la IA</w:t>
            </w:r>
          </w:p>
        </w:tc>
        <w:tc>
          <w:tcPr>
            <w:tcW w:type="dxa" w:w="32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conserva el equipo</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Proyecto Educativo Institucional</w:t>
            </w:r>
          </w:p>
        </w:tc>
        <w:tc>
          <w:tcPr>
            <w:tcW w:type="dxa" w:w="4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Estructura de capítulos, redacción de secciones descriptivas, coherencia entre sellos declarados y objetivos.</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sellos, la visión, la identidad del establecimiento y todo lo definido participativamente.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 de Mejoramiento Educativo</w:t>
            </w:r>
          </w:p>
        </w:tc>
        <w:tc>
          <w:tcPr>
            <w:tcW w:type="dxa" w:w="4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Redacción de acciones a partir de los objetivos definidos; formulación de indicadores medibles.</w:t>
            </w:r>
          </w:p>
        </w:tc>
        <w:tc>
          <w:tcPr>
            <w:tcW w:type="dxa" w:w="3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diagnóstico, la priorización de dimensiones y la asignación de recursos.</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Reglamento Interno y protocolos</w:t>
            </w:r>
          </w:p>
        </w:tc>
        <w:tc>
          <w:tcPr>
            <w:tcW w:type="dxa" w:w="4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Simplificación del lenguaje jurídico; verificación de que cada protocolo tenga sus etapas completas.</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plazos, responsables y procedimientos ajustados a la normativa vigente.</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Informe anual de gestión</w:t>
            </w:r>
          </w:p>
        </w:tc>
        <w:tc>
          <w:tcPr>
            <w:tcW w:type="dxa" w:w="4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Organización de la información en secciones; redacción de párrafos de contexto.</w:t>
            </w:r>
          </w:p>
        </w:tc>
        <w:tc>
          <w:tcPr>
            <w:tcW w:type="dxa" w:w="3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Los datos, resultados y valoraciones sobre el año escolar.</w:t>
            </w:r>
          </w:p>
        </w:tc>
      </w:tr>
      <w:tr>
        <w:tc>
          <w:tcPr>
            <w:tcW w:type="dxa" w:w="2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Actas de Consejo Escolar</w:t>
            </w:r>
          </w:p>
        </w:tc>
        <w:tc>
          <w:tcPr>
            <w:tcW w:type="dxa" w:w="40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Estructura del acta y redacción formal a partir de notas tomadas en la sesión.</w:t>
            </w:r>
          </w:p>
        </w:tc>
        <w:tc>
          <w:tcPr>
            <w:tcW w:type="dxa" w:w="32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contenido de los acuerdos y la verificación de que reflejan lo efectivamente conversado.</w:t>
            </w:r>
          </w:p>
        </w:tc>
      </w:tr>
      <w:tr>
        <w:tc>
          <w:tcPr>
            <w:tcW w:type="dxa" w:w="2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Proyectos de mejoramiento de infraestructura</w:t>
            </w:r>
          </w:p>
        </w:tc>
        <w:tc>
          <w:tcPr>
            <w:tcW w:type="dxa" w:w="40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Redacción de fundamentación técnica y estructura de la propuesta.</w:t>
            </w:r>
          </w:p>
        </w:tc>
        <w:tc>
          <w:tcPr>
            <w:tcW w:type="dxa" w:w="32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Diagnóstico de necesidades, priorización y datos de costos.</w:t>
            </w:r>
          </w:p>
        </w:tc>
      </w:tr>
    </w:tbl>
    <w:p>
      <w:pPr>
        <w:spacing w:after="200" w:before="60"/>
      </w:pPr>
      <w:r>
        <w:rPr>
          <w:rFonts w:ascii="Calibri" w:cs="Calibri" w:eastAsia="Calibri" w:hAnsi="Calibri"/>
          <w:i/>
          <w:iCs/>
          <w:color w:val="5A5A5A"/>
          <w:sz w:val="18"/>
          <w:szCs w:val="18"/>
        </w:rPr>
        <w:t xml:space="preserve">Nota. Elaboración propia.</w:t>
      </w:r>
    </w:p>
    <w:p>
      <w:pPr>
        <w:pStyle w:val="Heading2"/>
        <w:spacing w:after="140" w:before="280"/>
      </w:pPr>
      <w:r>
        <w:rPr>
          <w:rFonts w:ascii="Calibri" w:cs="Calibri" w:eastAsia="Calibri" w:hAnsi="Calibri"/>
          <w:b/>
          <w:bCs/>
          <w:color w:val="1F84EB"/>
          <w:sz w:val="26"/>
          <w:szCs w:val="26"/>
        </w:rPr>
        <w:t xml:space="preserve">11.3 Beneficios y límites</w:t>
      </w:r>
    </w:p>
    <w:p>
      <w:pPr>
        <w:pStyle w:val="ListParagraph"/>
        <w:numPr>
          <w:ilvl w:val="0"/>
          <w:numId w:val="3"/>
        </w:numPr>
        <w:spacing w:after="90" w:line="290"/>
        <w:jc w:val="both"/>
      </w:pPr>
      <w:r>
        <w:rPr>
          <w:rFonts w:ascii="Calibri" w:cs="Calibri" w:eastAsia="Calibri" w:hAnsi="Calibri"/>
          <w:b/>
          <w:bCs/>
          <w:color w:val="3DB54A"/>
          <w:sz w:val="22"/>
          <w:szCs w:val="22"/>
        </w:rPr>
        <w:t xml:space="preserve">Beneficio principal: </w:t>
      </w:r>
      <w:r>
        <w:rPr>
          <w:rFonts w:ascii="Calibri" w:cs="Calibri" w:eastAsia="Calibri" w:hAnsi="Calibri"/>
          <w:color w:val="282828"/>
          <w:sz w:val="22"/>
          <w:szCs w:val="22"/>
        </w:rPr>
        <w:t xml:space="preserve">reducción de la carga administrativa sobre equipos directivos habitualmente reducidos, liberando tiempo para el acompañamiento pedagógico.</w:t>
      </w:r>
    </w:p>
    <w:p>
      <w:pPr>
        <w:pStyle w:val="ListParagraph"/>
        <w:numPr>
          <w:ilvl w:val="0"/>
          <w:numId w:val="3"/>
        </w:numPr>
        <w:spacing w:after="90" w:line="290"/>
        <w:jc w:val="both"/>
      </w:pPr>
      <w:r>
        <w:rPr>
          <w:rFonts w:ascii="Calibri" w:cs="Calibri" w:eastAsia="Calibri" w:hAnsi="Calibri"/>
          <w:b/>
          <w:bCs/>
          <w:color w:val="3DB54A"/>
          <w:sz w:val="22"/>
          <w:szCs w:val="22"/>
        </w:rPr>
        <w:t xml:space="preserve">Beneficio secundario: </w:t>
      </w:r>
      <w:r>
        <w:rPr>
          <w:rFonts w:ascii="Calibri" w:cs="Calibri" w:eastAsia="Calibri" w:hAnsi="Calibri"/>
          <w:color w:val="282828"/>
          <w:sz w:val="22"/>
          <w:szCs w:val="22"/>
        </w:rPr>
        <w:t xml:space="preserve">mayor consistencia formal entre documentos de distintos establecimientos, lo que facilita el trabajo de consolidación territorial del Servicio.</w:t>
      </w:r>
    </w:p>
    <w:p>
      <w:pPr>
        <w:pStyle w:val="ListParagraph"/>
        <w:numPr>
          <w:ilvl w:val="0"/>
          <w:numId w:val="3"/>
        </w:numPr>
        <w:spacing w:after="90" w:line="290"/>
        <w:jc w:val="both"/>
      </w:pPr>
      <w:r>
        <w:rPr>
          <w:rFonts w:ascii="Calibri" w:cs="Calibri" w:eastAsia="Calibri" w:hAnsi="Calibri"/>
          <w:b/>
          <w:bCs/>
          <w:color w:val="E8505B"/>
          <w:sz w:val="22"/>
          <w:szCs w:val="22"/>
        </w:rPr>
        <w:t xml:space="preserve">Límite crítico: </w:t>
      </w:r>
      <w:r>
        <w:rPr>
          <w:rFonts w:ascii="Calibri" w:cs="Calibri" w:eastAsia="Calibri" w:hAnsi="Calibri"/>
          <w:color w:val="282828"/>
          <w:sz w:val="22"/>
          <w:szCs w:val="22"/>
        </w:rPr>
        <w:t xml:space="preserve">un PEI o un PME redactado sin participación real de la comunidad es un documento vacío, por bien escrito que esté. La IA acelera la escritura, no reemplaza la deliberación (Ministerio de Educación de Chile, 2018b).</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12. Tipo 2. Síntesis y análisis de información</w:t>
      </w:r>
    </w:p>
    <w:p>
      <w:pPr>
        <w:pStyle w:val="Heading2"/>
        <w:spacing w:after="140" w:before="280"/>
      </w:pPr>
      <w:r>
        <w:rPr>
          <w:rFonts w:ascii="Calibri" w:cs="Calibri" w:eastAsia="Calibri" w:hAnsi="Calibri"/>
          <w:b/>
          <w:bCs/>
          <w:color w:val="1F84EB"/>
          <w:sz w:val="26"/>
          <w:szCs w:val="26"/>
        </w:rPr>
        <w:t xml:space="preserve">12.1 En qué consiste</w:t>
      </w:r>
    </w:p>
    <w:p>
      <w:pPr>
        <w:spacing w:after="140" w:line="300"/>
        <w:jc w:val="both"/>
      </w:pPr>
      <w:r>
        <w:rPr>
          <w:rFonts w:ascii="Calibri" w:cs="Calibri" w:eastAsia="Calibri" w:hAnsi="Calibri"/>
          <w:color w:val="282828"/>
          <w:sz w:val="22"/>
          <w:szCs w:val="22"/>
        </w:rPr>
        <w:t xml:space="preserve">Consiste en usar la IA para procesar volúmenes de texto que exceden el tiempo disponible del equipo: normativa, orientaciones ministeriales, resultados de consultas, informes técnicos. Ese mismo material lo incluye expresamente entre las tareas delegables, con una condición: resúmenes de documentos extensos, sin datos personales (Uso ético de la inteligencia artificial, s.f.).</w:t>
      </w:r>
    </w:p>
    <w:p>
      <w:pPr>
        <w:pStyle w:val="Heading2"/>
        <w:spacing w:after="140" w:before="280"/>
      </w:pPr>
      <w:r>
        <w:rPr>
          <w:rFonts w:ascii="Calibri" w:cs="Calibri" w:eastAsia="Calibri" w:hAnsi="Calibri"/>
          <w:b/>
          <w:bCs/>
          <w:color w:val="1F84EB"/>
          <w:sz w:val="26"/>
          <w:szCs w:val="26"/>
        </w:rPr>
        <w:t xml:space="preserve">12.2 Ejemplos en el contexto chileno</w:t>
      </w:r>
    </w:p>
    <w:p>
      <w:pPr>
        <w:pStyle w:val="ListParagraph"/>
        <w:numPr>
          <w:ilvl w:val="0"/>
          <w:numId w:val="3"/>
        </w:numPr>
        <w:spacing w:after="90" w:line="290"/>
        <w:jc w:val="both"/>
      </w:pPr>
      <w:r>
        <w:rPr>
          <w:rFonts w:ascii="Calibri" w:cs="Calibri" w:eastAsia="Calibri" w:hAnsi="Calibri"/>
          <w:color w:val="282828"/>
          <w:sz w:val="22"/>
          <w:szCs w:val="22"/>
        </w:rPr>
        <w:t xml:space="preserve">Sintetizar las orientaciones ministeriales de un año escolar y extraer las obligaciones concretas que corresponden al establecimiento.</w:t>
      </w:r>
    </w:p>
    <w:p>
      <w:pPr>
        <w:pStyle w:val="ListParagraph"/>
        <w:numPr>
          <w:ilvl w:val="0"/>
          <w:numId w:val="3"/>
        </w:numPr>
        <w:spacing w:after="90" w:line="290"/>
        <w:jc w:val="both"/>
      </w:pPr>
      <w:r>
        <w:rPr>
          <w:rFonts w:ascii="Calibri" w:cs="Calibri" w:eastAsia="Calibri" w:hAnsi="Calibri"/>
          <w:color w:val="282828"/>
          <w:sz w:val="22"/>
          <w:szCs w:val="22"/>
        </w:rPr>
        <w:t xml:space="preserve">Comparar la versión anterior y la versión actual de un reglamento de evaluación, identificando qué cambió.</w:t>
      </w:r>
    </w:p>
    <w:p>
      <w:pPr>
        <w:pStyle w:val="ListParagraph"/>
        <w:numPr>
          <w:ilvl w:val="0"/>
          <w:numId w:val="3"/>
        </w:numPr>
        <w:spacing w:after="90" w:line="290"/>
        <w:jc w:val="both"/>
      </w:pPr>
      <w:r>
        <w:rPr>
          <w:rFonts w:ascii="Calibri" w:cs="Calibri" w:eastAsia="Calibri" w:hAnsi="Calibri"/>
          <w:color w:val="282828"/>
          <w:sz w:val="22"/>
          <w:szCs w:val="22"/>
        </w:rPr>
        <w:t xml:space="preserve">Procesar las respuestas abiertas de una encuesta de clima escolar y agrupar los temas recurrentes, previamente anonimizadas.</w:t>
      </w:r>
    </w:p>
    <w:p>
      <w:pPr>
        <w:pStyle w:val="ListParagraph"/>
        <w:numPr>
          <w:ilvl w:val="0"/>
          <w:numId w:val="3"/>
        </w:numPr>
        <w:spacing w:after="90" w:line="290"/>
        <w:jc w:val="both"/>
      </w:pPr>
      <w:r>
        <w:rPr>
          <w:rFonts w:ascii="Calibri" w:cs="Calibri" w:eastAsia="Calibri" w:hAnsi="Calibri"/>
          <w:color w:val="282828"/>
          <w:sz w:val="22"/>
          <w:szCs w:val="22"/>
        </w:rPr>
        <w:t xml:space="preserve">Resumir los resultados de una jornada de reflexión pedagógica en un documento de acuerdos para el Consejo de Profesores.</w:t>
      </w:r>
    </w:p>
    <w:p>
      <w:pPr>
        <w:pStyle w:val="ListParagraph"/>
        <w:numPr>
          <w:ilvl w:val="0"/>
          <w:numId w:val="3"/>
        </w:numPr>
        <w:spacing w:after="90" w:line="290"/>
        <w:jc w:val="both"/>
      </w:pPr>
      <w:r>
        <w:rPr>
          <w:rFonts w:ascii="Calibri" w:cs="Calibri" w:eastAsia="Calibri" w:hAnsi="Calibri"/>
          <w:color w:val="282828"/>
          <w:sz w:val="22"/>
          <w:szCs w:val="22"/>
        </w:rPr>
        <w:t xml:space="preserve">Extraer de un informe de la Agencia de Calidad los focos de mejora asociados a la dimensión de gestión curricular.</w:t>
      </w:r>
    </w:p>
    <w:p>
      <w:pPr>
        <w:pStyle w:val="ListParagraph"/>
        <w:numPr>
          <w:ilvl w:val="0"/>
          <w:numId w:val="3"/>
        </w:numPr>
        <w:spacing w:after="90" w:line="290"/>
        <w:jc w:val="both"/>
      </w:pPr>
      <w:r>
        <w:rPr>
          <w:rFonts w:ascii="Calibri" w:cs="Calibri" w:eastAsia="Calibri" w:hAnsi="Calibri"/>
          <w:color w:val="282828"/>
          <w:sz w:val="22"/>
          <w:szCs w:val="22"/>
        </w:rPr>
        <w:t xml:space="preserve">Sistematizar los aportes recogidos en los procesos participativos de elaboración del Plan Anual del Servicio.</w:t>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Aplicación territorial sugerida</w:t>
            </w:r>
          </w:p>
          <w:p>
            <w:pPr>
              <w:spacing w:after="80" w:line="290"/>
              <w:jc w:val="both"/>
            </w:pPr>
            <w:r>
              <w:rPr>
                <w:rFonts w:ascii="Calibri" w:cs="Calibri" w:eastAsia="Calibri" w:hAnsi="Calibri"/>
                <w:b/>
                <w:bCs/>
                <w:color w:val="1F84EB"/>
                <w:sz w:val="21"/>
                <w:szCs w:val="21"/>
              </w:rPr>
              <w:t xml:space="preserve">Situación: </w:t>
            </w:r>
            <w:r>
              <w:rPr>
                <w:rFonts w:ascii="Calibri" w:cs="Calibri" w:eastAsia="Calibri" w:hAnsi="Calibri"/>
                <w:color w:val="282828"/>
                <w:sz w:val="21"/>
                <w:szCs w:val="21"/>
              </w:rPr>
              <w:t xml:space="preserve">el Servicio Local desarrolla instancias de participación con directores, jefaturas de UTP, educadoras de párvulos y representantes de la comunidad para elaborar sus instrumentos de gestión. Cada jornada produce decenas de páginas de registros.</w:t>
            </w:r>
          </w:p>
          <w:p>
            <w:pPr>
              <w:spacing w:after="80" w:line="290"/>
              <w:jc w:val="both"/>
            </w:pPr>
            <w:r>
              <w:rPr>
                <w:rFonts w:ascii="Calibri" w:cs="Calibri" w:eastAsia="Calibri" w:hAnsi="Calibri"/>
                <w:b/>
                <w:bCs/>
                <w:color w:val="1F84EB"/>
                <w:sz w:val="21"/>
                <w:szCs w:val="21"/>
              </w:rPr>
              <w:t xml:space="preserve">Uso de IA: </w:t>
            </w:r>
            <w:r>
              <w:rPr>
                <w:rFonts w:ascii="Calibri" w:cs="Calibri" w:eastAsia="Calibri" w:hAnsi="Calibri"/>
                <w:color w:val="282828"/>
                <w:sz w:val="21"/>
                <w:szCs w:val="21"/>
              </w:rPr>
              <w:t xml:space="preserve">sintetizar los registros anonimizados de todas las jornadas, identificar los temas que se repiten en las cuatro comunas y detectar aquellos que aparecen solo en un territorio específico.</w:t>
            </w:r>
          </w:p>
          <w:p>
            <w:pPr>
              <w:spacing w:after="80" w:line="290"/>
              <w:jc w:val="both"/>
            </w:pPr>
            <w:r>
              <w:rPr>
                <w:rFonts w:ascii="Calibri" w:cs="Calibri" w:eastAsia="Calibri" w:hAnsi="Calibri"/>
                <w:b/>
                <w:bCs/>
                <w:color w:val="1F84EB"/>
                <w:sz w:val="21"/>
                <w:szCs w:val="21"/>
              </w:rPr>
              <w:t xml:space="preserve">Valor agregado: </w:t>
            </w:r>
            <w:r>
              <w:rPr>
                <w:rFonts w:ascii="Calibri" w:cs="Calibri" w:eastAsia="Calibri" w:hAnsi="Calibri"/>
                <w:color w:val="282828"/>
                <w:sz w:val="21"/>
                <w:szCs w:val="21"/>
              </w:rPr>
              <w:t xml:space="preserve">el equipo llega a la sesión de deliberación con la información ya ordenada y puede dedicar el tiempo a decidir, no a leer. Las diferencias entre comunas quedan visibles en lugar de diluirse en el promedio.</w:t>
            </w:r>
          </w:p>
        </w:tc>
      </w:tr>
    </w:tbl>
    <w:p>
      <w:pPr>
        <w:pStyle w:val="Heading2"/>
        <w:spacing w:after="140" w:before="280"/>
      </w:pPr>
      <w:r>
        <w:rPr>
          <w:rFonts w:ascii="Calibri" w:cs="Calibri" w:eastAsia="Calibri" w:hAnsi="Calibri"/>
          <w:b/>
          <w:bCs/>
          <w:color w:val="1F84EB"/>
          <w:sz w:val="26"/>
          <w:szCs w:val="26"/>
        </w:rPr>
        <w:t xml:space="preserve">12.3 Beneficios y límites</w:t>
      </w:r>
    </w:p>
    <w:p>
      <w:pPr>
        <w:spacing w:after="140" w:line="300"/>
        <w:jc w:val="both"/>
      </w:pPr>
      <w:r>
        <w:rPr>
          <w:rFonts w:ascii="Calibri" w:cs="Calibri" w:eastAsia="Calibri" w:hAnsi="Calibri"/>
          <w:color w:val="282828"/>
          <w:sz w:val="22"/>
          <w:szCs w:val="22"/>
        </w:rPr>
        <w:t xml:space="preserve">Howard et al. (2022, citados en Bustamante Bula &amp; Camacho Bonilla, 2024) constatan que se está dando poco uso a los datos para la toma de decisiones en el campo educativo. Una de las causas es el costo de procesamiento: leer, ordenar y comparar información toma tiempo del que los equipos no disponen. Este tipo de uso ataca directamente esa barrera.</w:t>
      </w:r>
    </w:p>
    <w:p>
      <w:pPr>
        <w:spacing w:after="140" w:line="300"/>
        <w:jc w:val="both"/>
      </w:pPr>
      <w:r>
        <w:rPr>
          <w:rFonts w:ascii="Calibri" w:cs="Calibri" w:eastAsia="Calibri" w:hAnsi="Calibri"/>
          <w:color w:val="282828"/>
          <w:sz w:val="22"/>
          <w:szCs w:val="22"/>
        </w:rPr>
        <w:t xml:space="preserve">El límite es que toda síntesis implica una pérdida. La IA prioriza lo frecuente sobre lo relevante, de modo que un aporte minoritario pero decisivo puede quedar fuera. Corresponde al equipo revisar los materiales originales en los puntos críticos y no confiar únicamente en el resumen.</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13. Tipo 3. Diseño pedagógico y evaluativo</w:t>
      </w:r>
    </w:p>
    <w:p>
      <w:pPr>
        <w:pStyle w:val="Heading2"/>
        <w:spacing w:after="140" w:before="280"/>
      </w:pPr>
      <w:r>
        <w:rPr>
          <w:rFonts w:ascii="Calibri" w:cs="Calibri" w:eastAsia="Calibri" w:hAnsi="Calibri"/>
          <w:b/>
          <w:bCs/>
          <w:color w:val="1F84EB"/>
          <w:sz w:val="26"/>
          <w:szCs w:val="26"/>
        </w:rPr>
        <w:t xml:space="preserve">13.1 En qué consiste</w:t>
      </w:r>
    </w:p>
    <w:p>
      <w:pPr>
        <w:spacing w:after="140" w:line="300"/>
        <w:jc w:val="both"/>
      </w:pPr>
      <w:r>
        <w:rPr>
          <w:rFonts w:ascii="Calibri" w:cs="Calibri" w:eastAsia="Calibri" w:hAnsi="Calibri"/>
          <w:color w:val="282828"/>
          <w:sz w:val="22"/>
          <w:szCs w:val="22"/>
        </w:rPr>
        <w:t xml:space="preserve">Es el uso con mayor impacto directo en el aula: generar planificaciones, materiales didácticos, instrumentos de evaluación y adaptaciones curriculares. Ese mismo material lo reconoce expresamente al incluir la creación de rúbricas e instrumentos de evaluación y la elaboración de materiales didácticos básicos entre las tareas delegables (Uso ético de la inteligencia artificial, s.f.).</w:t>
      </w:r>
    </w:p>
    <w:p>
      <w:pPr>
        <w:spacing w:after="140" w:line="300"/>
        <w:jc w:val="both"/>
      </w:pPr>
      <w:r>
        <w:rPr>
          <w:rFonts w:ascii="Calibri" w:cs="Calibri" w:eastAsia="Calibri" w:hAnsi="Calibri"/>
          <w:color w:val="282828"/>
          <w:sz w:val="22"/>
          <w:szCs w:val="22"/>
        </w:rPr>
        <w:t xml:space="preserve">La condición para que funcione es la especificidad. Un prompt genérico produce material genérico. La diferencia entre pedir una clase de lenguaje y pedir una clase para tercero básico en lenguaje, enfocada en comprensión lectora con inferencias simples, determina por completo la utilidad del resultado (Guía cómo redactar y ajustar prompts efectivos, s.f.).</w:t>
      </w:r>
    </w:p>
    <w:p>
      <w:pPr>
        <w:pStyle w:val="Heading2"/>
        <w:spacing w:after="140" w:before="280"/>
      </w:pPr>
      <w:r>
        <w:rPr>
          <w:rFonts w:ascii="Calibri" w:cs="Calibri" w:eastAsia="Calibri" w:hAnsi="Calibri"/>
          <w:b/>
          <w:bCs/>
          <w:color w:val="1F84EB"/>
          <w:sz w:val="26"/>
          <w:szCs w:val="26"/>
        </w:rPr>
        <w:t xml:space="preserve">13.2 Ejemplos concretos para el sistema escolar chileno</w:t>
      </w:r>
    </w:p>
    <w:p>
      <w:pPr>
        <w:spacing w:after="40" w:before="240"/>
      </w:pPr>
      <w:r>
        <w:rPr>
          <w:rFonts w:ascii="Calibri" w:cs="Calibri" w:eastAsia="Calibri" w:hAnsi="Calibri"/>
          <w:b/>
          <w:bCs/>
          <w:color w:val="282828"/>
          <w:sz w:val="20"/>
          <w:szCs w:val="20"/>
        </w:rPr>
        <w:t xml:space="preserve">Tabla 18</w:t>
      </w:r>
    </w:p>
    <w:p>
      <w:pPr>
        <w:spacing w:after="110"/>
      </w:pPr>
      <w:r>
        <w:rPr>
          <w:rFonts w:ascii="Calibri" w:cs="Calibri" w:eastAsia="Calibri" w:hAnsi="Calibri"/>
          <w:i/>
          <w:iCs/>
          <w:color w:val="282828"/>
          <w:sz w:val="20"/>
          <w:szCs w:val="20"/>
        </w:rPr>
        <w:t xml:space="preserve">Aplicaciones de diseño pedagógico y evaluativo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4100"/>
        <w:gridCol w:w="336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Aplicación</w:t>
            </w:r>
          </w:p>
        </w:tc>
        <w:tc>
          <w:tcPr>
            <w:tcW w:type="dxa" w:w="41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Ejemplo concreto</w:t>
            </w:r>
          </w:p>
        </w:tc>
        <w:tc>
          <w:tcPr>
            <w:tcW w:type="dxa" w:w="33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Beneficio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Planificación de clases</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Generar la secuencia de una clase de 90 minutos para Ciencias para la Ciudadanía de 3.° medio, alineada con el objetivo de aprendizaje priorizado.</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Reduce el tiempo de preparación y facilita la coherencia entre objetivo, actividad y evaluación.</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Diversificación</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Producir tres versiones de una misma guía de matemática de 6.° básico con distinto nivel de andamiaje para un curso heterogéneo.</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Permite atender la diversidad sin triplicar la carga de preparación docente.</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Rúbricas</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Construir una rúbrica de exposición oral para 6.° básico, con cuatro criterios y tres niveles de logro.</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Estandariza criterios entre docentes y libera tiempo para la retroalimentación.</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Ítems de evaluación</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Generar preguntas de alternativas y de desarrollo sobre un objetivo de aprendizaje, con distractores plausibles.</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Amplía el banco de ítems del establecimiento y mejora la calidad de los distractores.</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Adaptación de textos</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Ajustar la complejidad léxica de un texto histórico para estudiantes de segundo ciclo con dificultades de comprensión.</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Facilita el acceso al currículum sin reducir la exigencia cognitiva.</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Contextualización local</w:t>
            </w:r>
          </w:p>
        </w:tc>
        <w:tc>
          <w:tcPr>
            <w:tcW w:type="dxa" w:w="41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Reescribir situaciones problema de matemática usando referencias reconocibles en el entorno del establecimiento: el río Biobío, el comercio del sector, la actividad agrícola o forestal de la zona.</w:t>
            </w:r>
          </w:p>
        </w:tc>
        <w:tc>
          <w:tcPr>
            <w:tcW w:type="dxa" w:w="33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Aumenta la pertinencia y el sentido de pertenencia del aprendizaje.</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Retroalimentación</w:t>
            </w:r>
          </w:p>
        </w:tc>
        <w:tc>
          <w:tcPr>
            <w:tcW w:type="dxa" w:w="41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Sugerir formulaciones de retroalimentación descriptiva a partir de criterios de una rúbrica, sin datos del estudiante.</w:t>
            </w:r>
          </w:p>
        </w:tc>
        <w:tc>
          <w:tcPr>
            <w:tcW w:type="dxa" w:w="33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Mejora la calidad del lenguaje evaluativo del equipo docente.</w:t>
            </w:r>
          </w:p>
        </w:tc>
      </w:tr>
    </w:tbl>
    <w:p>
      <w:pPr>
        <w:spacing w:after="200" w:before="60"/>
      </w:pPr>
      <w:r>
        <w:rPr>
          <w:rFonts w:ascii="Calibri" w:cs="Calibri" w:eastAsia="Calibri" w:hAnsi="Calibri"/>
          <w:i/>
          <w:iCs/>
          <w:color w:val="5A5A5A"/>
          <w:sz w:val="18"/>
          <w:szCs w:val="18"/>
        </w:rPr>
        <w:t xml:space="preserve">Nota. Elaboración propia a partir de UNITEC (2024), Educ.ar (2025) y el material de formación recibido (Guía cómo redactar y ajustar prompts efectivos, s.f.).</w:t>
      </w:r>
    </w:p>
    <w:p>
      <w:pPr>
        <w:pStyle w:val="Heading2"/>
        <w:spacing w:after="140" w:before="280"/>
      </w:pPr>
      <w:r>
        <w:rPr>
          <w:rFonts w:ascii="Calibri" w:cs="Calibri" w:eastAsia="Calibri" w:hAnsi="Calibri"/>
          <w:b/>
          <w:bCs/>
          <w:color w:val="1F84EB"/>
          <w:sz w:val="26"/>
          <w:szCs w:val="26"/>
        </w:rPr>
        <w:t xml:space="preserve">13.3 Evidencia de aula en Chile</w:t>
      </w:r>
    </w:p>
    <w:p>
      <w:pPr>
        <w:spacing w:after="140" w:line="300"/>
        <w:jc w:val="both"/>
      </w:pPr>
      <w:r>
        <w:rPr>
          <w:rFonts w:ascii="Calibri" w:cs="Calibri" w:eastAsia="Calibri" w:hAnsi="Calibri"/>
          <w:color w:val="282828"/>
          <w:sz w:val="22"/>
          <w:szCs w:val="22"/>
        </w:rPr>
        <w:t xml:space="preserve">Las veinte iniciativas sistematizadas por Ortiz González y Fourt (2025) en establecimientos de la provincia de Cachapoal muestran que este tipo de uso es viable en aulas chilenas reales. La IA fue empleada como asistente de investigación y síntesis, como apoyo a la ideación y creatividad, en la producción y diseño de materiales visuales, y como asistencia técnica en proyectos más complejos. Un principio recurrente establece que la IA se emplea como asistente, y que la verificación de información y las decisiones pedagógicas quedan a cargo del docente y los equipos.</w:t>
      </w:r>
    </w:p>
    <w:p>
      <w:pPr>
        <w:pStyle w:val="Heading2"/>
        <w:spacing w:after="140" w:before="280"/>
      </w:pPr>
      <w:r>
        <w:rPr>
          <w:rFonts w:ascii="Calibri" w:cs="Calibri" w:eastAsia="Calibri" w:hAnsi="Calibri"/>
          <w:b/>
          <w:bCs/>
          <w:color w:val="1F84EB"/>
          <w:sz w:val="26"/>
          <w:szCs w:val="26"/>
        </w:rPr>
        <w:t xml:space="preserve">13.4 Límites</w:t>
      </w:r>
    </w:p>
    <w:p>
      <w:pPr>
        <w:pStyle w:val="ListParagraph"/>
        <w:numPr>
          <w:ilvl w:val="0"/>
          <w:numId w:val="3"/>
        </w:numPr>
        <w:spacing w:after="90" w:line="290"/>
        <w:jc w:val="both"/>
      </w:pPr>
      <w:r>
        <w:rPr>
          <w:rFonts w:ascii="Calibri" w:cs="Calibri" w:eastAsia="Calibri" w:hAnsi="Calibri"/>
          <w:b/>
          <w:bCs/>
          <w:color w:val="E8505B"/>
          <w:sz w:val="22"/>
          <w:szCs w:val="22"/>
        </w:rPr>
        <w:t xml:space="preserve">Alineación curricular: </w:t>
      </w:r>
      <w:r>
        <w:rPr>
          <w:rFonts w:ascii="Calibri" w:cs="Calibri" w:eastAsia="Calibri" w:hAnsi="Calibri"/>
          <w:color w:val="282828"/>
          <w:sz w:val="22"/>
          <w:szCs w:val="22"/>
        </w:rPr>
        <w:t xml:space="preserve">la IA no conoce con precisión las Bases Curriculares chilenas ni la priorización vigente. Todo objetivo de aprendizaje debe ser verificado contra el currículum oficial.</w:t>
      </w:r>
    </w:p>
    <w:p>
      <w:pPr>
        <w:pStyle w:val="ListParagraph"/>
        <w:numPr>
          <w:ilvl w:val="0"/>
          <w:numId w:val="3"/>
        </w:numPr>
        <w:spacing w:after="90" w:line="290"/>
        <w:jc w:val="both"/>
      </w:pPr>
      <w:r>
        <w:rPr>
          <w:rFonts w:ascii="Calibri" w:cs="Calibri" w:eastAsia="Calibri" w:hAnsi="Calibri"/>
          <w:b/>
          <w:bCs/>
          <w:color w:val="E8505B"/>
          <w:sz w:val="22"/>
          <w:szCs w:val="22"/>
        </w:rPr>
        <w:t xml:space="preserve">Evaluación del desempeño: </w:t>
      </w:r>
      <w:r>
        <w:rPr>
          <w:rFonts w:ascii="Calibri" w:cs="Calibri" w:eastAsia="Calibri" w:hAnsi="Calibri"/>
          <w:color w:val="282828"/>
          <w:sz w:val="22"/>
          <w:szCs w:val="22"/>
        </w:rPr>
        <w:t xml:space="preserve">generar una rúbrica es una tarea delegable; evaluar con ella el desempeño de un estudiante o de un docente no lo es (Uso ético de la inteligencia artificial, s.f.).</w:t>
      </w:r>
    </w:p>
    <w:p>
      <w:pPr>
        <w:pStyle w:val="ListParagraph"/>
        <w:numPr>
          <w:ilvl w:val="0"/>
          <w:numId w:val="3"/>
        </w:numPr>
        <w:spacing w:after="90" w:line="290"/>
        <w:jc w:val="both"/>
      </w:pPr>
      <w:r>
        <w:rPr>
          <w:rFonts w:ascii="Calibri" w:cs="Calibri" w:eastAsia="Calibri" w:hAnsi="Calibri"/>
          <w:b/>
          <w:bCs/>
          <w:color w:val="E8505B"/>
          <w:sz w:val="22"/>
          <w:szCs w:val="22"/>
        </w:rPr>
        <w:t xml:space="preserve">Calidad variable: </w:t>
      </w:r>
      <w:r>
        <w:rPr>
          <w:rFonts w:ascii="Calibri" w:cs="Calibri" w:eastAsia="Calibri" w:hAnsi="Calibri"/>
          <w:color w:val="282828"/>
          <w:sz w:val="22"/>
          <w:szCs w:val="22"/>
        </w:rPr>
        <w:t xml:space="preserve">un material generado en un minuto puede parecer sólido y no serlo. La validación técnico-pedagógica es obligatoria antes de llevarlo al aula.</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14. Tipo 4. Comunicación institucional</w:t>
      </w:r>
    </w:p>
    <w:p>
      <w:pPr>
        <w:pStyle w:val="Heading2"/>
        <w:spacing w:after="140" w:before="280"/>
      </w:pPr>
      <w:r>
        <w:rPr>
          <w:rFonts w:ascii="Calibri" w:cs="Calibri" w:eastAsia="Calibri" w:hAnsi="Calibri"/>
          <w:b/>
          <w:bCs/>
          <w:color w:val="1F84EB"/>
          <w:sz w:val="26"/>
          <w:szCs w:val="26"/>
        </w:rPr>
        <w:t xml:space="preserve">14.1 En qué consiste</w:t>
      </w:r>
    </w:p>
    <w:p>
      <w:pPr>
        <w:spacing w:after="140" w:line="300"/>
        <w:jc w:val="both"/>
      </w:pPr>
      <w:r>
        <w:rPr>
          <w:rFonts w:ascii="Calibri" w:cs="Calibri" w:eastAsia="Calibri" w:hAnsi="Calibri"/>
          <w:color w:val="282828"/>
          <w:sz w:val="22"/>
          <w:szCs w:val="22"/>
        </w:rPr>
        <w:t xml:space="preserve">Consiste en emplear la IA para adaptar el lenguaje de la comunicación institucional a distintas audiencias: familias, estudiantes, funcionarios, autoridades. Su valor está en la claridad, no en la producción de contenido nuevo.</w:t>
      </w:r>
    </w:p>
    <w:p>
      <w:pPr>
        <w:spacing w:after="140" w:line="300"/>
        <w:jc w:val="both"/>
      </w:pPr>
      <w:r>
        <w:rPr>
          <w:rFonts w:ascii="Calibri" w:cs="Calibri" w:eastAsia="Calibri" w:hAnsi="Calibri"/>
          <w:color w:val="282828"/>
          <w:sz w:val="22"/>
          <w:szCs w:val="22"/>
        </w:rPr>
        <w:t xml:space="preserve">Existe un límite categórico. La comunicación sensible con familias o la comunidad está expresamente excluida de las tareas delegables (Uso ético de la inteligencia artificial, s.f.). Una carta sobre un accidente escolar, la notificación de una medida disciplinaria o la comunicación de un fallecimiento se redactan íntegramente por una persona que conoce a los destinatarios.</w:t>
      </w:r>
    </w:p>
    <w:p>
      <w:pPr>
        <w:pStyle w:val="Heading2"/>
        <w:spacing w:after="140" w:before="280"/>
      </w:pPr>
      <w:r>
        <w:rPr>
          <w:rFonts w:ascii="Calibri" w:cs="Calibri" w:eastAsia="Calibri" w:hAnsi="Calibri"/>
          <w:b/>
          <w:bCs/>
          <w:color w:val="1F84EB"/>
          <w:sz w:val="26"/>
          <w:szCs w:val="26"/>
        </w:rPr>
        <w:t xml:space="preserve">14.2 Ejemplos apropiados</w:t>
      </w:r>
    </w:p>
    <w:p>
      <w:pPr>
        <w:pStyle w:val="ListParagraph"/>
        <w:numPr>
          <w:ilvl w:val="0"/>
          <w:numId w:val="3"/>
        </w:numPr>
        <w:spacing w:after="90" w:line="290"/>
        <w:jc w:val="both"/>
      </w:pPr>
      <w:r>
        <w:rPr>
          <w:rFonts w:ascii="Calibri" w:cs="Calibri" w:eastAsia="Calibri" w:hAnsi="Calibri"/>
          <w:color w:val="282828"/>
          <w:sz w:val="22"/>
          <w:szCs w:val="22"/>
        </w:rPr>
        <w:t xml:space="preserve">Traducir a lenguaje comprensible un protocolo de actuación extenso, para publicarlo en la página del establecimiento.</w:t>
      </w:r>
    </w:p>
    <w:p>
      <w:pPr>
        <w:pStyle w:val="ListParagraph"/>
        <w:numPr>
          <w:ilvl w:val="0"/>
          <w:numId w:val="3"/>
        </w:numPr>
        <w:spacing w:after="90" w:line="290"/>
        <w:jc w:val="both"/>
      </w:pPr>
      <w:r>
        <w:rPr>
          <w:rFonts w:ascii="Calibri" w:cs="Calibri" w:eastAsia="Calibri" w:hAnsi="Calibri"/>
          <w:color w:val="282828"/>
          <w:sz w:val="22"/>
          <w:szCs w:val="22"/>
        </w:rPr>
        <w:t xml:space="preserve">Adaptar la información sobre el proceso de admisión escolar a un formato breve para difusión a familias.</w:t>
      </w:r>
    </w:p>
    <w:p>
      <w:pPr>
        <w:pStyle w:val="ListParagraph"/>
        <w:numPr>
          <w:ilvl w:val="0"/>
          <w:numId w:val="3"/>
        </w:numPr>
        <w:spacing w:after="90" w:line="290"/>
        <w:jc w:val="both"/>
      </w:pPr>
      <w:r>
        <w:rPr>
          <w:rFonts w:ascii="Calibri" w:cs="Calibri" w:eastAsia="Calibri" w:hAnsi="Calibri"/>
          <w:color w:val="282828"/>
          <w:sz w:val="22"/>
          <w:szCs w:val="22"/>
        </w:rPr>
        <w:t xml:space="preserve">Preparar tres versiones de una circular informativa: una para apoderados, una para docentes y una para estudiantes de enseñanza media.</w:t>
      </w:r>
    </w:p>
    <w:p>
      <w:pPr>
        <w:pStyle w:val="ListParagraph"/>
        <w:numPr>
          <w:ilvl w:val="0"/>
          <w:numId w:val="3"/>
        </w:numPr>
        <w:spacing w:after="90" w:line="290"/>
        <w:jc w:val="both"/>
      </w:pPr>
      <w:r>
        <w:rPr>
          <w:rFonts w:ascii="Calibri" w:cs="Calibri" w:eastAsia="Calibri" w:hAnsi="Calibri"/>
          <w:color w:val="282828"/>
          <w:sz w:val="22"/>
          <w:szCs w:val="22"/>
        </w:rPr>
        <w:t xml:space="preserve">Elaborar preguntas frecuentes a partir de un reglamento interno, para facilitar su comprensión.</w:t>
      </w:r>
    </w:p>
    <w:p>
      <w:pPr>
        <w:pStyle w:val="ListParagraph"/>
        <w:numPr>
          <w:ilvl w:val="0"/>
          <w:numId w:val="3"/>
        </w:numPr>
        <w:spacing w:after="90" w:line="290"/>
        <w:jc w:val="both"/>
      </w:pPr>
      <w:r>
        <w:rPr>
          <w:rFonts w:ascii="Calibri" w:cs="Calibri" w:eastAsia="Calibri" w:hAnsi="Calibri"/>
          <w:color w:val="282828"/>
          <w:sz w:val="22"/>
          <w:szCs w:val="22"/>
        </w:rPr>
        <w:t xml:space="preserve">Redactar la convocatoria a una jornada de reflexión pedagógica o a una elección del Centro de Estudiantes.</w:t>
      </w:r>
    </w:p>
    <w:p>
      <w:pPr>
        <w:pStyle w:val="ListParagraph"/>
        <w:numPr>
          <w:ilvl w:val="0"/>
          <w:numId w:val="3"/>
        </w:numPr>
        <w:spacing w:after="90" w:line="290"/>
        <w:jc w:val="both"/>
      </w:pPr>
      <w:r>
        <w:rPr>
          <w:rFonts w:ascii="Calibri" w:cs="Calibri" w:eastAsia="Calibri" w:hAnsi="Calibri"/>
          <w:color w:val="282828"/>
          <w:sz w:val="22"/>
          <w:szCs w:val="22"/>
        </w:rPr>
        <w:t xml:space="preserve">Estructurar la presentación de la Cuenta Pública anual del establecimiento.</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Ejemplos que NO corresponden a este uso</w:t>
            </w:r>
          </w:p>
          <w:p>
            <w:pPr>
              <w:spacing w:after="80" w:line="290"/>
              <w:jc w:val="both"/>
            </w:pPr>
            <w:r>
              <w:rPr>
                <w:rFonts w:ascii="Calibri" w:cs="Calibri" w:eastAsia="Calibri" w:hAnsi="Calibri"/>
                <w:b/>
                <w:bCs/>
                <w:color w:val="282828"/>
                <w:sz w:val="21"/>
                <w:szCs w:val="21"/>
              </w:rPr>
              <w:t xml:space="preserve">Comunicar a una familia una medida disciplinaria o la activación de un protocolo de vulneración de derechos.</w:t>
            </w:r>
          </w:p>
          <w:p>
            <w:pPr>
              <w:spacing w:after="80" w:line="290"/>
              <w:jc w:val="both"/>
            </w:pPr>
            <w:r>
              <w:rPr>
                <w:rFonts w:ascii="Calibri" w:cs="Calibri" w:eastAsia="Calibri" w:hAnsi="Calibri"/>
                <w:b/>
                <w:bCs/>
                <w:color w:val="282828"/>
                <w:sz w:val="21"/>
                <w:szCs w:val="21"/>
              </w:rPr>
              <w:t xml:space="preserve">Responder una carta de reclamo de un apoderado.</w:t>
            </w:r>
          </w:p>
          <w:p>
            <w:pPr>
              <w:spacing w:after="80" w:line="290"/>
              <w:jc w:val="both"/>
            </w:pPr>
            <w:r>
              <w:rPr>
                <w:rFonts w:ascii="Calibri" w:cs="Calibri" w:eastAsia="Calibri" w:hAnsi="Calibri"/>
                <w:b/>
                <w:bCs/>
                <w:color w:val="282828"/>
                <w:sz w:val="21"/>
                <w:szCs w:val="21"/>
              </w:rPr>
              <w:t xml:space="preserve">Notificar a un funcionario una observación sobre su desempeño.</w:t>
            </w:r>
          </w:p>
          <w:p>
            <w:pPr>
              <w:spacing w:after="80" w:line="290"/>
              <w:jc w:val="both"/>
            </w:pPr>
            <w:r>
              <w:rPr>
                <w:rFonts w:ascii="Calibri" w:cs="Calibri" w:eastAsia="Calibri" w:hAnsi="Calibri"/>
                <w:b/>
                <w:bCs/>
                <w:color w:val="282828"/>
                <w:sz w:val="21"/>
                <w:szCs w:val="21"/>
              </w:rPr>
              <w:t xml:space="preserve">Comunicar situaciones de duelo, emergencia o crisis en la comunidad escolar.</w:t>
            </w:r>
          </w:p>
          <w:p>
            <w:pPr>
              <w:spacing w:after="80" w:line="290"/>
              <w:jc w:val="both"/>
            </w:pPr>
            <w:r>
              <w:rPr>
                <w:rFonts w:ascii="Calibri" w:cs="Calibri" w:eastAsia="Calibri" w:hAnsi="Calibri"/>
                <w:color w:val="282828"/>
                <w:sz w:val="21"/>
                <w:szCs w:val="21"/>
              </w:rPr>
              <w:t xml:space="preserve">En todos estos casos, el vínculo y el conocimiento de la persona destinataria son el contenido principal del mensaje. Delegarlos vacía la comunicación de aquello que la hace efectiva.</w:t>
            </w:r>
          </w:p>
        </w:tc>
      </w:tr>
    </w:tbl>
    <w:p>
      <w:pPr>
        <w:pStyle w:val="Heading2"/>
        <w:spacing w:after="140" w:before="280"/>
      </w:pPr>
      <w:r>
        <w:rPr>
          <w:rFonts w:ascii="Calibri" w:cs="Calibri" w:eastAsia="Calibri" w:hAnsi="Calibri"/>
          <w:b/>
          <w:bCs/>
          <w:color w:val="1F84EB"/>
          <w:sz w:val="26"/>
          <w:szCs w:val="26"/>
        </w:rPr>
        <w:t xml:space="preserve">14.3 Beneficios</w:t>
      </w:r>
    </w:p>
    <w:p>
      <w:pPr>
        <w:spacing w:after="140" w:line="300"/>
        <w:jc w:val="both"/>
      </w:pPr>
      <w:r>
        <w:rPr>
          <w:rFonts w:ascii="Calibri" w:cs="Calibri" w:eastAsia="Calibri" w:hAnsi="Calibri"/>
          <w:color w:val="282828"/>
          <w:sz w:val="22"/>
          <w:szCs w:val="22"/>
        </w:rPr>
        <w:t xml:space="preserve">El principal beneficio es la accesibilidad. Los documentos institucionales escolares chilenos tienden a un registro jurídico-administrativo que dificulta su comprensión por parte de las familias. Simplificar ese lenguaje sin alterar su contenido normativo mejora la participación efectiva de la comunidad, uno de los propósitos centrales de la elaboración participativa de los instrumentos de gestión (Ministerio de Educación de Chile, 2018b).</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15. Tipo 5. Apoyo al uso de datos para la mejora</w:t>
      </w:r>
    </w:p>
    <w:p>
      <w:pPr>
        <w:pStyle w:val="Heading2"/>
        <w:spacing w:after="140" w:before="280"/>
      </w:pPr>
      <w:r>
        <w:rPr>
          <w:rFonts w:ascii="Calibri" w:cs="Calibri" w:eastAsia="Calibri" w:hAnsi="Calibri"/>
          <w:b/>
          <w:bCs/>
          <w:color w:val="1F84EB"/>
          <w:sz w:val="26"/>
          <w:szCs w:val="26"/>
        </w:rPr>
        <w:t xml:space="preserve">15.1 En qué consiste</w:t>
      </w:r>
    </w:p>
    <w:p>
      <w:pPr>
        <w:spacing w:after="140" w:line="300"/>
        <w:jc w:val="both"/>
      </w:pPr>
      <w:r>
        <w:rPr>
          <w:rFonts w:ascii="Calibri" w:cs="Calibri" w:eastAsia="Calibri" w:hAnsi="Calibri"/>
          <w:color w:val="282828"/>
          <w:sz w:val="22"/>
          <w:szCs w:val="22"/>
        </w:rPr>
        <w:t xml:space="preserve">Es el tipo de uso con mayor potencial de impacto y también con mayor exigencia de resguardos. Consiste en emplear la IA para ordenar, interpretar y comunicar datos agregados del establecimiento o del territorio: asistencia, resultados de aprendizaje, indicadores de convivencia, trayectorias educativas.</w:t>
      </w:r>
    </w:p>
    <w:p>
      <w:pPr>
        <w:spacing w:after="140" w:line="300"/>
        <w:jc w:val="both"/>
      </w:pPr>
      <w:r>
        <w:rPr>
          <w:rFonts w:ascii="Calibri" w:cs="Calibri" w:eastAsia="Calibri" w:hAnsi="Calibri"/>
          <w:color w:val="282828"/>
          <w:sz w:val="22"/>
          <w:szCs w:val="22"/>
        </w:rPr>
        <w:t xml:space="preserve">El Ministerio de Educación sostiene que trabajar con los datos genera una noción de realidad y permite ir más allá de la línea de las percepciones personales, ponderando aspectos menos formales como las intuiciones y orientando las acciones para mejorar las trayectorias, tanto a nivel institucional como escolar (Ministerio de Educación de Chile, 2018a). La IA reduce el costo de ese trabajo, pero no lo sustituye.</w:t>
      </w:r>
    </w:p>
    <w:p>
      <w:pPr>
        <w:pStyle w:val="Heading2"/>
        <w:spacing w:after="140" w:before="280"/>
      </w:pPr>
      <w:r>
        <w:rPr>
          <w:rFonts w:ascii="Calibri" w:cs="Calibri" w:eastAsia="Calibri" w:hAnsi="Calibri"/>
          <w:b/>
          <w:bCs/>
          <w:color w:val="1F84EB"/>
          <w:sz w:val="26"/>
          <w:szCs w:val="26"/>
        </w:rPr>
        <w:t xml:space="preserve">15.2 Ejemplos en el contexto del Servicio Local</w:t>
      </w:r>
    </w:p>
    <w:p>
      <w:pPr>
        <w:spacing w:after="40" w:before="240"/>
      </w:pPr>
      <w:r>
        <w:rPr>
          <w:rFonts w:ascii="Calibri" w:cs="Calibri" w:eastAsia="Calibri" w:hAnsi="Calibri"/>
          <w:b/>
          <w:bCs/>
          <w:color w:val="282828"/>
          <w:sz w:val="20"/>
          <w:szCs w:val="20"/>
        </w:rPr>
        <w:t xml:space="preserve">Tabla 19</w:t>
      </w:r>
    </w:p>
    <w:p>
      <w:pPr>
        <w:spacing w:after="110"/>
      </w:pPr>
      <w:r>
        <w:rPr>
          <w:rFonts w:ascii="Calibri" w:cs="Calibri" w:eastAsia="Calibri" w:hAnsi="Calibri"/>
          <w:i/>
          <w:iCs/>
          <w:color w:val="282828"/>
          <w:sz w:val="20"/>
          <w:szCs w:val="20"/>
        </w:rPr>
        <w:t xml:space="preserve">Aplicaciones de apoyo al uso de datos</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4400"/>
        <w:gridCol w:w="306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Ámbito</w:t>
            </w:r>
          </w:p>
        </w:tc>
        <w:tc>
          <w:tcPr>
            <w:tcW w:type="dxa" w:w="44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Aplicación</w:t>
            </w:r>
          </w:p>
        </w:tc>
        <w:tc>
          <w:tcPr>
            <w:tcW w:type="dxa" w:w="30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Resguardo obligatorio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Asistencia escolar</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Identificar patrones de inasistencia por curso, mes y jornada; formular hipótesis explicativas a contrastar.</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Datos agregados por curso, nunca nóminas individuales.</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Resultados de aprendizaje</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Ordenar resultados de evaluaciones internas por objetivo de aprendizaje y detectar los ejes con mayor descenso.</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Sin identificación de estudiantes ni de docentes.</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Trayectorias educativas</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Analizar tendencias agregadas de repitencia y retiro por nivel, en apoyo al monitoreo del Servicio.</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Agregación mínima por curso; interpretación en equipo.</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Convivencia escolar</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Agrupar los tipos de situación registrados en un período y detectar concentraciones por espacio o momento de la jornada.</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Descripción de tipos de hecho, sin relato de casos.</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Acompañamiento al aula</w:t>
            </w:r>
          </w:p>
        </w:tc>
        <w:tc>
          <w:tcPr>
            <w:tcW w:type="dxa" w:w="44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Sintetizar focos recurrentes en registros de observación anonimizados y proponer líneas de desarrollo profesional.</w:t>
            </w:r>
          </w:p>
        </w:tc>
        <w:tc>
          <w:tcPr>
            <w:tcW w:type="dxa" w:w="30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Registros sin nombre de docente ni curso identificable.</w:t>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Recursos e infraestructura</w:t>
            </w:r>
          </w:p>
        </w:tc>
        <w:tc>
          <w:tcPr>
            <w:tcW w:type="dxa" w:w="44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Ordenar los requerimientos de los establecimientos y proponer criterios de priorización para su análisis.</w:t>
            </w:r>
          </w:p>
        </w:tc>
        <w:tc>
          <w:tcPr>
            <w:tcW w:type="dxa" w:w="30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Ninguno adicional; son datos institucionales.</w:t>
            </w:r>
          </w:p>
        </w:tc>
      </w:tr>
    </w:tbl>
    <w:p>
      <w:pPr>
        <w:spacing w:after="200" w:before="60"/>
      </w:pPr>
      <w:r>
        <w:rPr>
          <w:rFonts w:ascii="Calibri" w:cs="Calibri" w:eastAsia="Calibri" w:hAnsi="Calibri"/>
          <w:i/>
          <w:iCs/>
          <w:color w:val="5A5A5A"/>
          <w:sz w:val="18"/>
          <w:szCs w:val="18"/>
        </w:rPr>
        <w:t xml:space="preserve">Nota. Elaboración propia a partir de Ministerio de Educación de Chile (2018a) y Bustamante Bula y Camacho Bonilla (2024).</w:t>
      </w:r>
    </w:p>
    <w:p>
      <w:pPr>
        <w:pStyle w:val="Heading2"/>
        <w:spacing w:after="140" w:before="280"/>
      </w:pPr>
      <w:r>
        <w:rPr>
          <w:rFonts w:ascii="Calibri" w:cs="Calibri" w:eastAsia="Calibri" w:hAnsi="Calibri"/>
          <w:b/>
          <w:bCs/>
          <w:color w:val="1F84EB"/>
          <w:sz w:val="26"/>
          <w:szCs w:val="26"/>
        </w:rPr>
        <w:t xml:space="preserve">15.3 Lo que la evidencia respalda y lo que no</w:t>
      </w:r>
    </w:p>
    <w:p>
      <w:pPr>
        <w:spacing w:after="140" w:line="300"/>
        <w:jc w:val="both"/>
      </w:pPr>
      <w:r>
        <w:rPr>
          <w:rFonts w:ascii="Calibri" w:cs="Calibri" w:eastAsia="Calibri" w:hAnsi="Calibri"/>
          <w:color w:val="282828"/>
          <w:sz w:val="22"/>
          <w:szCs w:val="22"/>
        </w:rPr>
        <w:t xml:space="preserve">Niyogisubizo et al. (2022, citados en Bustamante Bula &amp; Camacho Bonilla, 2024) proponen sistemas de detección de causas de deserción escolar en educación secundaria mediante redes neuronales, destacando su potencial para fortalecer la permanencia y el rendimiento académico. Inusah et al. (2023, citados en la misma revisión) documentan un sistema experto para monitorear la necesidad y el suministro de recursos escolares, que mejoró los tiempos de entrega, incrementó la velocidad en la toma de decisiones y facilitó el manejo del recurso.</w:t>
      </w:r>
    </w:p>
    <w:tbl>
      <w:tblPr>
        <w:tblW w:type="dxa" w:w="9360"/>
        <w:tblBorders>
          <w:top w:val="single" w:color="FDF1F2" w:sz="2"/>
          <w:left w:val="single" w:color="E8505B" w:sz="24"/>
          <w:bottom w:val="single" w:color="FDF1F2" w:sz="2"/>
          <w:right w:val="single" w:color="FDF1F2" w:sz="2"/>
          <w:insideH w:val="none"/>
          <w:insideV w:val="none"/>
        </w:tblBorders>
      </w:tblPr>
      <w:tblGrid>
        <w:gridCol w:w="9360"/>
      </w:tblGrid>
      <w:tr>
        <w:tc>
          <w:tcPr>
            <w:tcW w:type="dxa" w:w="9360"/>
            <w:shd w:fill="FDF1F2" w:color="auto" w:val="clear"/>
            <w:tcMar>
              <w:top w:type="dxa" w:w="160"/>
              <w:left w:type="dxa" w:w="200"/>
              <w:bottom w:type="dxa" w:w="160"/>
              <w:right w:type="dxa" w:w="200"/>
            </w:tcMar>
          </w:tcPr>
          <w:p>
            <w:pPr>
              <w:spacing w:after="90"/>
            </w:pPr>
            <w:r>
              <w:rPr>
                <w:rFonts w:ascii="Calibri" w:cs="Calibri" w:eastAsia="Calibri" w:hAnsi="Calibri"/>
                <w:b/>
                <w:bCs/>
                <w:color w:val="E8505B"/>
                <w:sz w:val="22"/>
                <w:szCs w:val="22"/>
              </w:rPr>
              <w:t xml:space="preserve">Advertencia sobre predicción y estudiantes</w:t>
            </w:r>
          </w:p>
          <w:p>
            <w:pPr>
              <w:spacing w:after="80" w:line="290"/>
              <w:jc w:val="both"/>
            </w:pPr>
            <w:r>
              <w:rPr>
                <w:rFonts w:ascii="Calibri" w:cs="Calibri" w:eastAsia="Calibri" w:hAnsi="Calibri"/>
                <w:color w:val="282828"/>
                <w:sz w:val="21"/>
                <w:szCs w:val="21"/>
              </w:rPr>
              <w:t xml:space="preserve">Los sistemas predictivos aplicados a estudiantes individuales plantean riesgos serios: etiquetamiento, profecía autocumplida y decisiones tomadas sobre una probabilidad estadística en lugar del conocimiento del caso.</w:t>
            </w:r>
          </w:p>
          <w:p>
            <w:pPr>
              <w:spacing w:after="80" w:line="290"/>
              <w:jc w:val="both"/>
            </w:pPr>
            <w:r>
              <w:rPr>
                <w:rFonts w:ascii="Calibri" w:cs="Calibri" w:eastAsia="Calibri" w:hAnsi="Calibri"/>
                <w:b/>
                <w:bCs/>
                <w:color w:val="E8505B"/>
                <w:sz w:val="21"/>
                <w:szCs w:val="21"/>
              </w:rPr>
              <w:t xml:space="preserve">Regla para el territorio: </w:t>
            </w:r>
            <w:r>
              <w:rPr>
                <w:rFonts w:ascii="Calibri" w:cs="Calibri" w:eastAsia="Calibri" w:hAnsi="Calibri"/>
                <w:color w:val="282828"/>
                <w:sz w:val="21"/>
                <w:szCs w:val="21"/>
              </w:rPr>
              <w:t xml:space="preserve">el diagnóstico o intervención en casos de vulneración no debe delegarse en IA (Uso ético de la inteligencia artificial, s.f.). La IA puede ayudar a leer tendencias agregadas; la identificación de un estudiante en riesgo y la decisión sobre qué hacer con él corresponden al equipo, a partir del conocimiento directo del caso.</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16. Tipo 6. Apoyo a la reflexión y al liderazgo</w:t>
      </w:r>
    </w:p>
    <w:p>
      <w:pPr>
        <w:pStyle w:val="Heading2"/>
        <w:spacing w:after="140" w:before="280"/>
      </w:pPr>
      <w:r>
        <w:rPr>
          <w:rFonts w:ascii="Calibri" w:cs="Calibri" w:eastAsia="Calibri" w:hAnsi="Calibri"/>
          <w:b/>
          <w:bCs/>
          <w:color w:val="1F84EB"/>
          <w:sz w:val="26"/>
          <w:szCs w:val="26"/>
        </w:rPr>
        <w:t xml:space="preserve">16.1 En qué consiste</w:t>
      </w:r>
    </w:p>
    <w:p>
      <w:pPr>
        <w:spacing w:after="140" w:line="300"/>
        <w:jc w:val="both"/>
      </w:pPr>
      <w:r>
        <w:rPr>
          <w:rFonts w:ascii="Calibri" w:cs="Calibri" w:eastAsia="Calibri" w:hAnsi="Calibri"/>
          <w:color w:val="282828"/>
          <w:sz w:val="22"/>
          <w:szCs w:val="22"/>
        </w:rPr>
        <w:t xml:space="preserve">Es el uso más avanzado y el menos evidente. Consiste en emplear la IA como interlocutor crítico: alguien a quien exponerle un razonamiento para que identifique los supuestos no examinados, los riesgos no considerados o las perspectivas ausentes.</w:t>
      </w:r>
    </w:p>
    <w:p>
      <w:pPr>
        <w:spacing w:after="140" w:line="300"/>
        <w:jc w:val="both"/>
      </w:pPr>
      <w:r>
        <w:rPr>
          <w:rFonts w:ascii="Calibri" w:cs="Calibri" w:eastAsia="Calibri" w:hAnsi="Calibri"/>
          <w:color w:val="282828"/>
          <w:sz w:val="22"/>
          <w:szCs w:val="22"/>
        </w:rPr>
        <w:t xml:space="preserve">El Ministerio de Educación lo formula como un principio: la IA generativa no solo puede entregar respuestas, sino ayudar a profundizar procesos de pensamiento, cultivando la metacognición como aspecto importante del pensamiento crítico. No se trata de que la IA piense por nosotros, sino de usarla para pensar mejor (Ministerio de Educación de Chile, 2025).</w:t>
      </w:r>
    </w:p>
    <w:p>
      <w:pPr>
        <w:pStyle w:val="Heading2"/>
        <w:spacing w:after="140" w:before="280"/>
      </w:pPr>
      <w:r>
        <w:rPr>
          <w:rFonts w:ascii="Calibri" w:cs="Calibri" w:eastAsia="Calibri" w:hAnsi="Calibri"/>
          <w:b/>
          <w:bCs/>
          <w:color w:val="1F84EB"/>
          <w:sz w:val="26"/>
          <w:szCs w:val="26"/>
        </w:rPr>
        <w:t xml:space="preserve">16.2 Ejemplos para equipos directivos</w:t>
      </w:r>
    </w:p>
    <w:p>
      <w:pPr>
        <w:pStyle w:val="ListParagraph"/>
        <w:numPr>
          <w:ilvl w:val="0"/>
          <w:numId w:val="3"/>
        </w:numPr>
        <w:spacing w:after="90" w:line="290"/>
        <w:jc w:val="both"/>
      </w:pPr>
      <w:r>
        <w:rPr>
          <w:rFonts w:ascii="Calibri" w:cs="Calibri" w:eastAsia="Calibri" w:hAnsi="Calibri"/>
          <w:color w:val="282828"/>
          <w:sz w:val="22"/>
          <w:szCs w:val="22"/>
        </w:rPr>
        <w:t xml:space="preserve">Someter una decisión ya tomada a un análisis de riesgos: qué podría salir mal, qué estamos suponiendo sin verificar.</w:t>
      </w:r>
    </w:p>
    <w:p>
      <w:pPr>
        <w:pStyle w:val="ListParagraph"/>
        <w:numPr>
          <w:ilvl w:val="0"/>
          <w:numId w:val="3"/>
        </w:numPr>
        <w:spacing w:after="90" w:line="290"/>
        <w:jc w:val="both"/>
      </w:pPr>
      <w:r>
        <w:rPr>
          <w:rFonts w:ascii="Calibri" w:cs="Calibri" w:eastAsia="Calibri" w:hAnsi="Calibri"/>
          <w:color w:val="282828"/>
          <w:sz w:val="22"/>
          <w:szCs w:val="22"/>
        </w:rPr>
        <w:t xml:space="preserve">Pedir que se argumente en contra de una propuesta institucional, para anticipar las objeciones de la comunidad.</w:t>
      </w:r>
    </w:p>
    <w:p>
      <w:pPr>
        <w:pStyle w:val="ListParagraph"/>
        <w:numPr>
          <w:ilvl w:val="0"/>
          <w:numId w:val="3"/>
        </w:numPr>
        <w:spacing w:after="90" w:line="290"/>
        <w:jc w:val="both"/>
      </w:pPr>
      <w:r>
        <w:rPr>
          <w:rFonts w:ascii="Calibri" w:cs="Calibri" w:eastAsia="Calibri" w:hAnsi="Calibri"/>
          <w:color w:val="282828"/>
          <w:sz w:val="22"/>
          <w:szCs w:val="22"/>
        </w:rPr>
        <w:t xml:space="preserve">Explorar cómo se vería una misma medida desde la perspectiva de un apoderado, un docente y un estudiante.</w:t>
      </w:r>
    </w:p>
    <w:p>
      <w:pPr>
        <w:pStyle w:val="ListParagraph"/>
        <w:numPr>
          <w:ilvl w:val="0"/>
          <w:numId w:val="3"/>
        </w:numPr>
        <w:spacing w:after="90" w:line="290"/>
        <w:jc w:val="both"/>
      </w:pPr>
      <w:r>
        <w:rPr>
          <w:rFonts w:ascii="Calibri" w:cs="Calibri" w:eastAsia="Calibri" w:hAnsi="Calibri"/>
          <w:color w:val="282828"/>
          <w:sz w:val="22"/>
          <w:szCs w:val="22"/>
        </w:rPr>
        <w:t xml:space="preserve">Formular preguntas para una jornada de reflexión pedagógica sobre un problema específico del establecimiento.</w:t>
      </w:r>
    </w:p>
    <w:p>
      <w:pPr>
        <w:pStyle w:val="ListParagraph"/>
        <w:numPr>
          <w:ilvl w:val="0"/>
          <w:numId w:val="3"/>
        </w:numPr>
        <w:spacing w:after="90" w:line="290"/>
        <w:jc w:val="both"/>
      </w:pPr>
      <w:r>
        <w:rPr>
          <w:rFonts w:ascii="Calibri" w:cs="Calibri" w:eastAsia="Calibri" w:hAnsi="Calibri"/>
          <w:color w:val="282828"/>
          <w:sz w:val="22"/>
          <w:szCs w:val="22"/>
        </w:rPr>
        <w:t xml:space="preserve">Contrastar una propuesta de mejora con los estándares indicativos de desempeño de la dimensión correspondiente.</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Ejemplo de uso reflexivo</w:t>
            </w:r>
          </w:p>
          <w:p>
            <w:pPr>
              <w:spacing w:after="100" w:line="280"/>
            </w:pPr>
            <w:r>
              <w:rPr>
                <w:rFonts w:ascii="Consolas" w:cs="Consolas" w:eastAsia="Consolas" w:hAnsi="Consolas"/>
                <w:color w:val="1F3864"/>
                <w:sz w:val="18"/>
                <w:szCs w:val="18"/>
              </w:rPr>
              <w:t xml:space="preserve">Actúa como un asesor crítico en gestión escolar con experiencia en el sistema educativo chileno. Estoy considerando reorganizar el sistema de acompañamiento al aula de mi establecimiento, pasando de observaciones semestrales de la dirección a observaciones mensuales entre pares. No me des tu opinión favorable. En su lugar: (1) identifica los tres supuestos que estoy haciendo sin haberlos verificado; (2) señala qué condiciones institucionales deben existir para que esto funcione; (3) describe las tres formas más probables en que esta medida podría fracasar; (4) plantea cinco preguntas que debería responder antes de proponerla al Consejo de Profesores.</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Invierte el rol habitual: en vez de pedir una propuesta, se pide una crítica. Esto obliga a explicitar supuestos y prepara al equipo para la deliberación real, que es donde se toma la decisión.</w:t>
            </w:r>
          </w:p>
        </w:tc>
      </w:tr>
    </w:tbl>
    <w:p>
      <w:pPr>
        <w:pStyle w:val="Heading2"/>
        <w:spacing w:after="140" w:before="280"/>
      </w:pPr>
      <w:r>
        <w:rPr>
          <w:rFonts w:ascii="Calibri" w:cs="Calibri" w:eastAsia="Calibri" w:hAnsi="Calibri"/>
          <w:b/>
          <w:bCs/>
          <w:color w:val="1F84EB"/>
          <w:sz w:val="26"/>
          <w:szCs w:val="26"/>
        </w:rPr>
        <w:t xml:space="preserve">16.3 Límite fundamental</w:t>
      </w:r>
    </w:p>
    <w:p>
      <w:pPr>
        <w:spacing w:after="140" w:line="300"/>
        <w:jc w:val="both"/>
      </w:pPr>
      <w:r>
        <w:rPr>
          <w:rFonts w:ascii="Calibri" w:cs="Calibri" w:eastAsia="Calibri" w:hAnsi="Calibri"/>
          <w:color w:val="282828"/>
          <w:sz w:val="22"/>
          <w:szCs w:val="22"/>
        </w:rPr>
        <w:t xml:space="preserve">La planificación estratégica institucional completa no debe delegarse en IA (Uso ético de la inteligencia artificial, s.f.). Este tipo de uso apoya la reflexión individual previa; no reemplaza la deliberación colectiva, que es el mecanismo por el cual una decisión se vuelve legítima y sostenible en una comunidad escolar.</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17. Beneficios esperados y cómo verificarlos</w:t>
      </w:r>
    </w:p>
    <w:p>
      <w:pPr>
        <w:spacing w:after="140" w:line="300"/>
        <w:jc w:val="both"/>
      </w:pPr>
      <w:r>
        <w:rPr>
          <w:rFonts w:ascii="Calibri" w:cs="Calibri" w:eastAsia="Calibri" w:hAnsi="Calibri"/>
          <w:color w:val="282828"/>
          <w:sz w:val="22"/>
          <w:szCs w:val="22"/>
        </w:rPr>
        <w:t xml:space="preserve">La adopción de estos usos debe producir efectos observables. La tabla siguiente propone beneficios, junto con la forma de verificar si efectivamente ocurren en el territorio. Sin verificación, la innovación se sostiene solo en el entusiasmo.</w:t>
      </w:r>
    </w:p>
    <w:p>
      <w:pPr>
        <w:spacing w:after="40" w:before="240"/>
      </w:pPr>
      <w:r>
        <w:rPr>
          <w:rFonts w:ascii="Calibri" w:cs="Calibri" w:eastAsia="Calibri" w:hAnsi="Calibri"/>
          <w:b/>
          <w:bCs/>
          <w:color w:val="282828"/>
          <w:sz w:val="20"/>
          <w:szCs w:val="20"/>
        </w:rPr>
        <w:t xml:space="preserve">Tabla 20</w:t>
      </w:r>
    </w:p>
    <w:p>
      <w:pPr>
        <w:spacing w:after="110"/>
      </w:pPr>
      <w:r>
        <w:rPr>
          <w:rFonts w:ascii="Calibri" w:cs="Calibri" w:eastAsia="Calibri" w:hAnsi="Calibri"/>
          <w:i/>
          <w:iCs/>
          <w:color w:val="282828"/>
          <w:sz w:val="20"/>
          <w:szCs w:val="20"/>
        </w:rPr>
        <w:t xml:space="preserve">Beneficios esperados e indicadores de verificación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2200"/>
        <w:gridCol w:w="3700"/>
        <w:gridCol w:w="3460"/>
      </w:tblGrid>
      <w:tr>
        <w:trPr>
          <w:tblHeader/>
        </w:trPr>
        <w:tc>
          <w:tcPr>
            <w:tcW w:type="dxa" w:w="22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Beneficio esperado</w:t>
            </w:r>
          </w:p>
        </w:tc>
        <w:tc>
          <w:tcPr>
            <w:tcW w:type="dxa" w:w="3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Fundamento</w:t>
            </w:r>
          </w:p>
        </w:tc>
        <w:tc>
          <w:tcPr>
            <w:tcW w:type="dxa" w:w="34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Cómo verificarlo</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Reducción de la carga administrativa del equipo directivo</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Adıgüzel et al. (2026) documentan el potencial de la IA para reducir cargas de trabajo administrativas.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Autorreporte semestral de horas dedicadas a tareas administrativas y a acompañamiento pedagógico.</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Mayor uso de datos en las decisiones institucionales</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Howard et al. (2022, citados en Bustamante Bula &amp; Camacho Bonilla, 2024) constatan el bajo uso de datos en el campo educativo.</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Revisión de las actas de Consejo: proporción de decisiones que citan datos explícitos.</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Diversificación efectiva de la enseñanza</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Reiss (2021, citado en Bustamante Bula &amp; Camacho Bonilla, 2024) proyecta beneficios iniciales en estudiantes con necesidades educativas especiales.</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Registro de materiales adaptados producidos por asignatura y nivel.</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Aumento de la motivación y compromiso estudiantil</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Ortiz González y Fourt (2025) reportan aumento consistente de motivación en las veinte iniciativas sistematizadas.</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Consulta a estudiantes participantes en proyectos con IA.</w:t>
            </w:r>
          </w:p>
        </w:tc>
      </w:tr>
      <w:tr>
        <w:tc>
          <w:tcPr>
            <w:tcW w:type="dxa" w:w="22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Fortalecimiento del pensamiento crítico</w:t>
            </w:r>
          </w:p>
        </w:tc>
        <w:tc>
          <w:tcPr>
            <w:tcW w:type="dxa" w:w="3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Ortiz González y Fourt (2025) documentan la IA como catalizador del pensamiento crítico al exigir verificación.</w:t>
            </w:r>
          </w:p>
        </w:tc>
        <w:tc>
          <w:tcPr>
            <w:tcW w:type="dxa" w:w="34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Evaluación de productos estudiantiles con criterios de verificación de fuentes.</w:t>
            </w:r>
          </w:p>
        </w:tc>
      </w:tr>
      <w:tr>
        <w:tc>
          <w:tcPr>
            <w:tcW w:type="dxa" w:w="22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Mejor comunicación con las familias</w:t>
            </w:r>
          </w:p>
        </w:tc>
        <w:tc>
          <w:tcPr>
            <w:tcW w:type="dxa" w:w="3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Objetivo de participación de la elaboración participativa de instrumentos de gestión (Ministerio de Educación de Chile, 2018b).</w:t>
            </w:r>
          </w:p>
        </w:tc>
        <w:tc>
          <w:tcPr>
            <w:tcW w:type="dxa" w:w="34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Encuesta de comprensión de comunicados y protocolos a apoderados.</w:t>
            </w:r>
          </w:p>
        </w:tc>
      </w:tr>
    </w:tbl>
    <w:p>
      <w:pPr>
        <w:spacing w:after="200" w:before="60"/>
      </w:pPr>
      <w:r>
        <w:rPr>
          <w:rFonts w:ascii="Calibri" w:cs="Calibri" w:eastAsia="Calibri" w:hAnsi="Calibri"/>
          <w:i/>
          <w:iCs/>
          <w:color w:val="5A5A5A"/>
          <w:sz w:val="18"/>
          <w:szCs w:val="18"/>
        </w:rPr>
        <w:t xml:space="preserve">Nota. Elaboración propia.</w:t>
      </w:r>
    </w:p>
    <w:p>
      <w:pPr>
        <w:spacing w:after="160"/>
      </w:pPr>
      <w:r>
        <w:rPr>
          <w:sz w:val="12"/>
          <w:szCs w:val="12"/>
        </w:rPr>
        <w:t xml:space="preserve"/>
      </w:r>
    </w:p>
    <w:p>
      <w:pPr>
        <w:pStyle w:val="Heading2"/>
        <w:spacing w:after="140" w:before="280"/>
      </w:pPr>
      <w:r>
        <w:rPr>
          <w:rFonts w:ascii="Calibri" w:cs="Calibri" w:eastAsia="Calibri" w:hAnsi="Calibri"/>
          <w:b/>
          <w:bCs/>
          <w:color w:val="1F84EB"/>
          <w:sz w:val="26"/>
          <w:szCs w:val="26"/>
        </w:rPr>
        <w:t xml:space="preserve">Síntesis del manual</w:t>
      </w:r>
    </w:p>
    <w:p>
      <w:pPr>
        <w:spacing w:after="140" w:line="300"/>
        <w:jc w:val="both"/>
      </w:pPr>
      <w:r>
        <w:rPr>
          <w:rFonts w:ascii="Calibri" w:cs="Calibri" w:eastAsia="Calibri" w:hAnsi="Calibri"/>
          <w:color w:val="282828"/>
          <w:sz w:val="22"/>
          <w:szCs w:val="22"/>
        </w:rPr>
        <w:t xml:space="preserve">El uso ético de la información no consiste en desconfiar de la tecnología, sino en ubicarla correctamente. Los seis tipos de uso descritos ordenan un campo que suele presentarse de manera dispersa, y su progresión no es casual: conviene comenzar por la producción documental y la síntesis, donde el riesgo es bajo y el beneficio inmediato, e ir avanzando hacia el diseño pedagógico, el uso de datos y el apoyo a la reflexión a medida que el equipo consolida criterio.</w:t>
      </w:r>
    </w:p>
    <w:p>
      <w:pPr>
        <w:spacing w:after="140" w:line="300"/>
        <w:jc w:val="both"/>
      </w:pPr>
      <w:r>
        <w:rPr>
          <w:rFonts w:ascii="Calibri" w:cs="Calibri" w:eastAsia="Calibri" w:hAnsi="Calibri"/>
          <w:color w:val="282828"/>
          <w:sz w:val="22"/>
          <w:szCs w:val="22"/>
        </w:rPr>
        <w:t xml:space="preserve">En todos ellos opera la misma lógica: la IA es copiloto. Define el rumbo quien conoce el territorio, a las familias y a los estudiantes. Como líder educativo, la responsabilidad es asegurar que la tecnología esté al servicio del aprendizaje, la equidad y el bienestar de la comunidad escolar (Uso ético de la inteligencia artificial, s.f.).</w:t>
      </w:r>
    </w:p>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Anexo. Sistemas propios que consumen una API de inteligencia artificial</w:t>
      </w:r>
    </w:p>
    <w:p>
      <w:pPr>
        <w:spacing w:after="140" w:line="300"/>
        <w:jc w:val="both"/>
      </w:pPr>
      <w:r>
        <w:rPr>
          <w:rFonts w:ascii="Calibri" w:cs="Calibri" w:eastAsia="Calibri" w:hAnsi="Calibri"/>
          <w:color w:val="282828"/>
          <w:sz w:val="22"/>
          <w:szCs w:val="22"/>
        </w:rPr>
        <w:t xml:space="preserve">Este anexo responde a una situación cada vez más frecuente en el Servicio: un equipo desarrolla su propia plataforma —un registro de acompañamientos, un consolidado de datos, un sistema de fichas— y la conecta a un modelo de IA mediante una clave de programación, en lugar de usar una plataforma de chat abierta al público. La construcción técnica de ese tipo de plataforma se desarrolla en el Manual 5; aquí se tratan únicamente sus implicancias éticas y de protección de datos.</w:t>
      </w:r>
    </w:p>
    <w:p>
      <w:pPr>
        <w:spacing w:after="140" w:line="300"/>
        <w:jc w:val="both"/>
      </w:pPr>
      <w:r>
        <w:rPr>
          <w:rFonts w:ascii="Calibri" w:cs="Calibri" w:eastAsia="Calibri" w:hAnsi="Calibri"/>
          <w:color w:val="282828"/>
          <w:sz w:val="22"/>
          <w:szCs w:val="22"/>
        </w:rPr>
        <w:t xml:space="preserve">La conclusión general es que se trata de una arquitectura legítima y preferible a la plataforma de uso público, siempre que se implementen las salvaguardas que aquí se describen.</w:t>
      </w:r>
    </w:p>
    <w:p>
      <w:pPr>
        <w:pStyle w:val="Heading2"/>
        <w:spacing w:after="140" w:before="280"/>
      </w:pPr>
      <w:r>
        <w:rPr>
          <w:rFonts w:ascii="Calibri" w:cs="Calibri" w:eastAsia="Calibri" w:hAnsi="Calibri"/>
          <w:b/>
          <w:bCs/>
          <w:color w:val="1F84EB"/>
          <w:sz w:val="26"/>
          <w:szCs w:val="26"/>
        </w:rPr>
        <w:t xml:space="preserve">A.1 Qué cambia y qué no cambia respecto de una plataforma pública</w:t>
      </w:r>
    </w:p>
    <w:tbl>
      <w:tblPr>
        <w:tblW w:type="dxa" w:w="9360"/>
        <w:tblBorders>
          <w:top w:val="single" w:color="FBF7E6" w:sz="2"/>
          <w:left w:val="single" w:color="F8D53C" w:sz="24"/>
          <w:bottom w:val="single" w:color="FBF7E6" w:sz="2"/>
          <w:right w:val="single" w:color="FBF7E6" w:sz="2"/>
          <w:insideH w:val="none"/>
          <w:insideV w:val="none"/>
        </w:tblBorders>
      </w:tblPr>
      <w:tblGrid>
        <w:gridCol w:w="9360"/>
      </w:tblGrid>
      <w:tr>
        <w:tc>
          <w:tcPr>
            <w:tcW w:type="dxa" w:w="9360"/>
            <w:shd w:fill="FBF7E6" w:color="auto" w:val="clear"/>
            <w:tcMar>
              <w:top w:type="dxa" w:w="160"/>
              <w:left w:type="dxa" w:w="200"/>
              <w:bottom w:type="dxa" w:w="160"/>
              <w:right w:type="dxa" w:w="200"/>
            </w:tcMar>
          </w:tcPr>
          <w:p>
            <w:pPr>
              <w:spacing w:after="90"/>
            </w:pPr>
            <w:r>
              <w:rPr>
                <w:rFonts w:ascii="Calibri" w:cs="Calibri" w:eastAsia="Calibri" w:hAnsi="Calibri"/>
                <w:b/>
                <w:bCs/>
                <w:color w:val="F8D53C"/>
                <w:sz w:val="22"/>
                <w:szCs w:val="22"/>
              </w:rPr>
              <w:t xml:space="preserve">Dos precisiones necesarias</w:t>
            </w:r>
          </w:p>
          <w:p>
            <w:pPr>
              <w:spacing w:after="80" w:line="290"/>
              <w:jc w:val="both"/>
            </w:pPr>
            <w:r>
              <w:rPr>
                <w:rFonts w:ascii="Calibri" w:cs="Calibri" w:eastAsia="Calibri" w:hAnsi="Calibri"/>
                <w:b/>
                <w:bCs/>
                <w:color w:val="282828"/>
                <w:sz w:val="21"/>
                <w:szCs w:val="21"/>
              </w:rPr>
              <w:t xml:space="preserve">Que la plataforma haya sido construida con apoyo de IA es irrelevante </w:t>
            </w:r>
            <w:r>
              <w:rPr>
                <w:rFonts w:ascii="Calibri" w:cs="Calibri" w:eastAsia="Calibri" w:hAnsi="Calibri"/>
                <w:color w:val="282828"/>
                <w:sz w:val="21"/>
                <w:szCs w:val="21"/>
              </w:rPr>
              <w:t xml:space="preserve">para el uso ético de la información. Eso es una cuestión de calidad del código y de mantención, no de protección de datos. Quien escribió el programa no determina cómo se tratan los datos; eso lo determina el funcionamiento del sistema.</w:t>
            </w:r>
          </w:p>
          <w:p>
            <w:pPr>
              <w:spacing w:after="80" w:line="290"/>
              <w:jc w:val="both"/>
            </w:pPr>
            <w:r>
              <w:rPr>
                <w:rFonts w:ascii="Calibri" w:cs="Calibri" w:eastAsia="Calibri" w:hAnsi="Calibri"/>
                <w:b/>
                <w:bCs/>
                <w:color w:val="282828"/>
                <w:sz w:val="21"/>
                <w:szCs w:val="21"/>
              </w:rPr>
              <w:t xml:space="preserve">Enviar información a una API sí es una comunicación de datos a un tercero. </w:t>
            </w:r>
            <w:r>
              <w:rPr>
                <w:rFonts w:ascii="Calibri" w:cs="Calibri" w:eastAsia="Calibri" w:hAnsi="Calibri"/>
                <w:color w:val="282828"/>
                <w:sz w:val="21"/>
                <w:szCs w:val="21"/>
              </w:rPr>
              <w:t xml:space="preserve">No hay diferencia de fondo entre pegar un texto en un chat y transmitirlo por vía programática: en ambos casos la información sale de la infraestructura del Servicio y se procesa en servidores del proveedor, habitualmente fuera de Chile. La clave de acceso es una credencial que identifica a quién consume el servicio; no es una garantía de protección ni altera la naturaleza del tratamiento.</w:t>
            </w:r>
          </w:p>
          <w:p>
            <w:pPr>
              <w:spacing w:after="80" w:line="290"/>
              <w:jc w:val="both"/>
            </w:pPr>
            <w:r>
              <w:rPr>
                <w:rFonts w:ascii="Calibri" w:cs="Calibri" w:eastAsia="Calibri" w:hAnsi="Calibri"/>
                <w:color w:val="282828"/>
                <w:sz w:val="21"/>
                <w:szCs w:val="21"/>
              </w:rPr>
              <w:t xml:space="preserve">Que los archivos estén alojados en una base de datos propia define dónde reposa la información, no por dónde circula. Si el análisis ocurre en el proveedor, el contenido enviado efectivamente sale.</w:t>
            </w:r>
          </w:p>
        </w:tc>
      </w:tr>
    </w:tbl>
    <w:p>
      <w:pPr>
        <w:spacing w:after="140" w:line="300"/>
        <w:jc w:val="both"/>
      </w:pPr>
      <w:r>
        <w:rPr>
          <w:rFonts w:ascii="Calibri" w:cs="Calibri" w:eastAsia="Calibri" w:hAnsi="Calibri"/>
          <w:color w:val="282828"/>
          <w:sz w:val="22"/>
          <w:szCs w:val="22"/>
        </w:rPr>
        <w:t xml:space="preserve">Dicho eso, la vía programática es materialmente mejor que la plataforma de uso público. Los términos comerciales de los principales proveedores establecen, por regla general, que la información enviada por esta vía no se utiliza para entrenar modelos, a diferencia de lo que ocurre en las interfaces gratuitas de consumo. Con ello se resuelve una de las cuatro objeciones planteadas en el apartado 1.3. Además, para uso comercial suele existir un acuerdo de tratamiento de datos, con plazos de retención acotados y, en algunos casos, la opción de retención nula.</w:t>
      </w:r>
    </w:p>
    <w:p>
      <w:pPr>
        <w:spacing w:after="40" w:before="240"/>
      </w:pPr>
      <w:r>
        <w:rPr>
          <w:rFonts w:ascii="Calibri" w:cs="Calibri" w:eastAsia="Calibri" w:hAnsi="Calibri"/>
          <w:b/>
          <w:bCs/>
          <w:color w:val="282828"/>
          <w:sz w:val="20"/>
          <w:szCs w:val="20"/>
        </w:rPr>
        <w:t xml:space="preserve">Tabla 21</w:t>
      </w:r>
    </w:p>
    <w:p>
      <w:pPr>
        <w:spacing w:after="110"/>
      </w:pPr>
      <w:r>
        <w:rPr>
          <w:rFonts w:ascii="Calibri" w:cs="Calibri" w:eastAsia="Calibri" w:hAnsi="Calibri"/>
          <w:i/>
          <w:iCs/>
          <w:color w:val="282828"/>
          <w:sz w:val="20"/>
          <w:szCs w:val="20"/>
        </w:rPr>
        <w:t xml:space="preserve">Comparación de los tres escenarios de uso de IA en el Servicio</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700"/>
        <w:gridCol w:w="2600"/>
        <w:gridCol w:w="2300"/>
        <w:gridCol w:w="2760"/>
      </w:tblGrid>
      <w:tr>
        <w:trPr>
          <w:tblHeader/>
        </w:trPr>
        <w:tc>
          <w:tcPr>
            <w:tcW w:type="dxa" w:w="17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Aspecto</w:t>
            </w:r>
          </w:p>
        </w:tc>
        <w:tc>
          <w:tcPr>
            <w:tcW w:type="dxa" w:w="26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Plataforma de uso público</w:t>
            </w:r>
          </w:p>
        </w:tc>
        <w:tc>
          <w:tcPr>
            <w:tcW w:type="dxa" w:w="23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Suite institucional</w:t>
            </w:r>
          </w:p>
        </w:tc>
        <w:tc>
          <w:tcPr>
            <w:tcW w:type="dxa" w:w="27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Sistema propio con API</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Relación contractual</w:t>
            </w:r>
          </w:p>
        </w:tc>
        <w:tc>
          <w:tcPr>
            <w:tcW w:type="dxa" w:w="2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Términos de consumidor; sin contrato institucional.</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Contrato de servicio vigente del organismo.</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Términos comerciales del proveedor, a nombre de la institución.</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Uso de lo ingresado para entrenamiento</w:t>
            </w:r>
          </w:p>
        </w:tc>
        <w:tc>
          <w:tcPr>
            <w:tcW w:type="dxa" w:w="2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Frecuente en versiones gratuitas.</w:t>
            </w:r>
          </w:p>
        </w:tc>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Habitualmente excluido por contrato.</w:t>
            </w:r>
          </w:p>
        </w:tc>
        <w:tc>
          <w:tcPr>
            <w:tcW w:type="dxa" w:w="2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Habitualmente excluido; debe verificarse.</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Retención por el proveedor</w:t>
            </w:r>
          </w:p>
        </w:tc>
        <w:tc>
          <w:tcPr>
            <w:tcW w:type="dxa" w:w="2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Prolongada y poco transparente.</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Definida en el contrato.</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Acotada; algunos proveedores permiten retención nula.</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Control sobre qué se envía</w:t>
            </w:r>
          </w:p>
        </w:tc>
        <w:tc>
          <w:tcPr>
            <w:tcW w:type="dxa" w:w="2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Ninguno: depende de lo que escriba la persona.</w:t>
            </w:r>
          </w:p>
        </w:tc>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Limitado.</w:t>
            </w:r>
          </w:p>
        </w:tc>
        <w:tc>
          <w:tcPr>
            <w:tcW w:type="dxa" w:w="2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Total: el sistema decide qué campos transmite y cuáles no.</w:t>
            </w:r>
          </w:p>
        </w:tc>
      </w:tr>
      <w:tr>
        <w:tc>
          <w:tcPr>
            <w:tcW w:type="dxa" w:w="17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Trazabilidad</w:t>
            </w:r>
          </w:p>
        </w:tc>
        <w:tc>
          <w:tcPr>
            <w:tcW w:type="dxa" w:w="26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Inexistente.</w:t>
            </w:r>
          </w:p>
        </w:tc>
        <w:tc>
          <w:tcPr>
            <w:tcW w:type="dxa" w:w="2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Según el contrato.</w:t>
            </w:r>
          </w:p>
        </w:tc>
        <w:tc>
          <w:tcPr>
            <w:tcW w:type="dxa" w:w="27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Completa, si el sistema registra cada llamada.</w:t>
            </w:r>
          </w:p>
        </w:tc>
      </w:tr>
      <w:tr>
        <w:tc>
          <w:tcPr>
            <w:tcW w:type="dxa" w:w="17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Veredicto de esta serie</w:t>
            </w:r>
          </w:p>
        </w:tc>
        <w:tc>
          <w:tcPr>
            <w:tcW w:type="dxa" w:w="26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No autorizado para datos personales.</w:t>
            </w:r>
          </w:p>
        </w:tc>
        <w:tc>
          <w:tcPr>
            <w:tcW w:type="dxa" w:w="2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Variante (a): requiere confirmación del área competente.</w:t>
            </w:r>
          </w:p>
        </w:tc>
        <w:tc>
          <w:tcPr>
            <w:tcW w:type="dxa" w:w="27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Variante (b): admisible con las salvaguardas de este anexo.</w:t>
            </w:r>
          </w:p>
        </w:tc>
      </w:tr>
    </w:tbl>
    <w:p>
      <w:pPr>
        <w:spacing w:after="200" w:before="60"/>
      </w:pPr>
      <w:r>
        <w:rPr>
          <w:rFonts w:ascii="Calibri" w:cs="Calibri" w:eastAsia="Calibri" w:hAnsi="Calibri"/>
          <w:i/>
          <w:iCs/>
          <w:color w:val="5A5A5A"/>
          <w:sz w:val="18"/>
          <w:szCs w:val="18"/>
        </w:rPr>
        <w:t xml:space="preserve">Nota. Elaboración propia. Las condiciones contractuales varían entre proveedores y en el tiempo; corresponde verificarlas en cada caso concreto.</w:t>
      </w:r>
    </w:p>
    <w:p>
      <w:pPr>
        <w:spacing w:after="140"/>
      </w:pPr>
      <w:r>
        <w:rPr>
          <w:sz w:val="12"/>
          <w:szCs w:val="12"/>
        </w:rPr>
        <w:t xml:space="preserve"/>
      </w:r>
    </w:p>
    <w:p>
      <w:pPr>
        <w:spacing w:after="140" w:line="300"/>
        <w:jc w:val="both"/>
      </w:pPr>
      <w:r>
        <w:rPr>
          <w:rFonts w:ascii="Calibri" w:cs="Calibri" w:eastAsia="Calibri" w:hAnsi="Calibri"/>
          <w:color w:val="282828"/>
          <w:sz w:val="22"/>
          <w:szCs w:val="22"/>
        </w:rPr>
        <w:t xml:space="preserve">La ventaja decisiva del sistema propio está en la cuarta fila: es la única de las tres arquitecturas en la que la institución controla exactamente qué información sale. Ese control es lo que permite el procedimiento del apartado siguiente.</w:t>
      </w:r>
    </w:p>
    <w:p>
      <w:r>
        <w:br w:type="page"/>
      </w:r>
    </w:p>
    <w:p>
      <w:pPr>
        <w:pStyle w:val="Heading2"/>
        <w:spacing w:after="140" w:before="280"/>
      </w:pPr>
      <w:r>
        <w:rPr>
          <w:rFonts w:ascii="Calibri" w:cs="Calibri" w:eastAsia="Calibri" w:hAnsi="Calibri"/>
          <w:b/>
          <w:bCs/>
          <w:color w:val="1F84EB"/>
          <w:sz w:val="26"/>
          <w:szCs w:val="26"/>
        </w:rPr>
        <w:t xml:space="preserve">A.2 Paso a paso: seudonimizar sin perder utilidad</w:t>
      </w:r>
    </w:p>
    <w:p>
      <w:pPr>
        <w:spacing w:after="140" w:line="300"/>
        <w:jc w:val="both"/>
      </w:pPr>
      <w:r>
        <w:rPr>
          <w:rFonts w:ascii="Calibri" w:cs="Calibri" w:eastAsia="Calibri" w:hAnsi="Calibri"/>
          <w:color w:val="282828"/>
          <w:sz w:val="22"/>
          <w:szCs w:val="22"/>
        </w:rPr>
        <w:t xml:space="preserve">La palanca más eficaz y más simple de implementar consiste en sustituir los identificadores por códigos antes de enviar la información, y reponerlos al recibir la respuesta. La tabla de correspondencia nunca sale de la base de datos del Servicio.</w:t>
      </w:r>
    </w:p>
    <w:p>
      <w:pPr>
        <w:spacing w:after="140" w:line="300"/>
        <w:jc w:val="both"/>
      </w:pPr>
      <w:r>
        <w:rPr>
          <w:rFonts w:ascii="Calibri" w:cs="Calibri" w:eastAsia="Calibri" w:hAnsi="Calibri"/>
          <w:color w:val="282828"/>
          <w:sz w:val="22"/>
          <w:szCs w:val="22"/>
        </w:rPr>
        <w:t xml:space="preserve">El punto central, y la razón por la que esta técnica no degrada el resultado, es el siguiente: para mejorar la redacción de un texto, sintetizar un contenido o proponer una reformulación, el modelo no necesita saber de quién se habla. La calidad de la salida depende de la estructura del texto, no de la identidad de las personas mencionadas en él.</w:t>
      </w:r>
    </w:p>
    <w:p>
      <w:pPr>
        <w:pStyle w:val="Heading3"/>
        <w:spacing w:after="110" w:before="220"/>
      </w:pPr>
      <w:r>
        <w:rPr>
          <w:rFonts w:ascii="Calibri" w:cs="Calibri" w:eastAsia="Calibri" w:hAnsi="Calibri"/>
          <w:b/>
          <w:bCs/>
          <w:color w:val="282828"/>
          <w:sz w:val="23"/>
          <w:szCs w:val="23"/>
        </w:rPr>
        <w:t xml:space="preserve">Los siete pasos</w:t>
      </w:r>
    </w:p>
    <w:p>
      <w:pPr>
        <w:pStyle w:val="ListParagraph"/>
        <w:numPr>
          <w:ilvl w:val="0"/>
          <w:numId w:val="2"/>
        </w:numPr>
        <w:spacing w:after="90" w:line="290"/>
        <w:jc w:val="both"/>
      </w:pPr>
      <w:r>
        <w:rPr>
          <w:rFonts w:ascii="Calibri" w:cs="Calibri" w:eastAsia="Calibri" w:hAnsi="Calibri"/>
          <w:color w:val="282828"/>
          <w:sz w:val="22"/>
          <w:szCs w:val="22"/>
        </w:rPr>
        <w:t xml:space="preserve">Clasifique los campos de su sistema. Determine cuáles contienen identificadores (nombre, RUT, correo, curso, establecimiento) y cuáles contienen el contenido que efectivamente requiere procesamiento. Esta clasificación se hace una sola vez y queda documentada.</w:t>
      </w:r>
    </w:p>
    <w:p>
      <w:pPr>
        <w:pStyle w:val="ListParagraph"/>
        <w:numPr>
          <w:ilvl w:val="0"/>
          <w:numId w:val="2"/>
        </w:numPr>
        <w:spacing w:after="90" w:line="290"/>
        <w:jc w:val="both"/>
      </w:pPr>
      <w:r>
        <w:rPr>
          <w:rFonts w:ascii="Calibri" w:cs="Calibri" w:eastAsia="Calibri" w:hAnsi="Calibri"/>
          <w:color w:val="282828"/>
          <w:sz w:val="22"/>
          <w:szCs w:val="22"/>
        </w:rPr>
        <w:t xml:space="preserve">Defina qué se procesa localmente. Los conteos, promedios, totales y consolidados no requieren IA: los calcula su propia base de datos. Toda operación que pueda resolverse localmente no debe enviarse a la API. Esto reduce el volumen de datos transmitidos y, además, es más rápido y económico.</w:t>
      </w:r>
    </w:p>
    <w:p>
      <w:pPr>
        <w:pStyle w:val="ListParagraph"/>
        <w:numPr>
          <w:ilvl w:val="0"/>
          <w:numId w:val="2"/>
        </w:numPr>
        <w:spacing w:after="90" w:line="290"/>
        <w:jc w:val="both"/>
      </w:pPr>
      <w:r>
        <w:rPr>
          <w:rFonts w:ascii="Calibri" w:cs="Calibri" w:eastAsia="Calibri" w:hAnsi="Calibri"/>
          <w:color w:val="282828"/>
          <w:sz w:val="22"/>
          <w:szCs w:val="22"/>
        </w:rPr>
        <w:t xml:space="preserve">Construya el diccionario de sustitución en memoria. Antes de cada llamada, genere una correspondencia temporal entre cada identificador presente en el texto y un marcador neutro: [DOCENTE_1], [ESTABLECIMIENTO_A], [CURSO_1]. Esa tabla se mantiene en su servidor y no forma parte de la solicitud.</w:t>
      </w:r>
    </w:p>
    <w:p>
      <w:pPr>
        <w:pStyle w:val="ListParagraph"/>
        <w:numPr>
          <w:ilvl w:val="0"/>
          <w:numId w:val="2"/>
        </w:numPr>
        <w:spacing w:after="90" w:line="290"/>
        <w:jc w:val="both"/>
      </w:pPr>
      <w:r>
        <w:rPr>
          <w:rFonts w:ascii="Calibri" w:cs="Calibri" w:eastAsia="Calibri" w:hAnsi="Calibri"/>
          <w:color w:val="282828"/>
          <w:sz w:val="22"/>
          <w:szCs w:val="22"/>
        </w:rPr>
        <w:t xml:space="preserve">Sustituya en el texto de salida. Reemplace cada aparición del identificador por su marcador. Conviene contemplar variantes: nombre completo, solo nombre, solo apellido, y las abreviaturas o apodos que el usuario haya escrito.</w:t>
      </w:r>
    </w:p>
    <w:p>
      <w:pPr>
        <w:pStyle w:val="ListParagraph"/>
        <w:numPr>
          <w:ilvl w:val="0"/>
          <w:numId w:val="2"/>
        </w:numPr>
        <w:spacing w:after="90" w:line="290"/>
        <w:jc w:val="both"/>
      </w:pPr>
      <w:r>
        <w:rPr>
          <w:rFonts w:ascii="Calibri" w:cs="Calibri" w:eastAsia="Calibri" w:hAnsi="Calibri"/>
          <w:color w:val="282828"/>
          <w:sz w:val="22"/>
          <w:szCs w:val="22"/>
        </w:rPr>
        <w:t xml:space="preserve">Envíe únicamente el texto sustituido, junto con la instrucción de sistema del apartado A.3. Nunca adjunte el registro completo ni campos adicionales por comodidad de programación.</w:t>
      </w:r>
    </w:p>
    <w:p>
      <w:pPr>
        <w:pStyle w:val="ListParagraph"/>
        <w:numPr>
          <w:ilvl w:val="0"/>
          <w:numId w:val="2"/>
        </w:numPr>
        <w:spacing w:after="90" w:line="290"/>
        <w:jc w:val="both"/>
      </w:pPr>
      <w:r>
        <w:rPr>
          <w:rFonts w:ascii="Calibri" w:cs="Calibri" w:eastAsia="Calibri" w:hAnsi="Calibri"/>
          <w:color w:val="282828"/>
          <w:sz w:val="22"/>
          <w:szCs w:val="22"/>
        </w:rPr>
        <w:t xml:space="preserve">Reponga los identificadores al recibir la respuesta. Aplique el diccionario en sentido inverso sobre el texto devuelto. El usuario ve el resultado con los nombres reales y no percibe ninguna diferencia respecto de un procesamiento sin sustitución.</w:t>
      </w:r>
    </w:p>
    <w:p>
      <w:pPr>
        <w:pStyle w:val="ListParagraph"/>
        <w:numPr>
          <w:ilvl w:val="0"/>
          <w:numId w:val="2"/>
        </w:numPr>
        <w:spacing w:after="90" w:line="290"/>
        <w:jc w:val="both"/>
      </w:pPr>
      <w:r>
        <w:rPr>
          <w:rFonts w:ascii="Calibri" w:cs="Calibri" w:eastAsia="Calibri" w:hAnsi="Calibri"/>
          <w:color w:val="282828"/>
          <w:sz w:val="22"/>
          <w:szCs w:val="22"/>
        </w:rPr>
        <w:t xml:space="preserve">Descarte el diccionario y registre la llamada. Elimine la correspondencia temporal de la memoria y deje asentado en su bitácora qué operación se realizó, cuándo y por qué usuario, sin almacenar el contenido enviado.</w:t>
      </w:r>
    </w:p>
    <w:p>
      <w:pPr>
        <w:spacing w:after="120"/>
      </w:pPr>
      <w:r>
        <w:rPr>
          <w:sz w:val="12"/>
          <w:szCs w:val="12"/>
        </w:rPr>
        <w:t xml:space="preserve"/>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Por qué el resultado no se degrada</w:t>
            </w:r>
          </w:p>
          <w:p>
            <w:pPr>
              <w:spacing w:after="80" w:line="290"/>
              <w:jc w:val="both"/>
            </w:pPr>
            <w:r>
              <w:rPr>
                <w:rFonts w:ascii="Calibri" w:cs="Calibri" w:eastAsia="Calibri" w:hAnsi="Calibri"/>
                <w:color w:val="282828"/>
                <w:sz w:val="21"/>
                <w:szCs w:val="21"/>
              </w:rPr>
              <w:t xml:space="preserve">El modelo procesa estructura, coherencia y lenguaje. Un texto con [DOCENTE_1] en lugar de un nombre propio conserva íntegramente su sintaxis, su contenido y su sentido, de modo que la corrección de redacción, la síntesis y la reformulación funcionan exactamente igual.</w:t>
            </w:r>
          </w:p>
          <w:p>
            <w:pPr>
              <w:spacing w:after="80" w:line="290"/>
              <w:jc w:val="both"/>
            </w:pPr>
            <w:r>
              <w:rPr>
                <w:rFonts w:ascii="Calibri" w:cs="Calibri" w:eastAsia="Calibri" w:hAnsi="Calibri"/>
                <w:color w:val="282828"/>
                <w:sz w:val="21"/>
                <w:szCs w:val="21"/>
              </w:rPr>
              <w:t xml:space="preserve">La única precaución práctica es indicar al modelo que los marcadores entre corchetes deben conservarse tal cual y no ser reemplazados, traducidos ni descritos. Esa instrucción va en el mensaje de sistema.</w:t>
            </w:r>
          </w:p>
        </w:tc>
      </w:tr>
    </w:tbl>
    <w:p>
      <w:pPr>
        <w:pStyle w:val="Heading3"/>
        <w:spacing w:after="110" w:before="220"/>
      </w:pPr>
      <w:r>
        <w:rPr>
          <w:rFonts w:ascii="Calibri" w:cs="Calibri" w:eastAsia="Calibri" w:hAnsi="Calibri"/>
          <w:b/>
          <w:bCs/>
          <w:color w:val="282828"/>
          <w:sz w:val="23"/>
          <w:szCs w:val="23"/>
        </w:rPr>
        <w:t xml:space="preserve">Ejemplo aplicado</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Texto tal como lo escribe el usuario en la plataforma</w:t>
            </w:r>
          </w:p>
          <w:p>
            <w:pPr>
              <w:spacing w:after="100" w:line="280"/>
            </w:pPr>
            <w:r>
              <w:rPr>
                <w:rFonts w:ascii="Consolas" w:cs="Consolas" w:eastAsia="Consolas" w:hAnsi="Consolas"/>
                <w:color w:val="1F3864"/>
                <w:sz w:val="18"/>
                <w:szCs w:val="18"/>
              </w:rPr>
              <w:t xml:space="preserve">Durante el acompañamiento realizado al profesor Juan Pérez, del 6° B de la Escuela [nombre], se observó que la clase comenzó con retraso y que varios estudiantes no contaban con el material solicitado. El profesor dio las instrucciones de forma oral únicamente.</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Contiene nombre del docente, curso y establecimiento. Enviado así, tres datos personales salen de la infraestructura del Servicio.</w:t>
            </w:r>
          </w:p>
        </w:tc>
      </w:tr>
    </w:tbl>
    <w:p>
      <w:pPr>
        <w:spacing w:after="11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Lo que efectivamente viaja a la API</w:t>
            </w:r>
          </w:p>
          <w:p>
            <w:pPr>
              <w:spacing w:after="100" w:line="280"/>
            </w:pPr>
            <w:r>
              <w:rPr>
                <w:rFonts w:ascii="Consolas" w:cs="Consolas" w:eastAsia="Consolas" w:hAnsi="Consolas"/>
                <w:color w:val="1F3864"/>
                <w:sz w:val="18"/>
                <w:szCs w:val="18"/>
              </w:rPr>
              <w:t xml:space="preserve">Durante el acompañamiento realizado a [DOCENTE_1], del [CURSO_1] de [ESTABLECIMIENTO_A], se observó que la clase comenzó con retraso y que varios estudiantes no contaban con el material solicitado. [DOCENTE_1] dio las instrucciones de forma oral únicamente.</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El texto conserva su estructura completa. El modelo puede corregir redacción, ordenar ideas o sugerir precisiones con la misma calidad, porque nada de lo que necesita para esa tarea se ha perdido.</w:t>
            </w:r>
          </w:p>
        </w:tc>
      </w:tr>
    </w:tbl>
    <w:p>
      <w:pPr>
        <w:spacing w:after="110"/>
      </w:pPr>
      <w:r>
        <w:rPr>
          <w:sz w:val="12"/>
          <w:szCs w:val="12"/>
        </w:rPr>
        <w:t xml:space="preserve"/>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Lo que ve el usuario tras reponer el diccionario</w:t>
            </w:r>
          </w:p>
          <w:p>
            <w:pPr>
              <w:spacing w:after="100" w:line="280"/>
            </w:pPr>
            <w:r>
              <w:rPr>
                <w:rFonts w:ascii="Consolas" w:cs="Consolas" w:eastAsia="Consolas" w:hAnsi="Consolas"/>
                <w:color w:val="1F3864"/>
                <w:sz w:val="18"/>
                <w:szCs w:val="18"/>
              </w:rPr>
              <w:t xml:space="preserve">Durante el acompañamiento realizado al profesor Juan Pérez, del 6° B de la Escuela [nombre], se observó que la clase se inició con retraso respecto del horario previsto y que parte del curso no contaba con el material solicitado. Las instrucciones fueron entregadas únicamente por vía oral.</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 experiencia de uso es idéntica a la de un sistema sin sustitución. La diferencia es invisible para el usuario y decisiva para la protección de datos.</w:t>
            </w:r>
          </w:p>
        </w:tc>
      </w:tr>
    </w:tbl>
    <w:p>
      <w:r>
        <w:br w:type="page"/>
      </w:r>
    </w:p>
    <w:p>
      <w:pPr>
        <w:pStyle w:val="Heading2"/>
        <w:spacing w:after="140" w:before="280"/>
      </w:pPr>
      <w:r>
        <w:rPr>
          <w:rFonts w:ascii="Calibri" w:cs="Calibri" w:eastAsia="Calibri" w:hAnsi="Calibri"/>
          <w:b/>
          <w:bCs/>
          <w:color w:val="1F84EB"/>
          <w:sz w:val="26"/>
          <w:szCs w:val="26"/>
        </w:rPr>
        <w:t xml:space="preserve">A.3 Instrucción de sistema: evitar que la IA valore</w:t>
      </w:r>
    </w:p>
    <w:p>
      <w:pPr>
        <w:spacing w:after="140" w:line="300"/>
        <w:jc w:val="both"/>
      </w:pPr>
      <w:r>
        <w:rPr>
          <w:rFonts w:ascii="Calibri" w:cs="Calibri" w:eastAsia="Calibri" w:hAnsi="Calibri"/>
          <w:color w:val="282828"/>
          <w:sz w:val="22"/>
          <w:szCs w:val="22"/>
        </w:rPr>
        <w:t xml:space="preserve">Una plataforma puede estar correctamente diseñada para no evaluar desempeño y, aun así, introducir valoración por la vía del lenguaje. Al mejorar una redacción, un modelo tiende a producir formulaciones más contundentes que las del texto original, y ahí se desliza el juicio.</w:t>
      </w:r>
    </w:p>
    <w:p>
      <w:pPr>
        <w:spacing w:after="40" w:before="240"/>
      </w:pPr>
      <w:r>
        <w:rPr>
          <w:rFonts w:ascii="Calibri" w:cs="Calibri" w:eastAsia="Calibri" w:hAnsi="Calibri"/>
          <w:b/>
          <w:bCs/>
          <w:color w:val="282828"/>
          <w:sz w:val="20"/>
          <w:szCs w:val="20"/>
        </w:rPr>
        <w:t xml:space="preserve">Tabla 22</w:t>
      </w:r>
    </w:p>
    <w:p>
      <w:pPr>
        <w:spacing w:after="110"/>
      </w:pPr>
      <w:r>
        <w:rPr>
          <w:rFonts w:ascii="Calibri" w:cs="Calibri" w:eastAsia="Calibri" w:hAnsi="Calibri"/>
          <w:i/>
          <w:iCs/>
          <w:color w:val="282828"/>
          <w:sz w:val="20"/>
          <w:szCs w:val="20"/>
        </w:rPr>
        <w:t xml:space="preserve">Cómo la valoración entra por la redacción</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4680"/>
        <w:gridCol w:w="4680"/>
      </w:tblGrid>
      <w:tr>
        <w:trPr>
          <w:tblHeader/>
        </w:trPr>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Formulación descriptiva</w:t>
            </w:r>
          </w:p>
        </w:tc>
        <w:tc>
          <w:tcPr>
            <w:tcW w:type="dxa" w:w="468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Formulación con juicio incorporado</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Durante el segmento observado, doce estudiantes realizaban actividades ajenas a la tarea.</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docente no logró captar la atención del curso.</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Las instrucciones fueron entregadas únicamente por vía oral.</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El docente omitió apoyos visuales necesarios para la comprensión.</w:t>
            </w:r>
          </w:p>
        </w:tc>
      </w:tr>
      <w:tr>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clase se inició diez minutos después del horario previsto.</w:t>
            </w:r>
          </w:p>
        </w:tc>
        <w:tc>
          <w:tcPr>
            <w:tcW w:type="dxa" w:w="468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 observó una gestión deficiente del tiempo de inicio.</w:t>
            </w:r>
          </w:p>
        </w:tc>
      </w:tr>
      <w:tr>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Tres de los cinco grupos consultaron nuevamente la consigna durante el trabajo.</w:t>
            </w:r>
          </w:p>
        </w:tc>
        <w:tc>
          <w:tcPr>
            <w:tcW w:type="dxa" w:w="468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La consigna resultó confusa para los estudiantes.</w:t>
            </w:r>
          </w:p>
        </w:tc>
      </w:tr>
    </w:tbl>
    <w:p>
      <w:pPr>
        <w:spacing w:after="200" w:before="60"/>
      </w:pPr>
      <w:r>
        <w:rPr>
          <w:rFonts w:ascii="Calibri" w:cs="Calibri" w:eastAsia="Calibri" w:hAnsi="Calibri"/>
          <w:i/>
          <w:iCs/>
          <w:color w:val="5A5A5A"/>
          <w:sz w:val="18"/>
          <w:szCs w:val="18"/>
        </w:rPr>
        <w:t xml:space="preserve">Nota. Elaboración propia. La columna derecha incorpora conclusiones que no están en el registro observado.</w:t>
      </w:r>
    </w:p>
    <w:p>
      <w:pPr>
        <w:spacing w:after="140"/>
      </w:pPr>
      <w:r>
        <w:rPr>
          <w:sz w:val="12"/>
          <w:szCs w:val="12"/>
        </w:rPr>
        <w:t xml:space="preserve"/>
      </w:r>
    </w:p>
    <w:p>
      <w:pPr>
        <w:spacing w:after="140" w:line="300"/>
        <w:jc w:val="both"/>
      </w:pPr>
      <w:r>
        <w:rPr>
          <w:rFonts w:ascii="Calibri" w:cs="Calibri" w:eastAsia="Calibri" w:hAnsi="Calibri"/>
          <w:color w:val="282828"/>
          <w:sz w:val="22"/>
          <w:szCs w:val="22"/>
        </w:rPr>
        <w:t xml:space="preserve">La diferencia entre ambas columnas no es de estilo: la izquierda registra lo observado y la derecha emite un juicio sobre una persona. Para evitar ese desplazamiento basta con fijarlo en la instrucción de sistema de la plataforma, que se configura una sola vez y opera en todas las llamadas.</w:t>
      </w:r>
    </w:p>
    <w:tbl>
      <w:tblPr>
        <w:tblW w:type="dxa" w:w="9360"/>
        <w:tblBorders>
          <w:top w:val="single" w:color="D9E2F3" w:sz="4"/>
          <w:left w:val="single" w:color="D9E2F3" w:sz="4"/>
          <w:bottom w:val="single" w:color="D9E2F3" w:sz="4"/>
          <w:right w:val="single" w:color="D9E2F3" w:sz="4"/>
          <w:insideH w:val="none"/>
          <w:insideV w:val="none"/>
        </w:tblBorders>
      </w:tblPr>
      <w:tblGrid>
        <w:gridCol w:w="9360"/>
      </w:tblGrid>
      <w:tr>
        <w:tc>
          <w:tcPr>
            <w:tcW w:type="dxa" w:w="9360"/>
            <w:shd w:fill="F7F9FC" w:color="auto" w:val="clear"/>
            <w:tcMar>
              <w:top w:type="dxa" w:w="150"/>
              <w:left w:type="dxa" w:w="180"/>
              <w:bottom w:type="dxa" w:w="150"/>
              <w:right w:type="dxa" w:w="180"/>
            </w:tcMar>
          </w:tcPr>
          <w:p>
            <w:pPr>
              <w:spacing w:after="100"/>
            </w:pPr>
            <w:r>
              <w:rPr>
                <w:rFonts w:ascii="Calibri" w:cs="Calibri" w:eastAsia="Calibri" w:hAnsi="Calibri"/>
                <w:b/>
                <w:bCs/>
                <w:color w:val="282828"/>
                <w:sz w:val="21"/>
                <w:szCs w:val="21"/>
              </w:rPr>
              <w:t xml:space="preserve">Instrucción de sistema sugerida para la plataforma</w:t>
            </w:r>
          </w:p>
          <w:p>
            <w:pPr>
              <w:spacing w:after="100" w:line="280"/>
            </w:pPr>
            <w:r>
              <w:rPr>
                <w:rFonts w:ascii="Consolas" w:cs="Consolas" w:eastAsia="Consolas" w:hAnsi="Consolas"/>
                <w:color w:val="1F3864"/>
                <w:sz w:val="18"/>
                <w:szCs w:val="18"/>
              </w:rPr>
              <w:t xml:space="preserve">Actúas como asistente de redacción de un registro administrativo de acompañamiento al aula de un servicio de educación pública chileno.</w:t>
            </w:r>
          </w:p>
          <w:p>
            <w:pPr>
              <w:spacing w:after="100" w:line="280"/>
            </w:pPr>
            <w:r>
              <w:rPr>
                <w:rFonts w:ascii="Consolas" w:cs="Consolas" w:eastAsia="Consolas" w:hAnsi="Consolas"/>
                <w:color w:val="1F3864"/>
                <w:sz w:val="18"/>
                <w:szCs w:val="18"/>
              </w:rPr>
              <w:t xml:space="preserve">TU TAREA: mejorar la claridad, la ortografía, la puntuación y el orden de las ideas del texto que recibes.</w:t>
            </w:r>
          </w:p>
          <w:p>
            <w:pPr>
              <w:spacing w:after="100" w:line="280"/>
            </w:pPr>
            <w:r>
              <w:rPr>
                <w:rFonts w:ascii="Consolas" w:cs="Consolas" w:eastAsia="Consolas" w:hAnsi="Consolas"/>
                <w:color w:val="1F3864"/>
                <w:sz w:val="18"/>
                <w:szCs w:val="18"/>
              </w:rPr>
              <w:t xml:space="preserve">RESTRICCIONES ESTRICTAS:</w:t>
            </w:r>
          </w:p>
          <w:p>
            <w:pPr>
              <w:spacing w:after="100" w:line="280"/>
            </w:pPr>
            <w:r>
              <w:rPr>
                <w:rFonts w:ascii="Consolas" w:cs="Consolas" w:eastAsia="Consolas" w:hAnsi="Consolas"/>
                <w:color w:val="1F3864"/>
                <w:sz w:val="18"/>
                <w:szCs w:val="18"/>
              </w:rPr>
              <w:t xml:space="preserve">1. No agregues información, conclusiones, causas ni consecuencias que no estén explícitamente en el texto original.</w:t>
            </w:r>
          </w:p>
          <w:p>
            <w:pPr>
              <w:spacing w:after="100" w:line="280"/>
            </w:pPr>
            <w:r>
              <w:rPr>
                <w:rFonts w:ascii="Consolas" w:cs="Consolas" w:eastAsia="Consolas" w:hAnsi="Consolas"/>
                <w:color w:val="1F3864"/>
                <w:sz w:val="18"/>
                <w:szCs w:val="18"/>
              </w:rPr>
              <w:t xml:space="preserve">2. No emitas juicios sobre el desempeño de ninguna persona. No uses adjetivos valorativos (adecuado, deficiente, insuficiente, exitoso, débil) ni verbos que impliquen evaluación (logró, falló, omitió, descuidó).</w:t>
            </w:r>
          </w:p>
          <w:p>
            <w:pPr>
              <w:spacing w:after="100" w:line="280"/>
            </w:pPr>
            <w:r>
              <w:rPr>
                <w:rFonts w:ascii="Consolas" w:cs="Consolas" w:eastAsia="Consolas" w:hAnsi="Consolas"/>
                <w:color w:val="1F3864"/>
                <w:sz w:val="18"/>
                <w:szCs w:val="18"/>
              </w:rPr>
              <w:t xml:space="preserve">3. Convierte cualquier juicio presente en el original en la descripción observable que lo sustenta. Si no hay evidencia observable para sostenerlo, mantén la formulación original sin ampliarla.</w:t>
            </w:r>
          </w:p>
          <w:p>
            <w:pPr>
              <w:spacing w:after="100" w:line="280"/>
            </w:pPr>
            <w:r>
              <w:rPr>
                <w:rFonts w:ascii="Consolas" w:cs="Consolas" w:eastAsia="Consolas" w:hAnsi="Consolas"/>
                <w:color w:val="1F3864"/>
                <w:sz w:val="18"/>
                <w:szCs w:val="18"/>
              </w:rPr>
              <w:t xml:space="preserve">4. Conserva intactos todos los marcadores entre corchetes. No los reemplaces, traduzcas, describas ni completes.</w:t>
            </w:r>
          </w:p>
          <w:p>
            <w:pPr>
              <w:spacing w:after="100" w:line="280"/>
            </w:pPr>
            <w:r>
              <w:rPr>
                <w:rFonts w:ascii="Consolas" w:cs="Consolas" w:eastAsia="Consolas" w:hAnsi="Consolas"/>
                <w:color w:val="1F3864"/>
                <w:sz w:val="18"/>
                <w:szCs w:val="18"/>
              </w:rPr>
              <w:t xml:space="preserve">5. No cambies datos, cifras, fechas ni horarios.</w:t>
            </w:r>
          </w:p>
          <w:p>
            <w:pPr>
              <w:spacing w:after="100" w:line="280"/>
            </w:pPr>
            <w:r>
              <w:rPr>
                <w:rFonts w:ascii="Consolas" w:cs="Consolas" w:eastAsia="Consolas" w:hAnsi="Consolas"/>
                <w:color w:val="1F3864"/>
                <w:sz w:val="18"/>
                <w:szCs w:val="18"/>
              </w:rPr>
              <w:t xml:space="preserve">6. Devuelve únicamente el texto corregido, sin comentarios ni explicaciones.</w:t>
            </w:r>
          </w:p>
          <w:p>
            <w:pPr>
              <w:spacing w:after="0" w:line="280"/>
              <w:jc w:val="both"/>
            </w:pPr>
            <w:r>
              <w:rPr>
                <w:rFonts w:ascii="Calibri" w:cs="Calibri" w:eastAsia="Calibri" w:hAnsi="Calibri"/>
                <w:b/>
                <w:bCs/>
                <w:color w:val="5A5A5A"/>
                <w:sz w:val="19"/>
                <w:szCs w:val="19"/>
              </w:rPr>
              <w:t xml:space="preserve">Por qué funciona: </w:t>
            </w:r>
            <w:r>
              <w:rPr>
                <w:rFonts w:ascii="Calibri" w:cs="Calibri" w:eastAsia="Calibri" w:hAnsi="Calibri"/>
                <w:color w:val="5A5A5A"/>
                <w:sz w:val="19"/>
                <w:szCs w:val="19"/>
              </w:rPr>
              <w:t xml:space="preserve">Las restricciones 1 a 3 impiden que la mejora de redacción se convierta en evaluación. La restricción 4 protege la seudonimización. La 5 evita que el modelo altere el registro factual, que es el contenido con valor probatorio del documento.</w:t>
            </w:r>
          </w:p>
        </w:tc>
      </w:tr>
    </w:tbl>
    <w:p>
      <w:pPr>
        <w:spacing w:after="140"/>
      </w:pPr>
      <w:r>
        <w:rPr>
          <w:sz w:val="12"/>
          <w:szCs w:val="12"/>
        </w:rPr>
        <w:t xml:space="preserve"/>
      </w:r>
    </w:p>
    <w:tbl>
      <w:tblPr>
        <w:tblW w:type="dxa" w:w="9360"/>
        <w:tblBorders>
          <w:top w:val="single" w:color="F2F6FB" w:sz="2"/>
          <w:left w:val="single" w:color="1F84EB" w:sz="24"/>
          <w:bottom w:val="single" w:color="F2F6FB" w:sz="2"/>
          <w:right w:val="single" w:color="F2F6FB" w:sz="2"/>
          <w:insideH w:val="none"/>
          <w:insideV w:val="none"/>
        </w:tblBorders>
      </w:tblPr>
      <w:tblGrid>
        <w:gridCol w:w="9360"/>
      </w:tblGrid>
      <w:tr>
        <w:tc>
          <w:tcPr>
            <w:tcW w:type="dxa" w:w="9360"/>
            <w:shd w:fill="F2F6FB" w:color="auto" w:val="clear"/>
            <w:tcMar>
              <w:top w:type="dxa" w:w="160"/>
              <w:left w:type="dxa" w:w="200"/>
              <w:bottom w:type="dxa" w:w="160"/>
              <w:right w:type="dxa" w:w="200"/>
            </w:tcMar>
          </w:tcPr>
          <w:p>
            <w:pPr>
              <w:spacing w:after="90"/>
            </w:pPr>
            <w:r>
              <w:rPr>
                <w:rFonts w:ascii="Calibri" w:cs="Calibri" w:eastAsia="Calibri" w:hAnsi="Calibri"/>
                <w:b/>
                <w:bCs/>
                <w:color w:val="1F84EB"/>
                <w:sz w:val="22"/>
                <w:szCs w:val="22"/>
              </w:rPr>
              <w:t xml:space="preserve">Verificación periódica</w:t>
            </w:r>
          </w:p>
          <w:p>
            <w:pPr>
              <w:spacing w:after="80" w:line="290"/>
              <w:jc w:val="both"/>
            </w:pPr>
            <w:r>
              <w:rPr>
                <w:rFonts w:ascii="Calibri" w:cs="Calibri" w:eastAsia="Calibri" w:hAnsi="Calibri"/>
                <w:color w:val="282828"/>
                <w:sz w:val="21"/>
                <w:szCs w:val="21"/>
              </w:rPr>
              <w:t xml:space="preserve">Se sugiere revisar una muestra de textos antes y después del procesamiento, al menos una vez por semestre, para comprobar que la instrucción sigue funcionando.</w:t>
            </w:r>
          </w:p>
          <w:p>
            <w:pPr>
              <w:spacing w:after="80" w:line="290"/>
              <w:jc w:val="both"/>
            </w:pPr>
            <w:r>
              <w:rPr>
                <w:rFonts w:ascii="Calibri" w:cs="Calibri" w:eastAsia="Calibri" w:hAnsi="Calibri"/>
                <w:color w:val="282828"/>
                <w:sz w:val="21"/>
                <w:szCs w:val="21"/>
              </w:rPr>
              <w:t xml:space="preserve">Los modelos se actualizan y su comportamiento cambia. Una instrucción que hoy contiene la valoración puede resultar menos efectiva con una versión posterior, sin que nadie lo advierta.</w:t>
            </w:r>
          </w:p>
        </w:tc>
      </w:tr>
    </w:tbl>
    <w:p>
      <w:r>
        <w:br w:type="page"/>
      </w:r>
    </w:p>
    <w:p>
      <w:pPr>
        <w:pStyle w:val="Heading2"/>
        <w:spacing w:after="140" w:before="280"/>
      </w:pPr>
      <w:r>
        <w:rPr>
          <w:rFonts w:ascii="Calibri" w:cs="Calibri" w:eastAsia="Calibri" w:hAnsi="Calibri"/>
          <w:b/>
          <w:bCs/>
          <w:color w:val="1F84EB"/>
          <w:sz w:val="26"/>
          <w:szCs w:val="26"/>
        </w:rPr>
        <w:t xml:space="preserve">A.4 Lista de verificación antes de autorizar el sistema</w:t>
      </w:r>
    </w:p>
    <w:p>
      <w:pPr>
        <w:spacing w:after="140" w:line="300"/>
        <w:jc w:val="both"/>
      </w:pPr>
      <w:r>
        <w:rPr>
          <w:rFonts w:ascii="Calibri" w:cs="Calibri" w:eastAsia="Calibri" w:hAnsi="Calibri"/>
          <w:color w:val="282828"/>
          <w:sz w:val="22"/>
          <w:szCs w:val="22"/>
        </w:rPr>
        <w:t xml:space="preserve">Las condiciones siguientes deben estar resueltas antes de que un sistema propio con consumo de API sea autorizado para operar con información institucional. La primera es la más importante y la que menos relación tiene con la inteligencia artificial.</w:t>
      </w:r>
    </w:p>
    <w:p>
      <w:pPr>
        <w:spacing w:after="40" w:before="240"/>
      </w:pPr>
      <w:r>
        <w:rPr>
          <w:rFonts w:ascii="Calibri" w:cs="Calibri" w:eastAsia="Calibri" w:hAnsi="Calibri"/>
          <w:b/>
          <w:bCs/>
          <w:color w:val="282828"/>
          <w:sz w:val="20"/>
          <w:szCs w:val="20"/>
        </w:rPr>
        <w:t xml:space="preserve">Tabla 23</w:t>
      </w:r>
    </w:p>
    <w:p>
      <w:pPr>
        <w:spacing w:after="110"/>
      </w:pPr>
      <w:r>
        <w:rPr>
          <w:rFonts w:ascii="Calibri" w:cs="Calibri" w:eastAsia="Calibri" w:hAnsi="Calibri"/>
          <w:i/>
          <w:iCs/>
          <w:color w:val="282828"/>
          <w:sz w:val="20"/>
          <w:szCs w:val="20"/>
        </w:rPr>
        <w:t xml:space="preserve">Lista de verificación para sistemas propios con consumo de API</w:t>
      </w:r>
    </w:p>
    <w:tbl>
      <w:tblPr>
        <w:tblW w:type="dxa" w:w="9360"/>
        <w:tblBorders>
          <w:top w:val="single" w:color="BFD2EA" w:sz="2"/>
          <w:left w:val="single" w:color="BFD2EA" w:sz="2"/>
          <w:bottom w:val="single" w:color="BFD2EA" w:sz="2"/>
          <w:right w:val="single" w:color="BFD2EA" w:sz="2"/>
          <w:insideH w:val="single" w:color="BFD2EA" w:sz="2"/>
          <w:insideV w:val="single" w:color="BFD2EA" w:sz="2"/>
        </w:tblBorders>
      </w:tblPr>
      <w:tblGrid>
        <w:gridCol w:w="1900"/>
        <w:gridCol w:w="6300"/>
        <w:gridCol w:w="1160"/>
      </w:tblGrid>
      <w:tr>
        <w:trPr>
          <w:tblHeader/>
        </w:trPr>
        <w:tc>
          <w:tcPr>
            <w:tcW w:type="dxa" w:w="19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Ámbito</w:t>
            </w:r>
          </w:p>
        </w:tc>
        <w:tc>
          <w:tcPr>
            <w:tcW w:type="dxa" w:w="630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Qué verificar</w:t>
            </w:r>
          </w:p>
        </w:tc>
        <w:tc>
          <w:tcPr>
            <w:tcW w:type="dxa" w:w="1160"/>
            <w:shd w:fill="282828" w:color="auto" w:val="clear"/>
            <w:tcMar>
              <w:top w:type="dxa" w:w="110"/>
              <w:left w:type="dxa" w:w="130"/>
              <w:bottom w:type="dxa" w:w="110"/>
              <w:right w:type="dxa" w:w="130"/>
            </w:tcMar>
            <w:vAlign w:val="center"/>
          </w:tcPr>
          <w:p>
            <w:pPr>
              <w:spacing w:after="40" w:line="270"/>
              <w:jc w:val="left"/>
            </w:pPr>
            <w:r>
              <w:rPr>
                <w:rFonts w:ascii="Calibri" w:cs="Calibri" w:eastAsia="Calibri" w:hAnsi="Calibri"/>
                <w:b/>
                <w:bCs/>
                <w:color w:val="FFFFFF"/>
                <w:sz w:val="20"/>
                <w:szCs w:val="20"/>
              </w:rPr>
              <w:t xml:space="preserve">Estado</w:t>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Titularidad de la cuenta</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la infraestructura, la base de datos y la clave de acceso estén a nombre de la institución y no de una persona. Si están en una cuenta personal, el Servicio no controla ni puede recuperar sus propios datos, y el problema subsiste aunque se apague la IA.</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Términos del proveedor</w:t>
            </w:r>
          </w:p>
        </w:tc>
        <w:tc>
          <w:tcPr>
            <w:tcW w:type="dxa" w:w="6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los términos comerciales excluyan el uso de la información enviada para entrenamiento de modelos.</w:t>
            </w:r>
          </w:p>
        </w:tc>
        <w:tc>
          <w:tcPr>
            <w:tcW w:type="dxa" w:w="1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Retención</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Cuánto tiempo conserva el proveedor las solicitudes y si ofrece la opción de retención nula.</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Transferencia internacional</w:t>
            </w:r>
          </w:p>
        </w:tc>
        <w:tc>
          <w:tcPr>
            <w:tcW w:type="dxa" w:w="6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Ubicación de los servidores y cumplimiento de los requisitos aplicables a transferencias fuera de Chile.</w:t>
            </w:r>
          </w:p>
        </w:tc>
        <w:tc>
          <w:tcPr>
            <w:tcW w:type="dxa" w:w="1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Seudonimización</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el sistema aplique el procedimiento del apartado A.2 en todas las llamadas, sin excepciones manuales.</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Procesamiento local</w:t>
            </w:r>
          </w:p>
        </w:tc>
        <w:tc>
          <w:tcPr>
            <w:tcW w:type="dxa" w:w="6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conteos, síntesis cuantitativas y consolidados se calculen en la propia base de datos y no se envíen a la API.</w:t>
            </w:r>
          </w:p>
        </w:tc>
        <w:tc>
          <w:tcPr>
            <w:tcW w:type="dxa" w:w="1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Instrucción de sistema</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esté configurada la instrucción del apartado A.3 y que se verifique periódicamente.</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Control de accesos</w:t>
            </w:r>
          </w:p>
        </w:tc>
        <w:tc>
          <w:tcPr>
            <w:tcW w:type="dxa" w:w="6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Quién puede consultar el historial acumulado y bajo qué perfil. El registro sostenido en el tiempo construye un historial de personas identificables.</w:t>
            </w:r>
          </w:p>
        </w:tc>
        <w:tc>
          <w:tcPr>
            <w:tcW w:type="dxa" w:w="1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Bitácora</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el sistema registre qué operación se realizó, cuándo y por qué usuario, sin almacenar el contenido enviado.</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Información a los titulares</w:t>
            </w:r>
          </w:p>
        </w:tc>
        <w:tc>
          <w:tcPr>
            <w:tcW w:type="dxa" w:w="630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Que las personas cuyos datos se registran sepan que el sistema existe, qué guarda, con qué finalidad y quién accede.</w:t>
            </w:r>
          </w:p>
        </w:tc>
        <w:tc>
          <w:tcPr>
            <w:tcW w:type="dxa" w:w="1160"/>
            <w:shd w:fill="FFFFFF"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r>
        <w:tc>
          <w:tcPr>
            <w:tcW w:type="dxa" w:w="19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Validación institucional</w:t>
            </w:r>
          </w:p>
        </w:tc>
        <w:tc>
          <w:tcPr>
            <w:tcW w:type="dxa" w:w="630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Revisión por la asesoría jurídica del Servicio y por quien ejerza la función de protección de datos, si el Servicio la ha designado.</w:t>
            </w:r>
          </w:p>
        </w:tc>
        <w:tc>
          <w:tcPr>
            <w:tcW w:type="dxa" w:w="1160"/>
            <w:shd w:fill="F4F7FB" w:color="auto" w:val="clear"/>
            <w:tcMar>
              <w:top w:type="dxa" w:w="100"/>
              <w:left w:type="dxa" w:w="130"/>
              <w:bottom w:type="dxa" w:w="100"/>
              <w:right w:type="dxa" w:w="130"/>
            </w:tcMar>
          </w:tcPr>
          <w:p>
            <w:pPr>
              <w:spacing w:after="40" w:line="270"/>
              <w:jc w:val="left"/>
            </w:pPr>
            <w:r>
              <w:rPr>
                <w:rFonts w:ascii="Calibri" w:cs="Calibri" w:eastAsia="Calibri" w:hAnsi="Calibri"/>
                <w:color w:val="282828"/>
                <w:sz w:val="20"/>
                <w:szCs w:val="20"/>
              </w:rPr>
              <w:t xml:space="preserve"/>
            </w:r>
          </w:p>
        </w:tc>
      </w:tr>
    </w:tbl>
    <w:p>
      <w:pPr>
        <w:spacing w:after="200" w:before="60"/>
      </w:pPr>
      <w:r>
        <w:rPr>
          <w:rFonts w:ascii="Calibri" w:cs="Calibri" w:eastAsia="Calibri" w:hAnsi="Calibri"/>
          <w:i/>
          <w:iCs/>
          <w:color w:val="5A5A5A"/>
          <w:sz w:val="18"/>
          <w:szCs w:val="18"/>
        </w:rPr>
        <w:t xml:space="preserve">Nota. Elaboración propia. Este anexo no constituye asesoría jurídica; la evaluación de cada condición corresponde a la asesoría legal del Servicio.</w:t>
      </w:r>
    </w:p>
    <w:p>
      <w:pPr>
        <w:pStyle w:val="Heading2"/>
        <w:spacing w:after="140" w:before="280"/>
      </w:pPr>
      <w:r>
        <w:rPr>
          <w:rFonts w:ascii="Calibri" w:cs="Calibri" w:eastAsia="Calibri" w:hAnsi="Calibri"/>
          <w:b/>
          <w:bCs/>
          <w:color w:val="1F84EB"/>
          <w:sz w:val="26"/>
          <w:szCs w:val="26"/>
        </w:rPr>
        <w:t xml:space="preserve">A.5 La transparencia hacia los titulares</w:t>
      </w:r>
    </w:p>
    <w:p>
      <w:pPr>
        <w:spacing w:after="140" w:line="300"/>
        <w:jc w:val="both"/>
      </w:pPr>
      <w:r>
        <w:rPr>
          <w:rFonts w:ascii="Calibri" w:cs="Calibri" w:eastAsia="Calibri" w:hAnsi="Calibri"/>
          <w:color w:val="282828"/>
          <w:sz w:val="22"/>
          <w:szCs w:val="22"/>
        </w:rPr>
        <w:t xml:space="preserve">Hay una pregunta que antecede a todas las anteriores: quienes figuran en el registro son los titulares de esos datos y tienen derecho a saber que el sistema existe. El principio de transparencia enunciado en el apartado 3 de este manual aplica hacia los funcionarios con la misma fuerza con que aplica hacia las familias.</w:t>
      </w:r>
    </w:p>
    <w:p>
      <w:pPr>
        <w:spacing w:after="140" w:line="300"/>
        <w:jc w:val="both"/>
      </w:pPr>
      <w:r>
        <w:rPr>
          <w:rFonts w:ascii="Calibri" w:cs="Calibri" w:eastAsia="Calibri" w:hAnsi="Calibri"/>
          <w:color w:val="282828"/>
          <w:sz w:val="22"/>
          <w:szCs w:val="22"/>
        </w:rPr>
        <w:t xml:space="preserve">No se trata de pedir autorización para cada operación, sino de informar de manera clara y por una sola vez. Se sugiere una comunicación breve que señale: qué información registra el sistema, con qué finalidad, quién puede acceder a ella, por cuánto tiempo se conserva, que la redacción se apoya en una herramienta de IA que no emite valoraciones, que los identificadores personales se sustituyen antes de cualquier procesamiento externo, y ante quién dirigirse para consultar o rectificar la información registrada.</w:t>
      </w:r>
    </w:p>
    <w:tbl>
      <w:tblPr>
        <w:tblW w:type="dxa" w:w="9360"/>
        <w:tblBorders>
          <w:top w:val="single" w:color="F1F9F2" w:sz="2"/>
          <w:left w:val="single" w:color="3DB54A" w:sz="24"/>
          <w:bottom w:val="single" w:color="F1F9F2" w:sz="2"/>
          <w:right w:val="single" w:color="F1F9F2" w:sz="2"/>
          <w:insideH w:val="none"/>
          <w:insideV w:val="none"/>
        </w:tblBorders>
      </w:tblPr>
      <w:tblGrid>
        <w:gridCol w:w="9360"/>
      </w:tblGrid>
      <w:tr>
        <w:tc>
          <w:tcPr>
            <w:tcW w:type="dxa" w:w="9360"/>
            <w:shd w:fill="F1F9F2" w:color="auto" w:val="clear"/>
            <w:tcMar>
              <w:top w:type="dxa" w:w="160"/>
              <w:left w:type="dxa" w:w="200"/>
              <w:bottom w:type="dxa" w:w="160"/>
              <w:right w:type="dxa" w:w="200"/>
            </w:tcMar>
          </w:tcPr>
          <w:p>
            <w:pPr>
              <w:spacing w:after="90"/>
            </w:pPr>
            <w:r>
              <w:rPr>
                <w:rFonts w:ascii="Calibri" w:cs="Calibri" w:eastAsia="Calibri" w:hAnsi="Calibri"/>
                <w:b/>
                <w:bCs/>
                <w:color w:val="3DB54A"/>
                <w:sz w:val="22"/>
                <w:szCs w:val="22"/>
              </w:rPr>
              <w:t xml:space="preserve">Una nota final sobre el sentido de todo esto</w:t>
            </w:r>
          </w:p>
          <w:p>
            <w:pPr>
              <w:spacing w:after="80" w:line="290"/>
              <w:jc w:val="both"/>
            </w:pPr>
            <w:r>
              <w:rPr>
                <w:rFonts w:ascii="Calibri" w:cs="Calibri" w:eastAsia="Calibri" w:hAnsi="Calibri"/>
                <w:color w:val="282828"/>
                <w:sz w:val="21"/>
                <w:szCs w:val="21"/>
              </w:rPr>
              <w:t xml:space="preserve">Un sistema propio bien diseñado es preferible a que los equipos resuelvan las mismas necesidades pegando información en plataformas abiertas, que es lo que ocurre cuando la institución no ofrece una alternativa.</w:t>
            </w:r>
          </w:p>
          <w:p>
            <w:pPr>
              <w:spacing w:after="80" w:line="290"/>
              <w:jc w:val="both"/>
            </w:pPr>
            <w:r>
              <w:rPr>
                <w:rFonts w:ascii="Calibri" w:cs="Calibri" w:eastAsia="Calibri" w:hAnsi="Calibri"/>
                <w:color w:val="282828"/>
                <w:sz w:val="21"/>
                <w:szCs w:val="21"/>
              </w:rPr>
              <w:t xml:space="preserve">El propósito de este anexo no es desincentivar estos desarrollos, sino darles el marco que los hace sostenibles: control sobre lo que sale, lenguaje que describe en lugar de juzgar, y titularidad institucional de la infraestructura.</w:t>
            </w:r>
          </w:p>
        </w:tc>
      </w:tr>
    </w:tbl>
    <w:p>
      <w:r>
        <w:br w:type="page"/>
      </w:r>
    </w:p>
    <w:p>
      <w:pPr>
        <w:pStyle w:val="Heading1"/>
        <w:pBdr>
          <w:bottom w:val="single" w:color="1F84EB" w:sz="12" w:space="6"/>
        </w:pBdr>
        <w:spacing w:after="200" w:before="360"/>
      </w:pPr>
      <w:r>
        <w:rPr>
          <w:rFonts w:ascii="Calibri" w:cs="Calibri" w:eastAsia="Calibri" w:hAnsi="Calibri"/>
          <w:b/>
          <w:bCs/>
          <w:color w:val="282828"/>
          <w:sz w:val="32"/>
          <w:szCs w:val="32"/>
        </w:rPr>
        <w:t xml:space="preserve">Referencias</w:t>
      </w:r>
    </w:p>
    <w:p>
      <w:pPr>
        <w:spacing w:after="140" w:line="300"/>
        <w:jc w:val="both"/>
      </w:pPr>
      <w:r>
        <w:rPr>
          <w:rFonts w:ascii="Calibri" w:cs="Calibri" w:eastAsia="Calibri" w:hAnsi="Calibri"/>
          <w:i/>
          <w:iCs/>
          <w:color w:val="5A5A5A"/>
          <w:sz w:val="20"/>
          <w:szCs w:val="20"/>
        </w:rPr>
        <w:t xml:space="preserve">Obras citadas en este manual. Formato APA, séptima edición.</w:t>
      </w:r>
    </w:p>
    <w:p>
      <w:pPr>
        <w:spacing w:after="140" w:line="300"/>
        <w:ind w:left="480" w:hanging="480"/>
      </w:pPr>
      <w:r>
        <w:rPr>
          <w:rFonts w:ascii="Calibri" w:cs="Calibri" w:eastAsia="Calibri" w:hAnsi="Calibri"/>
          <w:color w:val="282828"/>
          <w:sz w:val="21"/>
          <w:szCs w:val="21"/>
        </w:rPr>
        <w:t xml:space="preserve">Adıgüzel, T., Kaya, M. H., &amp; Bulut, M. A. (2026). La inteligencia artificial y el liderazgo educativo: Un análisis bibliométrico (2004–2024) y revisión de políticas globales. </w:t>
      </w:r>
      <w:r>
        <w:rPr>
          <w:rFonts w:ascii="Calibri" w:cs="Calibri" w:eastAsia="Calibri" w:hAnsi="Calibri"/>
          <w:i/>
          <w:iCs/>
          <w:color w:val="282828"/>
          <w:sz w:val="21"/>
          <w:szCs w:val="21"/>
        </w:rPr>
        <w:t xml:space="preserve">Revista Española de Pedagogía, 84</w:t>
      </w:r>
      <w:r>
        <w:rPr>
          <w:rFonts w:ascii="Calibri" w:cs="Calibri" w:eastAsia="Calibri" w:hAnsi="Calibri"/>
          <w:color w:val="282828"/>
          <w:sz w:val="21"/>
          <w:szCs w:val="21"/>
        </w:rPr>
        <w:t xml:space="preserve">(294), 225–249. https://doi.org/10.9781/rep.2026.6351</w:t>
      </w:r>
    </w:p>
    <w:p>
      <w:pPr>
        <w:spacing w:after="140" w:line="300"/>
        <w:ind w:left="480" w:hanging="480"/>
      </w:pPr>
      <w:r>
        <w:rPr>
          <w:rFonts w:ascii="Calibri" w:cs="Calibri" w:eastAsia="Calibri" w:hAnsi="Calibri"/>
          <w:color w:val="282828"/>
          <w:sz w:val="21"/>
          <w:szCs w:val="21"/>
        </w:rPr>
        <w:t xml:space="preserve">Bustamante Bula, R., &amp; Camacho Bonilla, A. (2024). Inteligencia artificial (IA) en las escuelas: una revisión sistemática (2019-2023). </w:t>
      </w:r>
      <w:r>
        <w:rPr>
          <w:rFonts w:ascii="Calibri" w:cs="Calibri" w:eastAsia="Calibri" w:hAnsi="Calibri"/>
          <w:i/>
          <w:iCs/>
          <w:color w:val="282828"/>
          <w:sz w:val="21"/>
          <w:szCs w:val="21"/>
        </w:rPr>
        <w:t xml:space="preserve">Enunciación, 29</w:t>
      </w:r>
      <w:r>
        <w:rPr>
          <w:rFonts w:ascii="Calibri" w:cs="Calibri" w:eastAsia="Calibri" w:hAnsi="Calibri"/>
          <w:color w:val="282828"/>
          <w:sz w:val="21"/>
          <w:szCs w:val="21"/>
        </w:rPr>
        <w:t xml:space="preserve">(1), 62–82. https://doi.org/10.14483/22486798.22039</w:t>
      </w:r>
    </w:p>
    <w:p>
      <w:pPr>
        <w:spacing w:after="140" w:line="300"/>
        <w:ind w:left="480" w:hanging="480"/>
      </w:pPr>
      <w:r>
        <w:rPr>
          <w:rFonts w:ascii="Calibri" w:cs="Calibri" w:eastAsia="Calibri" w:hAnsi="Calibri"/>
          <w:color w:val="282828"/>
          <w:sz w:val="21"/>
          <w:szCs w:val="21"/>
        </w:rPr>
        <w:t xml:space="preserve">CAF – Banco de Desarrollo de América Latina y el Caribe. (2024). </w:t>
      </w:r>
      <w:r>
        <w:rPr>
          <w:rFonts w:ascii="Calibri" w:cs="Calibri" w:eastAsia="Calibri" w:hAnsi="Calibri"/>
          <w:i/>
          <w:iCs/>
          <w:color w:val="282828"/>
          <w:sz w:val="21"/>
          <w:szCs w:val="21"/>
        </w:rPr>
        <w:t xml:space="preserve">Oportunidades de innovación pedagógica con asistencia de inteligencia artificial (IA)</w:t>
      </w:r>
      <w:r>
        <w:rPr>
          <w:rFonts w:ascii="Calibri" w:cs="Calibri" w:eastAsia="Calibri" w:hAnsi="Calibri"/>
          <w:color w:val="282828"/>
          <w:sz w:val="21"/>
          <w:szCs w:val="21"/>
        </w:rPr>
        <w:t xml:space="preserve">. CAF.</w:t>
      </w:r>
    </w:p>
    <w:p>
      <w:pPr>
        <w:spacing w:after="140" w:line="300"/>
        <w:ind w:left="480" w:hanging="480"/>
      </w:pPr>
      <w:r>
        <w:rPr>
          <w:rFonts w:ascii="Calibri" w:cs="Calibri" w:eastAsia="Calibri" w:hAnsi="Calibri"/>
          <w:color w:val="282828"/>
          <w:sz w:val="21"/>
          <w:szCs w:val="21"/>
        </w:rPr>
        <w:t xml:space="preserve">EduCaixa. (2024). </w:t>
      </w:r>
      <w:r>
        <w:rPr>
          <w:rFonts w:ascii="Calibri" w:cs="Calibri" w:eastAsia="Calibri" w:hAnsi="Calibri"/>
          <w:i/>
          <w:iCs/>
          <w:color w:val="282828"/>
          <w:sz w:val="21"/>
          <w:szCs w:val="21"/>
        </w:rPr>
        <w:t xml:space="preserve">Diseñando un protocolo sobre IA en el centro educativo: Qué aprender sobre ella, cómo emplearla y para qué</w:t>
      </w:r>
      <w:r>
        <w:rPr>
          <w:rFonts w:ascii="Calibri" w:cs="Calibri" w:eastAsia="Calibri" w:hAnsi="Calibri"/>
          <w:color w:val="282828"/>
          <w:sz w:val="21"/>
          <w:szCs w:val="21"/>
        </w:rPr>
        <w:t xml:space="preserve">. Fundación “la Caixa”.</w:t>
      </w:r>
    </w:p>
    <w:p>
      <w:pPr>
        <w:spacing w:after="140" w:line="300"/>
        <w:ind w:left="480" w:hanging="480"/>
      </w:pPr>
      <w:r>
        <w:rPr>
          <w:rFonts w:ascii="Calibri" w:cs="Calibri" w:eastAsia="Calibri" w:hAnsi="Calibri"/>
          <w:color w:val="282828"/>
          <w:sz w:val="21"/>
          <w:szCs w:val="21"/>
        </w:rPr>
        <w:t xml:space="preserve">Educ.ar. (2025). </w:t>
      </w:r>
      <w:r>
        <w:rPr>
          <w:rFonts w:ascii="Calibri" w:cs="Calibri" w:eastAsia="Calibri" w:hAnsi="Calibri"/>
          <w:i/>
          <w:iCs/>
          <w:color w:val="282828"/>
          <w:sz w:val="21"/>
          <w:szCs w:val="21"/>
        </w:rPr>
        <w:t xml:space="preserve">Cómo incorporar IA generativa al aula: Una orientación en ChatGPT para docentes</w:t>
      </w:r>
      <w:r>
        <w:rPr>
          <w:rFonts w:ascii="Calibri" w:cs="Calibri" w:eastAsia="Calibri" w:hAnsi="Calibri"/>
          <w:color w:val="282828"/>
          <w:sz w:val="21"/>
          <w:szCs w:val="21"/>
        </w:rPr>
        <w:t xml:space="preserve"> (1.ª ed. actualizada). Educ.ar.</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Guía cómo redactar y ajustar prompts efectivos</w:t>
      </w:r>
      <w:r>
        <w:rPr>
          <w:rFonts w:ascii="Calibri" w:cs="Calibri" w:eastAsia="Calibri" w:hAnsi="Calibri"/>
          <w:color w:val="282828"/>
          <w:sz w:val="21"/>
          <w:szCs w:val="21"/>
        </w:rPr>
        <w:t xml:space="preserve">. (s.f.). [Material de formación N.º 9]. Documento de trabajo sin autoría consignada, recibido como parte del material del curso.</w:t>
      </w:r>
    </w:p>
    <w:p>
      <w:pPr>
        <w:spacing w:after="140" w:line="300"/>
        <w:ind w:left="480" w:hanging="480"/>
      </w:pPr>
      <w:r>
        <w:rPr>
          <w:rFonts w:ascii="Calibri" w:cs="Calibri" w:eastAsia="Calibri" w:hAnsi="Calibri"/>
          <w:color w:val="282828"/>
          <w:sz w:val="21"/>
          <w:szCs w:val="21"/>
        </w:rPr>
        <w:t xml:space="preserve">Ley N.º 19.628. </w:t>
      </w:r>
      <w:r>
        <w:rPr>
          <w:rFonts w:ascii="Calibri" w:cs="Calibri" w:eastAsia="Calibri" w:hAnsi="Calibri"/>
          <w:i/>
          <w:iCs/>
          <w:color w:val="282828"/>
          <w:sz w:val="21"/>
          <w:szCs w:val="21"/>
        </w:rPr>
        <w:t xml:space="preserve">Sobre protección de la vida privada</w:t>
      </w:r>
      <w:r>
        <w:rPr>
          <w:rFonts w:ascii="Calibri" w:cs="Calibri" w:eastAsia="Calibri" w:hAnsi="Calibri"/>
          <w:color w:val="282828"/>
          <w:sz w:val="21"/>
          <w:szCs w:val="21"/>
        </w:rPr>
        <w:t xml:space="preserve">. Diario Oficial de la República de Chile, 28 de agosto de 1999. https://www.bcn.cl/leychile/navegar?idNorma=141599</w:t>
      </w:r>
    </w:p>
    <w:p>
      <w:pPr>
        <w:spacing w:after="140" w:line="300"/>
        <w:ind w:left="480" w:hanging="480"/>
      </w:pPr>
      <w:r>
        <w:rPr>
          <w:rFonts w:ascii="Calibri" w:cs="Calibri" w:eastAsia="Calibri" w:hAnsi="Calibri"/>
          <w:color w:val="282828"/>
          <w:sz w:val="21"/>
          <w:szCs w:val="21"/>
        </w:rPr>
        <w:t xml:space="preserve">Ley N.º 20.285. </w:t>
      </w:r>
      <w:r>
        <w:rPr>
          <w:rFonts w:ascii="Calibri" w:cs="Calibri" w:eastAsia="Calibri" w:hAnsi="Calibri"/>
          <w:i/>
          <w:iCs/>
          <w:color w:val="282828"/>
          <w:sz w:val="21"/>
          <w:szCs w:val="21"/>
        </w:rPr>
        <w:t xml:space="preserve">Sobre acceso a la información pública</w:t>
      </w:r>
      <w:r>
        <w:rPr>
          <w:rFonts w:ascii="Calibri" w:cs="Calibri" w:eastAsia="Calibri" w:hAnsi="Calibri"/>
          <w:color w:val="282828"/>
          <w:sz w:val="21"/>
          <w:szCs w:val="21"/>
        </w:rPr>
        <w:t xml:space="preserve">. Diario Oficial de la República de Chile, 20 de agosto de 2008. https://www.bcn.cl/leychile/navegar?idNorma=276363</w:t>
      </w:r>
    </w:p>
    <w:p>
      <w:pPr>
        <w:spacing w:after="140" w:line="300"/>
        <w:ind w:left="480" w:hanging="480"/>
      </w:pPr>
      <w:r>
        <w:rPr>
          <w:rFonts w:ascii="Calibri" w:cs="Calibri" w:eastAsia="Calibri" w:hAnsi="Calibri"/>
          <w:color w:val="282828"/>
          <w:sz w:val="21"/>
          <w:szCs w:val="21"/>
        </w:rPr>
        <w:t xml:space="preserve">Ley N.º 21.040. </w:t>
      </w:r>
      <w:r>
        <w:rPr>
          <w:rFonts w:ascii="Calibri" w:cs="Calibri" w:eastAsia="Calibri" w:hAnsi="Calibri"/>
          <w:i/>
          <w:iCs/>
          <w:color w:val="282828"/>
          <w:sz w:val="21"/>
          <w:szCs w:val="21"/>
        </w:rPr>
        <w:t xml:space="preserve">Crea el Sistema de Educación Pública</w:t>
      </w:r>
      <w:r>
        <w:rPr>
          <w:rFonts w:ascii="Calibri" w:cs="Calibri" w:eastAsia="Calibri" w:hAnsi="Calibri"/>
          <w:color w:val="282828"/>
          <w:sz w:val="21"/>
          <w:szCs w:val="21"/>
        </w:rPr>
        <w:t xml:space="preserve">. Diario Oficial de la República de Chile, 24 de noviembre de 2017. https://www.bcn.cl/leychile/navegar?idNorma=1111237</w:t>
      </w:r>
    </w:p>
    <w:p>
      <w:pPr>
        <w:spacing w:after="140" w:line="300"/>
        <w:ind w:left="480" w:hanging="480"/>
      </w:pPr>
      <w:r>
        <w:rPr>
          <w:rFonts w:ascii="Calibri" w:cs="Calibri" w:eastAsia="Calibri" w:hAnsi="Calibri"/>
          <w:color w:val="282828"/>
          <w:sz w:val="21"/>
          <w:szCs w:val="21"/>
        </w:rPr>
        <w:t xml:space="preserve">Ley N.º 21.719. </w:t>
      </w:r>
      <w:r>
        <w:rPr>
          <w:rFonts w:ascii="Calibri" w:cs="Calibri" w:eastAsia="Calibri" w:hAnsi="Calibri"/>
          <w:i/>
          <w:iCs/>
          <w:color w:val="282828"/>
          <w:sz w:val="21"/>
          <w:szCs w:val="21"/>
        </w:rPr>
        <w:t xml:space="preserve">Regula la protección y el tratamiento de los datos personales y crea la Agencia de Protección de Datos Personales</w:t>
      </w:r>
      <w:r>
        <w:rPr>
          <w:rFonts w:ascii="Calibri" w:cs="Calibri" w:eastAsia="Calibri" w:hAnsi="Calibri"/>
          <w:color w:val="282828"/>
          <w:sz w:val="21"/>
          <w:szCs w:val="21"/>
        </w:rPr>
        <w:t xml:space="preserve">. Diario Oficial de la República de Chile, 13 de diciembre de 2024 (entrada en plena vigencia: 1 de diciembre de 2026). https://www.bcn.cl/leychile/navegar?idNorma=1208650</w:t>
      </w:r>
    </w:p>
    <w:p>
      <w:pPr>
        <w:spacing w:after="140" w:line="300"/>
        <w:ind w:left="480" w:hanging="480"/>
      </w:pPr>
      <w:r>
        <w:rPr>
          <w:rFonts w:ascii="Calibri" w:cs="Calibri" w:eastAsia="Calibri" w:hAnsi="Calibri"/>
          <w:color w:val="282828"/>
          <w:sz w:val="21"/>
          <w:szCs w:val="21"/>
        </w:rPr>
        <w:t xml:space="preserve">Ministerio de Educación de Chile. (2018a). </w:t>
      </w:r>
      <w:r>
        <w:rPr>
          <w:rFonts w:ascii="Calibri" w:cs="Calibri" w:eastAsia="Calibri" w:hAnsi="Calibri"/>
          <w:i/>
          <w:iCs/>
          <w:color w:val="282828"/>
          <w:sz w:val="21"/>
          <w:szCs w:val="21"/>
        </w:rPr>
        <w:t xml:space="preserve">Mejoramiento y cambio escolar: Análisis y uso de datos para la gestión directiva</w:t>
      </w:r>
      <w:r>
        <w:rPr>
          <w:rFonts w:ascii="Calibri" w:cs="Calibri" w:eastAsia="Calibri" w:hAnsi="Calibri"/>
          <w:color w:val="282828"/>
          <w:sz w:val="21"/>
          <w:szCs w:val="21"/>
        </w:rPr>
        <w:t xml:space="preserve"> (Guía de herramientas para el desarrollo de recursos personales en equipos directivos, Herramienta 3). División de Educación General, Mineduc.</w:t>
      </w:r>
    </w:p>
    <w:p>
      <w:pPr>
        <w:spacing w:after="140" w:line="300"/>
        <w:ind w:left="480" w:hanging="480"/>
      </w:pPr>
      <w:r>
        <w:rPr>
          <w:rFonts w:ascii="Calibri" w:cs="Calibri" w:eastAsia="Calibri" w:hAnsi="Calibri"/>
          <w:color w:val="282828"/>
          <w:sz w:val="21"/>
          <w:szCs w:val="21"/>
        </w:rPr>
        <w:t xml:space="preserve">Ministerio de Educación de Chile. (2018b). </w:t>
      </w:r>
      <w:r>
        <w:rPr>
          <w:rFonts w:ascii="Calibri" w:cs="Calibri" w:eastAsia="Calibri" w:hAnsi="Calibri"/>
          <w:i/>
          <w:iCs/>
          <w:color w:val="282828"/>
          <w:sz w:val="21"/>
          <w:szCs w:val="21"/>
        </w:rPr>
        <w:t xml:space="preserve">Guía de orientaciones para liderar procesos participativos en el contexto escolar. Documento de apoyo a equipos directivos</w:t>
      </w:r>
      <w:r>
        <w:rPr>
          <w:rFonts w:ascii="Calibri" w:cs="Calibri" w:eastAsia="Calibri" w:hAnsi="Calibri"/>
          <w:color w:val="282828"/>
          <w:sz w:val="21"/>
          <w:szCs w:val="21"/>
        </w:rPr>
        <w:t xml:space="preserve">. Mineduc.</w:t>
      </w:r>
    </w:p>
    <w:p>
      <w:pPr>
        <w:spacing w:after="140" w:line="300"/>
        <w:ind w:left="480" w:hanging="480"/>
      </w:pPr>
      <w:r>
        <w:rPr>
          <w:rFonts w:ascii="Calibri" w:cs="Calibri" w:eastAsia="Calibri" w:hAnsi="Calibri"/>
          <w:color w:val="282828"/>
          <w:sz w:val="21"/>
          <w:szCs w:val="21"/>
        </w:rPr>
        <w:t xml:space="preserve">Ministerio de Educación de Chile. (2023). </w:t>
      </w:r>
      <w:r>
        <w:rPr>
          <w:rFonts w:ascii="Calibri" w:cs="Calibri" w:eastAsia="Calibri" w:hAnsi="Calibri"/>
          <w:i/>
          <w:iCs/>
          <w:color w:val="282828"/>
          <w:sz w:val="21"/>
          <w:szCs w:val="21"/>
        </w:rPr>
        <w:t xml:space="preserve">Guía para docentes: Cómo usar ChatGPT para potenciar el aprendizaje activo</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Ministerio de Educación de Chile. (2025). </w:t>
      </w:r>
      <w:r>
        <w:rPr>
          <w:rFonts w:ascii="Calibri" w:cs="Calibri" w:eastAsia="Calibri" w:hAnsi="Calibri"/>
          <w:i/>
          <w:iCs/>
          <w:color w:val="282828"/>
          <w:sz w:val="21"/>
          <w:szCs w:val="21"/>
        </w:rPr>
        <w:t xml:space="preserve">PotencIA el aprendizaje: Preguntas para la reflexión y práctica de la Inteligencia Artificial generativa en contextos educativos</w:t>
      </w:r>
      <w:r>
        <w:rPr>
          <w:rFonts w:ascii="Calibri" w:cs="Calibri" w:eastAsia="Calibri" w:hAnsi="Calibri"/>
          <w:color w:val="282828"/>
          <w:sz w:val="21"/>
          <w:szCs w:val="21"/>
        </w:rPr>
        <w:t xml:space="preserve">. Centro de Innovación, Mineduc.</w:t>
      </w:r>
    </w:p>
    <w:p>
      <w:pPr>
        <w:spacing w:after="140" w:line="300"/>
        <w:ind w:left="480" w:hanging="480"/>
      </w:pPr>
      <w:r>
        <w:rPr>
          <w:rFonts w:ascii="Calibri" w:cs="Calibri" w:eastAsia="Calibri" w:hAnsi="Calibri"/>
          <w:color w:val="282828"/>
          <w:sz w:val="21"/>
          <w:szCs w:val="21"/>
        </w:rPr>
        <w:t xml:space="preserve">Ortiz González, E., &amp; Fourt, J. (Eds.). (2025). </w:t>
      </w:r>
      <w:r>
        <w:rPr>
          <w:rFonts w:ascii="Calibri" w:cs="Calibri" w:eastAsia="Calibri" w:hAnsi="Calibri"/>
          <w:i/>
          <w:iCs/>
          <w:color w:val="282828"/>
          <w:sz w:val="21"/>
          <w:szCs w:val="21"/>
        </w:rPr>
        <w:t xml:space="preserve">Transformando el aula con inteligencia artificial: Experiencias de innovación en aula</w:t>
      </w:r>
      <w:r>
        <w:rPr>
          <w:rFonts w:ascii="Calibri" w:cs="Calibri" w:eastAsia="Calibri" w:hAnsi="Calibri"/>
          <w:color w:val="282828"/>
          <w:sz w:val="21"/>
          <w:szCs w:val="21"/>
        </w:rPr>
        <w:t xml:space="preserve">. Departamento Provincial de Educación Cachapoal, Ministerio de Educación.</w:t>
      </w:r>
    </w:p>
    <w:p>
      <w:pPr>
        <w:spacing w:after="140" w:line="300"/>
        <w:ind w:left="480" w:hanging="480"/>
      </w:pPr>
      <w:r>
        <w:rPr>
          <w:rFonts w:ascii="Calibri" w:cs="Calibri" w:eastAsia="Calibri" w:hAnsi="Calibri"/>
          <w:color w:val="282828"/>
          <w:sz w:val="21"/>
          <w:szCs w:val="21"/>
        </w:rPr>
        <w:t xml:space="preserve">Secretaría de Gobierno Digital. (s.f.). </w:t>
      </w:r>
      <w:r>
        <w:rPr>
          <w:rFonts w:ascii="Calibri" w:cs="Calibri" w:eastAsia="Calibri" w:hAnsi="Calibri"/>
          <w:i/>
          <w:iCs/>
          <w:color w:val="282828"/>
          <w:sz w:val="21"/>
          <w:szCs w:val="21"/>
        </w:rPr>
        <w:t xml:space="preserve">Guía práctica para facilitar la implementación de la nueva Ley de Protección de Datos Personales en la Administración</w:t>
      </w:r>
      <w:r>
        <w:rPr>
          <w:rFonts w:ascii="Calibri" w:cs="Calibri" w:eastAsia="Calibri" w:hAnsi="Calibri"/>
          <w:color w:val="282828"/>
          <w:sz w:val="21"/>
          <w:szCs w:val="21"/>
        </w:rPr>
        <w:t xml:space="preserve">. Ministerio de Hacienda, Gobierno de Chile. https://wikiguias.digital.gob.cl/datos-personales/guia-practica-implementacion-nueva-ley-datos-personales</w:t>
      </w:r>
    </w:p>
    <w:p>
      <w:pPr>
        <w:spacing w:after="140" w:line="300"/>
        <w:ind w:left="480" w:hanging="480"/>
      </w:pPr>
      <w:r>
        <w:rPr>
          <w:rFonts w:ascii="Calibri" w:cs="Calibri" w:eastAsia="Calibri" w:hAnsi="Calibri"/>
          <w:color w:val="282828"/>
          <w:sz w:val="21"/>
          <w:szCs w:val="21"/>
        </w:rPr>
        <w:t xml:space="preserve">UNITEC. (2024). </w:t>
      </w:r>
      <w:r>
        <w:rPr>
          <w:rFonts w:ascii="Calibri" w:cs="Calibri" w:eastAsia="Calibri" w:hAnsi="Calibri"/>
          <w:i/>
          <w:iCs/>
          <w:color w:val="282828"/>
          <w:sz w:val="21"/>
          <w:szCs w:val="21"/>
        </w:rPr>
        <w:t xml:space="preserve">200+1 prompts para educación: Guía para docentes innovadores</w:t>
      </w:r>
      <w:r>
        <w:rPr>
          <w:rFonts w:ascii="Calibri" w:cs="Calibri" w:eastAsia="Calibri" w:hAnsi="Calibri"/>
          <w:color w:val="282828"/>
          <w:sz w:val="21"/>
          <w:szCs w:val="21"/>
        </w:rPr>
        <w:t xml:space="preserve">. Universidad Tecnológica Centroamericana.</w:t>
      </w:r>
    </w:p>
    <w:p>
      <w:pPr>
        <w:spacing w:after="140" w:line="300"/>
        <w:ind w:left="480" w:hanging="480"/>
      </w:pPr>
      <w:r>
        <w:rPr>
          <w:rFonts w:ascii="Calibri" w:cs="Calibri" w:eastAsia="Calibri" w:hAnsi="Calibri"/>
          <w:color w:val="282828"/>
          <w:sz w:val="21"/>
          <w:szCs w:val="21"/>
        </w:rPr>
        <w:t xml:space="preserve"/>
      </w:r>
      <w:r>
        <w:rPr>
          <w:rFonts w:ascii="Calibri" w:cs="Calibri" w:eastAsia="Calibri" w:hAnsi="Calibri"/>
          <w:i/>
          <w:iCs/>
          <w:color w:val="282828"/>
          <w:sz w:val="21"/>
          <w:szCs w:val="21"/>
        </w:rPr>
        <w:t xml:space="preserve">Uso ético de la inteligencia artificial: Principios y criterios para directivos escolares</w:t>
      </w:r>
      <w:r>
        <w:rPr>
          <w:rFonts w:ascii="Calibri" w:cs="Calibri" w:eastAsia="Calibri" w:hAnsi="Calibri"/>
          <w:color w:val="282828"/>
          <w:sz w:val="21"/>
          <w:szCs w:val="21"/>
        </w:rPr>
        <w:t xml:space="preserve">. (s.f.). [Material de formación N.º 2]. Documento de trabajo sin autoría consignada, recibido como parte del material del curso.</w:t>
      </w:r>
    </w:p>
    <w:p>
      <w:pPr>
        <w:pStyle w:val="Heading1"/>
        <w:pBdr>
          <w:bottom w:val="single" w:color="1F84EB" w:sz="12" w:space="6"/>
        </w:pBdr>
        <w:spacing w:after="200" w:before="360"/>
      </w:pPr>
      <w:r>
        <w:rPr>
          <w:rFonts w:ascii="Calibri" w:cs="Calibri" w:eastAsia="Calibri" w:hAnsi="Calibri"/>
          <w:b/>
          <w:bCs/>
          <w:color w:val="282828"/>
          <w:sz w:val="32"/>
          <w:szCs w:val="32"/>
        </w:rPr>
        <w:t xml:space="preserve">Bibliografía complementaria</w:t>
      </w:r>
    </w:p>
    <w:p>
      <w:pPr>
        <w:spacing w:after="140" w:line="300"/>
        <w:jc w:val="both"/>
      </w:pPr>
      <w:r>
        <w:rPr>
          <w:rFonts w:ascii="Calibri" w:cs="Calibri" w:eastAsia="Calibri" w:hAnsi="Calibri"/>
          <w:i/>
          <w:iCs/>
          <w:color w:val="5A5A5A"/>
          <w:sz w:val="20"/>
          <w:szCs w:val="20"/>
        </w:rPr>
        <w:t xml:space="preserve">Obras consultadas para la elaboración de este manual que no son citadas de manera directa en el texto, y que amplían los temas tratados.</w:t>
      </w:r>
    </w:p>
    <w:p>
      <w:pPr>
        <w:spacing w:after="140" w:line="300"/>
        <w:ind w:left="480" w:hanging="480"/>
      </w:pPr>
      <w:r>
        <w:rPr>
          <w:rFonts w:ascii="Calibri" w:cs="Calibri" w:eastAsia="Calibri" w:hAnsi="Calibri"/>
          <w:color w:val="282828"/>
          <w:sz w:val="21"/>
          <w:szCs w:val="21"/>
        </w:rPr>
        <w:t xml:space="preserve">Agencia de Calidad de la Educación. (2023). </w:t>
      </w:r>
      <w:r>
        <w:rPr>
          <w:rFonts w:ascii="Calibri" w:cs="Calibri" w:eastAsia="Calibri" w:hAnsi="Calibri"/>
          <w:i/>
          <w:iCs/>
          <w:color w:val="282828"/>
          <w:sz w:val="21"/>
          <w:szCs w:val="21"/>
        </w:rPr>
        <w:t xml:space="preserve">Definiendo lineamientos pedagógicos para la implementación efectiva del currículum</w:t>
      </w:r>
      <w:r>
        <w:rPr>
          <w:rFonts w:ascii="Calibri" w:cs="Calibri" w:eastAsia="Calibri" w:hAnsi="Calibri"/>
          <w:color w:val="282828"/>
          <w:sz w:val="21"/>
          <w:szCs w:val="21"/>
        </w:rPr>
        <w:t xml:space="preserve"> [Taller para director, equipo técnico-pedagógico y docentes]. Agencia de Calidad de la Educación.</w:t>
      </w:r>
    </w:p>
    <w:p>
      <w:pPr>
        <w:spacing w:after="140" w:line="300"/>
        <w:ind w:left="480" w:hanging="480"/>
      </w:pPr>
      <w:r>
        <w:rPr>
          <w:rFonts w:ascii="Calibri" w:cs="Calibri" w:eastAsia="Calibri" w:hAnsi="Calibri"/>
          <w:color w:val="282828"/>
          <w:sz w:val="21"/>
          <w:szCs w:val="21"/>
        </w:rPr>
        <w:t xml:space="preserve">Ministerio de Ciencia, Tecnología, Conocimiento e Innovación. (2021). </w:t>
      </w:r>
      <w:r>
        <w:rPr>
          <w:rFonts w:ascii="Calibri" w:cs="Calibri" w:eastAsia="Calibri" w:hAnsi="Calibri"/>
          <w:i/>
          <w:iCs/>
          <w:color w:val="282828"/>
          <w:sz w:val="21"/>
          <w:szCs w:val="21"/>
        </w:rPr>
        <w:t xml:space="preserve">Política Nacional de Inteligencia Artificial</w:t>
      </w:r>
      <w:r>
        <w:rPr>
          <w:rFonts w:ascii="Calibri" w:cs="Calibri" w:eastAsia="Calibri" w:hAnsi="Calibri"/>
          <w:color w:val="282828"/>
          <w:sz w:val="21"/>
          <w:szCs w:val="21"/>
        </w:rPr>
        <w:t xml:space="preserve">. Gobierno de Chile.</w:t>
      </w:r>
    </w:p>
    <w:p>
      <w:pPr>
        <w:spacing w:after="140" w:line="300"/>
        <w:ind w:left="480" w:hanging="480"/>
      </w:pPr>
      <w:r>
        <w:rPr>
          <w:rFonts w:ascii="Calibri" w:cs="Calibri" w:eastAsia="Calibri" w:hAnsi="Calibri"/>
          <w:color w:val="282828"/>
          <w:sz w:val="21"/>
          <w:szCs w:val="21"/>
        </w:rPr>
        <w:t xml:space="preserve">Ministerio de Educación de Chile. (2015). </w:t>
      </w:r>
      <w:r>
        <w:rPr>
          <w:rFonts w:ascii="Calibri" w:cs="Calibri" w:eastAsia="Calibri" w:hAnsi="Calibri"/>
          <w:i/>
          <w:iCs/>
          <w:color w:val="282828"/>
          <w:sz w:val="21"/>
          <w:szCs w:val="21"/>
        </w:rPr>
        <w:t xml:space="preserve">Marco para la Buena Dirección y el Liderazgo Escolar</w:t>
      </w:r>
      <w:r>
        <w:rPr>
          <w:rFonts w:ascii="Calibri" w:cs="Calibri" w:eastAsia="Calibri" w:hAnsi="Calibri"/>
          <w:color w:val="282828"/>
          <w:sz w:val="21"/>
          <w:szCs w:val="21"/>
        </w:rPr>
        <w:t xml:space="preserve">. CPEIP, Mineduc.</w:t>
      </w:r>
    </w:p>
    <w:p>
      <w:pPr>
        <w:spacing w:after="140" w:line="300"/>
        <w:ind w:left="480" w:hanging="480"/>
      </w:pPr>
      <w:r>
        <w:rPr>
          <w:rFonts w:ascii="Calibri" w:cs="Calibri" w:eastAsia="Calibri" w:hAnsi="Calibri"/>
          <w:color w:val="282828"/>
          <w:sz w:val="21"/>
          <w:szCs w:val="21"/>
        </w:rPr>
        <w:t xml:space="preserve">Sáenz De Viteri Anzules, C., Vaca Badaraco, J., Sánchez Vera, S., Alvarado Pignataro, D., Villao Maridueña, R., &amp; Valverde Valverde, J. (2025). IA y liderazgo educativo: un análisis bibliométrico global. </w:t>
      </w:r>
      <w:r>
        <w:rPr>
          <w:rFonts w:ascii="Calibri" w:cs="Calibri" w:eastAsia="Calibri" w:hAnsi="Calibri"/>
          <w:i/>
          <w:iCs/>
          <w:color w:val="282828"/>
          <w:sz w:val="21"/>
          <w:szCs w:val="21"/>
        </w:rPr>
        <w:t xml:space="preserve">Simbiosis Educativa, 4</w:t>
      </w:r>
      <w:r>
        <w:rPr>
          <w:rFonts w:ascii="Calibri" w:cs="Calibri" w:eastAsia="Calibri" w:hAnsi="Calibri"/>
          <w:color w:val="282828"/>
          <w:sz w:val="21"/>
          <w:szCs w:val="21"/>
        </w:rPr>
        <w:t xml:space="preserve">(1), 60–77. https://doi.org/10.60085/se.v4n1a4</w:t>
      </w:r>
    </w:p>
    <w:p>
      <w:pPr>
        <w:spacing w:after="140" w:line="300"/>
        <w:ind w:left="480" w:hanging="480"/>
      </w:pPr>
      <w:r>
        <w:rPr>
          <w:rFonts w:ascii="Calibri" w:cs="Calibri" w:eastAsia="Calibri" w:hAnsi="Calibri"/>
          <w:color w:val="282828"/>
          <w:sz w:val="21"/>
          <w:szCs w:val="21"/>
        </w:rPr>
        <w:t xml:space="preserve">UNESCO. (2023). </w:t>
      </w:r>
      <w:r>
        <w:rPr>
          <w:rFonts w:ascii="Calibri" w:cs="Calibri" w:eastAsia="Calibri" w:hAnsi="Calibri"/>
          <w:i/>
          <w:iCs/>
          <w:color w:val="282828"/>
          <w:sz w:val="21"/>
          <w:szCs w:val="21"/>
        </w:rPr>
        <w:t xml:space="preserve">Guidance for generative AI in education and research</w:t>
      </w:r>
      <w:r>
        <w:rPr>
          <w:rFonts w:ascii="Calibri" w:cs="Calibri" w:eastAsia="Calibri" w:hAnsi="Calibri"/>
          <w:color w:val="282828"/>
          <w:sz w:val="21"/>
          <w:szCs w:val="21"/>
        </w:rPr>
        <w:t xml:space="preserve">. UNESCO. https://unesdoc.unesco.org/ark:/48223/pf0000392040</w:t>
      </w:r>
    </w:p>
    <w:sectPr>
      <w:headerReference w:type="default" r:id="rId7"/>
      <w:headerReference w:type="first" r:id="rId8"/>
      <w:footerReference w:type="default" r:id="rId9"/>
      <w:footerReference w:type="first" r:id="rId10"/>
      <w:pgSz w:w="11906" w:h="16838" w:orient="portrait"/>
      <w:pgMar w:top="1080" w:right="1440" w:bottom="1080" w:left="1440" w:header="560" w:footer="56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A5A5A"/>
        <w:sz w:val="18"/>
        <w:szCs w:val="18"/>
      </w:rPr>
      <w:t xml:space="preserve"/>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E2F3" w:sz="6" w:space="4"/>
      </w:pBdr>
      <w:spacing w:after="60"/>
    </w:pPr>
    <w:r>
      <w:rPr>
        <w:rFonts w:ascii="Calibri" w:cs="Calibri" w:eastAsia="Calibri" w:hAnsi="Calibri"/>
        <w:color w:val="5A5A5A"/>
        <w:sz w:val="17"/>
        <w:szCs w:val="17"/>
      </w:rPr>
      <w:t xml:space="preserve">SLEP Andalién Sur  ·  Manual 2. Uso ético y tipos de uso de la IA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rPr>
        <w:color w:val="1F84EB"/>
      </w:rPr>
    </w:lvl>
    <w:lvl w:ilvl="1" w15:tentative="1">
      <w:start w:val="1"/>
      <w:numFmt w:val="bullet"/>
      <w:lvlText w:val="–"/>
      <w:lvlJc w:val="left"/>
      <w:pPr>
        <w:ind w:left="840" w:hanging="220"/>
      </w:pPr>
      <w:rPr>
        <w:color w:val="5A5A5A"/>
      </w:rPr>
    </w:lvl>
  </w:abstractNum>
  <w:abstractNum w:abstractNumId="3" w15:restartNumberingAfterBreak="0">
    <w:multiLevelType w:val="hybridMultilevel"/>
    <w:lvl w:ilvl="0" w15:tentative="1">
      <w:start w:val="1"/>
      <w:numFmt w:val="decimal"/>
      <w:lvlText w:val="%1."/>
      <w:lvlJc w:val="left"/>
      <w:pPr>
        <w:ind w:left="460" w:hanging="260"/>
      </w:pPr>
      <w:rPr>
        <w:b/>
        <w:bCs/>
        <w:color w:val="1F84EB"/>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828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282828"/>
      <w:sz w:val="32"/>
      <w:szCs w:val="32"/>
    </w:rPr>
  </w:style>
  <w:style w:type="paragraph" w:styleId="Heading2">
    <w:name w:val="Heading 2"/>
    <w:basedOn w:val="Normal"/>
    <w:next w:val="Normal"/>
    <w:qFormat/>
    <w:rPr>
      <w:rFonts w:ascii="Calibri" w:cs="Calibri" w:eastAsia="Calibri" w:hAnsi="Calibri"/>
      <w:b/>
      <w:bCs/>
      <w:color w:val="1F84EB"/>
      <w:sz w:val="26"/>
      <w:szCs w:val="26"/>
    </w:rPr>
  </w:style>
  <w:style w:type="paragraph" w:styleId="Heading3">
    <w:name w:val="Heading 3"/>
    <w:basedOn w:val="Normal"/>
    <w:next w:val="Normal"/>
    <w:qFormat/>
    <w:rPr>
      <w:rFonts w:ascii="Calibri" w:cs="Calibri" w:eastAsia="Calibri" w:hAnsi="Calibri"/>
      <w:b/>
      <w:bCs/>
      <w:color w:val="28282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b1801139c5e6c063a2b61058ac66ac4b79ddb049.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2. Uso ético de la información y tipos de uso de la IA en la gestión educativa</dc:title>
  <dc:creator>SLEP Andalién Sur</dc:creator>
  <dc:description>Principios, criterios de decisión, protocolos de resguardo y seis formas de incorporar la IA al trabajo escolar</dc:description>
  <cp:lastModifiedBy>Un-named</cp:lastModifiedBy>
  <cp:revision>1</cp:revision>
  <dcterms:created xsi:type="dcterms:W3CDTF">2026-10-14T14:16:18.944Z</dcterms:created>
  <dcterms:modified xsi:type="dcterms:W3CDTF">2026-10-14T14:16:18.945Z</dcterms:modified>
</cp:coreProperties>
</file>

<file path=docProps/custom.xml><?xml version="1.0" encoding="utf-8"?>
<Properties xmlns="http://schemas.openxmlformats.org/officeDocument/2006/custom-properties" xmlns:vt="http://schemas.openxmlformats.org/officeDocument/2006/docPropsVTypes"/>
</file>