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600"/>
        <w:jc w:val="center"/>
      </w:pPr>
      <w:r>
        <w:drawing>
          <wp:inline distT="0" distB="0" distL="0" distR="0">
            <wp:extent cx="28575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1514475"/>
                    </a:xfrm>
                    <a:prstGeom prst="rect">
                      <a:avLst/>
                    </a:prstGeom>
                  </pic:spPr>
                </pic:pic>
              </a:graphicData>
            </a:graphic>
          </wp:inline>
        </w:drawing>
      </w:r>
    </w:p>
    <w:p>
      <w:pPr>
        <w:pBdr>
          <w:bottom w:val="single" w:color="F8D53C" w:sz="8" w:space="10"/>
        </w:pBdr>
        <w:spacing w:after="60"/>
        <w:jc w:val="center"/>
      </w:pPr>
      <w:r>
        <w:rPr>
          <w:rFonts w:ascii="Calibri" w:cs="Calibri" w:eastAsia="Calibri" w:hAnsi="Calibri"/>
          <w:b/>
          <w:bCs/>
          <w:color w:val="5A5A5A"/>
          <w:spacing w:val="20"/>
          <w:sz w:val="18"/>
          <w:szCs w:val="18"/>
        </w:rPr>
        <w:t xml:space="preserve">SERIE DE MANUALES · INTELIGENCIA ARTIFICIAL PARA LA GESTIÓN EDUCATIVA</w:t>
      </w:r>
    </w:p>
    <w:p>
      <w:pPr>
        <w:spacing w:after="500"/>
      </w:pPr>
      <w:r>
        <w:rPr>
          <w:sz w:val="12"/>
          <w:szCs w:val="12"/>
        </w:rPr>
        <w:t xml:space="preserve"/>
      </w:r>
    </w:p>
    <w:p>
      <w:pPr>
        <w:spacing w:after="120"/>
        <w:jc w:val="center"/>
      </w:pPr>
      <w:r>
        <w:rPr>
          <w:rFonts w:ascii="Calibri" w:cs="Calibri" w:eastAsia="Calibri" w:hAnsi="Calibri"/>
          <w:b/>
          <w:bCs/>
          <w:color w:val="1F84EB"/>
          <w:sz w:val="44"/>
          <w:szCs w:val="44"/>
        </w:rPr>
        <w:t xml:space="preserve">MANUAL 3</w:t>
      </w:r>
    </w:p>
    <w:p>
      <w:pPr>
        <w:spacing w:after="220"/>
        <w:jc w:val="center"/>
      </w:pPr>
      <w:r>
        <w:rPr>
          <w:rFonts w:ascii="Calibri" w:cs="Calibri" w:eastAsia="Calibri" w:hAnsi="Calibri"/>
          <w:b/>
          <w:bCs/>
          <w:color w:val="282828"/>
          <w:sz w:val="38"/>
          <w:szCs w:val="38"/>
        </w:rPr>
        <w:t xml:space="preserve">Herramientas de inteligencia artificial y sus usos en el contexto escolar chileno</w:t>
      </w:r>
    </w:p>
    <w:p>
      <w:pPr>
        <w:spacing w:after="700"/>
        <w:ind w:left="700" w:right="700"/>
        <w:jc w:val="center"/>
      </w:pPr>
      <w:r>
        <w:rPr>
          <w:rFonts w:ascii="Calibri" w:cs="Calibri" w:eastAsia="Calibri" w:hAnsi="Calibri"/>
          <w:i/>
          <w:iCs/>
          <w:color w:val="5A5A5A"/>
          <w:sz w:val="23"/>
          <w:szCs w:val="23"/>
        </w:rPr>
        <w:t xml:space="preserve">Seis familias de herramientas, criterios para evaluarlas y aplicaciones concretas en establecimientos del territorio</w:t>
      </w:r>
    </w:p>
    <w:p>
      <w:pPr>
        <w:spacing w:after="60"/>
        <w:jc w:val="center"/>
      </w:pPr>
      <w:r>
        <w:rPr>
          <w:rFonts w:ascii="Calibri" w:cs="Calibri" w:eastAsia="Calibri" w:hAnsi="Calibri"/>
          <w:b/>
          <w:bCs/>
          <w:color w:val="282828"/>
          <w:sz w:val="24"/>
          <w:szCs w:val="24"/>
        </w:rPr>
        <w:t xml:space="preserve">Servicio Local de Educación Pública Andalién Sur</w:t>
      </w:r>
    </w:p>
    <w:p>
      <w:pPr>
        <w:spacing w:after="60"/>
        <w:jc w:val="center"/>
      </w:pPr>
      <w:r>
        <w:rPr>
          <w:rFonts w:ascii="Calibri" w:cs="Calibri" w:eastAsia="Calibri" w:hAnsi="Calibri"/>
          <w:color w:val="5A5A5A"/>
          <w:sz w:val="21"/>
          <w:szCs w:val="21"/>
        </w:rPr>
        <w:t xml:space="preserve">Concepción · Chiguayante · Florida · Hualqui</w:t>
      </w:r>
    </w:p>
    <w:p>
      <w:pPr>
        <w:spacing w:after="360"/>
        <w:jc w:val="center"/>
      </w:pPr>
      <w:r>
        <w:rPr>
          <w:rFonts w:ascii="Calibri" w:cs="Calibri" w:eastAsia="Calibri" w:hAnsi="Calibri"/>
          <w:color w:val="5A5A5A"/>
          <w:sz w:val="21"/>
          <w:szCs w:val="21"/>
        </w:rPr>
        <w:t xml:space="preserve">Documento de trabajo · Propuesta técnica · 2026</w:t>
      </w:r>
    </w:p>
    <w:p>
      <w:pPr>
        <w:pBdr>
          <w:top w:val="single" w:color="D9E2F3" w:sz="6" w:space="12"/>
        </w:pBdr>
        <w:spacing w:after="140" w:before="120"/>
        <w:jc w:val="center"/>
      </w:pPr>
      <w:r>
        <w:rPr>
          <w:rFonts w:ascii="Calibri" w:cs="Calibri" w:eastAsia="Calibri" w:hAnsi="Calibri"/>
          <w:b/>
          <w:bCs/>
          <w:color w:val="5A5A5A"/>
          <w:spacing w:val="20"/>
          <w:sz w:val="17"/>
          <w:szCs w:val="17"/>
        </w:rPr>
        <w:t xml:space="preserve">ELABORADO POR</w:t>
      </w:r>
    </w:p>
    <w:p>
      <w:pPr>
        <w:spacing w:after="400"/>
        <w:jc w:val="center"/>
      </w:pPr>
      <w:r>
        <w:drawing>
          <wp:inline distT="0" distB="0" distL="0" distR="0">
            <wp:extent cx="428625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1181100"/>
                    </a:xfrm>
                    <a:prstGeom prst="rect">
                      <a:avLst/>
                    </a:prstGeom>
                  </pic:spPr>
                </pic:pic>
              </a:graphicData>
            </a:graphic>
          </wp:inline>
        </w:drawing>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Presentación</w:t>
      </w:r>
    </w:p>
    <w:p>
      <w:pPr>
        <w:spacing w:after="140" w:line="300"/>
        <w:jc w:val="both"/>
      </w:pPr>
      <w:r>
        <w:rPr>
          <w:rFonts w:ascii="Calibri" w:cs="Calibri" w:eastAsia="Calibri" w:hAnsi="Calibri"/>
          <w:color w:val="282828"/>
          <w:sz w:val="22"/>
          <w:szCs w:val="22"/>
        </w:rPr>
        <w:t xml:space="preserve">Este manual describe las familias de herramientas de inteligencia artificial disponibles hoy y los usos que admiten en el contexto escolar chileno. Se organiza por función, no por marca, porque las herramientas cambian con rapidez mientras las funciones permanecen.</w:t>
      </w:r>
    </w:p>
    <w:p>
      <w:pPr>
        <w:spacing w:after="140" w:line="300"/>
        <w:jc w:val="both"/>
      </w:pPr>
      <w:r>
        <w:rPr>
          <w:rFonts w:ascii="Calibri" w:cs="Calibri" w:eastAsia="Calibri" w:hAnsi="Calibri"/>
          <w:color w:val="282828"/>
          <w:sz w:val="22"/>
          <w:szCs w:val="22"/>
        </w:rPr>
        <w:t xml:space="preserve">La advertencia inicial es necesaria. Las herramientas nombradas aquí corresponden al escenario disponible al momento de la elaboración de este documento. Algunas cambiarán de nombre, otras modificarán sus condiciones de uso o su política de datos, y aparecerán nuevas. Por eso este manual entrega, junto al catálogo, un procedimiento de evaluación que permite al equipo directivo decidir sobre cualquier herramienta futura, incluidas las que hoy no existen.</w:t>
      </w:r>
    </w:p>
    <w:tbl>
      <w:tblPr>
        <w:tblW w:type="dxa" w:w="9360"/>
        <w:tblBorders>
          <w:top w:val="single" w:color="FBF7E6" w:sz="2"/>
          <w:left w:val="single" w:color="F8D53C" w:sz="24"/>
          <w:bottom w:val="single" w:color="FBF7E6" w:sz="2"/>
          <w:right w:val="single" w:color="FBF7E6" w:sz="2"/>
          <w:insideH w:val="none"/>
          <w:insideV w:val="none"/>
        </w:tblBorders>
      </w:tblPr>
      <w:tblGrid>
        <w:gridCol w:w="9360"/>
      </w:tblGrid>
      <w:tr>
        <w:tc>
          <w:tcPr>
            <w:tcW w:type="dxa" w:w="9360"/>
            <w:shd w:fill="FBF7E6" w:color="auto" w:val="clear"/>
            <w:tcMar>
              <w:top w:type="dxa" w:w="160"/>
              <w:left w:type="dxa" w:w="200"/>
              <w:bottom w:type="dxa" w:w="160"/>
              <w:right w:type="dxa" w:w="200"/>
            </w:tcMar>
          </w:tcPr>
          <w:p>
            <w:pPr>
              <w:spacing w:after="90"/>
            </w:pPr>
            <w:r>
              <w:rPr>
                <w:rFonts w:ascii="Calibri" w:cs="Calibri" w:eastAsia="Calibri" w:hAnsi="Calibri"/>
                <w:b/>
                <w:bCs/>
                <w:color w:val="F8D53C"/>
                <w:sz w:val="22"/>
                <w:szCs w:val="22"/>
              </w:rPr>
              <w:t xml:space="preserve">Cómo leer este manual</w:t>
            </w:r>
          </w:p>
          <w:p>
            <w:pPr>
              <w:spacing w:after="80" w:line="290"/>
              <w:jc w:val="both"/>
            </w:pPr>
            <w:r>
              <w:rPr>
                <w:rFonts w:ascii="Calibri" w:cs="Calibri" w:eastAsia="Calibri" w:hAnsi="Calibri"/>
                <w:color w:val="282828"/>
                <w:sz w:val="21"/>
                <w:szCs w:val="21"/>
              </w:rPr>
              <w:t xml:space="preserve">El apartado 1 entrega los criterios para evaluar cualquier herramienta antes de autorizarla en el establecimiento.</w:t>
            </w:r>
          </w:p>
          <w:p>
            <w:pPr>
              <w:spacing w:after="80" w:line="290"/>
              <w:jc w:val="both"/>
            </w:pPr>
            <w:r>
              <w:rPr>
                <w:rFonts w:ascii="Calibri" w:cs="Calibri" w:eastAsia="Calibri" w:hAnsi="Calibri"/>
                <w:color w:val="282828"/>
                <w:sz w:val="21"/>
                <w:szCs w:val="21"/>
              </w:rPr>
              <w:t xml:space="preserve">Los apartados 2 a 7 describen seis familias de herramientas con sus usos escolares en Chile.</w:t>
            </w:r>
          </w:p>
          <w:p>
            <w:pPr>
              <w:spacing w:after="80" w:line="290"/>
              <w:jc w:val="both"/>
            </w:pPr>
            <w:r>
              <w:rPr>
                <w:rFonts w:ascii="Calibri" w:cs="Calibri" w:eastAsia="Calibri" w:hAnsi="Calibri"/>
                <w:color w:val="282828"/>
                <w:sz w:val="21"/>
                <w:szCs w:val="21"/>
              </w:rPr>
              <w:t xml:space="preserve">El apartado 8 propone una selección mínima para comenzar, ajustada a las condiciones del territorio.</w:t>
            </w:r>
          </w:p>
          <w:p>
            <w:pPr>
              <w:spacing w:after="80" w:line="290"/>
              <w:jc w:val="both"/>
            </w:pPr>
            <w:r>
              <w:rPr>
                <w:rFonts w:ascii="Calibri" w:cs="Calibri" w:eastAsia="Calibri" w:hAnsi="Calibri"/>
                <w:b/>
                <w:bCs/>
                <w:color w:val="282828"/>
                <w:sz w:val="21"/>
                <w:szCs w:val="21"/>
              </w:rPr>
              <w:t xml:space="preserve">Mención de herramientas: </w:t>
            </w:r>
            <w:r>
              <w:rPr>
                <w:rFonts w:ascii="Calibri" w:cs="Calibri" w:eastAsia="Calibri" w:hAnsi="Calibri"/>
                <w:color w:val="282828"/>
                <w:sz w:val="21"/>
                <w:szCs w:val="21"/>
              </w:rPr>
              <w:t xml:space="preserve">nombrar una herramienta no implica recomendación institucional ni convenio del Servicio Local. Cada establecimiento debe verificar términos de uso y condiciones de privacidad antes de autorizarla.</w:t>
            </w:r>
          </w:p>
        </w:tc>
      </w:tr>
    </w:tbl>
    <w:p>
      <w:pPr>
        <w:spacing w:after="160"/>
      </w:pPr>
      <w:r>
        <w:rPr>
          <w:sz w:val="12"/>
          <w:szCs w:val="12"/>
        </w:rPr>
        <w:t xml:space="preserve"/>
      </w:r>
    </w:p>
    <w:tbl>
      <w:tblPr>
        <w:tblW w:type="dxa" w:w="9360"/>
        <w:tblBorders>
          <w:top w:val="single" w:color="FDF1F2" w:sz="2"/>
          <w:left w:val="single" w:color="E8505B" w:sz="24"/>
          <w:bottom w:val="single" w:color="FDF1F2" w:sz="2"/>
          <w:right w:val="single" w:color="FDF1F2" w:sz="2"/>
          <w:insideH w:val="none"/>
          <w:insideV w:val="none"/>
        </w:tblBorders>
      </w:tblPr>
      <w:tblGrid>
        <w:gridCol w:w="9360"/>
      </w:tblGrid>
      <w:tr>
        <w:tc>
          <w:tcPr>
            <w:tcW w:type="dxa" w:w="9360"/>
            <w:shd w:fill="FDF1F2" w:color="auto" w:val="clear"/>
            <w:tcMar>
              <w:top w:type="dxa" w:w="160"/>
              <w:left w:type="dxa" w:w="200"/>
              <w:bottom w:type="dxa" w:w="160"/>
              <w:right w:type="dxa" w:w="200"/>
            </w:tcMar>
          </w:tcPr>
          <w:p>
            <w:pPr>
              <w:spacing w:after="90"/>
            </w:pPr>
            <w:r>
              <w:rPr>
                <w:rFonts w:ascii="Calibri" w:cs="Calibri" w:eastAsia="Calibri" w:hAnsi="Calibri"/>
                <w:b/>
                <w:bCs/>
                <w:color w:val="E8505B"/>
                <w:sz w:val="22"/>
                <w:szCs w:val="22"/>
              </w:rPr>
              <w:t xml:space="preserve">Naturaleza de este documento</w:t>
            </w:r>
          </w:p>
          <w:p>
            <w:pPr>
              <w:spacing w:after="80" w:line="290"/>
              <w:jc w:val="both"/>
            </w:pPr>
            <w:r>
              <w:rPr>
                <w:rFonts w:ascii="Calibri" w:cs="Calibri" w:eastAsia="Calibri" w:hAnsi="Calibri"/>
                <w:b/>
                <w:bCs/>
                <w:color w:val="282828"/>
                <w:sz w:val="21"/>
                <w:szCs w:val="21"/>
              </w:rPr>
              <w:t xml:space="preserve">Esta serie es una propuesta técnica, no un conjunto de lineamientos vigentes. </w:t>
            </w:r>
            <w:r>
              <w:rPr>
                <w:rFonts w:ascii="Calibri" w:cs="Calibri" w:eastAsia="Calibri" w:hAnsi="Calibri"/>
                <w:color w:val="282828"/>
                <w:sz w:val="21"/>
                <w:szCs w:val="21"/>
              </w:rPr>
              <w:t xml:space="preserve">Al momento de su elaboración, el Servicio Local no ha dictado instrucciones formales sobre el uso de inteligencia artificial, y nada de lo que aquí se plantea ha sido aprobado por una instancia institucional.</w:t>
            </w:r>
          </w:p>
          <w:p>
            <w:pPr>
              <w:spacing w:after="80" w:line="290"/>
              <w:jc w:val="both"/>
            </w:pPr>
            <w:r>
              <w:rPr>
                <w:rFonts w:ascii="Calibri" w:cs="Calibri" w:eastAsia="Calibri" w:hAnsi="Calibri"/>
                <w:color w:val="282828"/>
                <w:sz w:val="21"/>
                <w:szCs w:val="21"/>
              </w:rPr>
              <w:t xml:space="preserve">Los criterios, principios, listas y rutas que contiene se ofrecen como insumo para que el Servicio y sus establecimientos deliberen y decidan. Mientras eso no ocurra, deben leerse en modo propositivo y no normativo.</w:t>
            </w:r>
          </w:p>
          <w:p>
            <w:pPr>
              <w:spacing w:after="80" w:line="290"/>
              <w:jc w:val="both"/>
            </w:pPr>
            <w:r>
              <w:rPr>
                <w:rFonts w:ascii="Calibri" w:cs="Calibri" w:eastAsia="Calibri" w:hAnsi="Calibri"/>
                <w:b/>
                <w:bCs/>
                <w:color w:val="282828"/>
                <w:sz w:val="21"/>
                <w:szCs w:val="21"/>
              </w:rPr>
              <w:t xml:space="preserve">Las unidades y responsables señalados en las tablas son referenciales. </w:t>
            </w:r>
            <w:r>
              <w:rPr>
                <w:rFonts w:ascii="Calibri" w:cs="Calibri" w:eastAsia="Calibri" w:hAnsi="Calibri"/>
                <w:color w:val="282828"/>
                <w:sz w:val="21"/>
                <w:szCs w:val="21"/>
              </w:rPr>
              <w:t xml:space="preserve">Corresponde al Servicio determinar qué unidad asume cada función según su propia estructura interna.</w:t>
            </w:r>
          </w:p>
          <w:p>
            <w:pPr>
              <w:spacing w:after="80" w:line="290"/>
              <w:jc w:val="both"/>
            </w:pPr>
            <w:r>
              <w:rPr>
                <w:rFonts w:ascii="Calibri" w:cs="Calibri" w:eastAsia="Calibri" w:hAnsi="Calibri"/>
                <w:b/>
                <w:bCs/>
                <w:color w:val="282828"/>
                <w:sz w:val="21"/>
                <w:szCs w:val="21"/>
              </w:rPr>
              <w:t xml:space="preserve">Sobre las fuentes: </w:t>
            </w:r>
            <w:r>
              <w:rPr>
                <w:rFonts w:ascii="Calibri" w:cs="Calibri" w:eastAsia="Calibri" w:hAnsi="Calibri"/>
                <w:color w:val="282828"/>
                <w:sz w:val="21"/>
                <w:szCs w:val="21"/>
              </w:rPr>
              <w:t xml:space="preserve">las obras públicas citadas fueron leídas y verificadas. Dos materiales de formación recibidos junto con el encargo no consignan autoría ni fecha, y por eso se citan como documentos de trabajo sin autor.</w:t>
            </w:r>
          </w:p>
        </w:tc>
      </w:tr>
    </w:tbl>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Índice</w:t>
      </w:r>
    </w:p>
    <w:tbl>
      <w:tblPr>
        <w:tblW w:type="dxa" w:w="9360"/>
        <w:tblBorders>
          <w:top w:val="none"/>
          <w:left w:val="none"/>
          <w:bottom w:val="none"/>
          <w:right w:val="none"/>
          <w:insideH w:val="none"/>
          <w:insideV w:val="none"/>
        </w:tblBorders>
      </w:tblPr>
      <w:tblGrid>
        <w:gridCol w:w="8200"/>
        <w:gridCol w:w="1160"/>
      </w:tblGrid>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Presentación</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2</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1. Cómo evaluar una herramienta antes de usarla</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4</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1.1 Las preguntas obligatorias</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4</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1.2 El criterio de equidad territorial</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4</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2. Familia 1. Asistentes conversacionales de propósito general</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5</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2.1 Qué son</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5</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2.2 Usos en el contexto escolar chileno</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5</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2.3 Fortalezas y precauciones</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5</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3. Familia 2. Asistentes de investigación con fuentes visibles</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7</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3.1 Qué son</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7</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3.2 Usos escolares</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7</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3.3 Precaución</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7</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4. Familia 3. Asistentes de trabajo sobre documentos propios</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8</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4.1 Qué son</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8</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4.2 Por qué son especialmente útiles para la gestión escolar</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8</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4.3 Precaución central</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8</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5. Familia 4. Herramientas de diseño y producción visual</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9</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5.1 Qué son</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9</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5.2 Usos institucionales y pedagógicos</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9</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5.3 Precauciones sobre imágenes generadas</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9</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6. Familia 5. Herramientas de IA aplicada a dominios específicos</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11</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6.1 Qué son</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11</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6.2 Ejemplos con uso escolar documentado en Chile</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11</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6.3 Potencial para el territorio Andalién Sur</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11</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7. Familia 6. IA integrada en plataformas de gestión</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12</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7.1 Qué son</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12</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7.2 Usos habituales y condición de uso</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12</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8. Selección mínima para comenzar</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13</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8.1 Condiciones previas en el establecimiento</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13</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8.2 Lo que ninguna herramienta resuelve</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13</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Síntesis del manual</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14</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Referencias</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15</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Bibliografía complementaria</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15</w:t>
            </w:r>
          </w:p>
        </w:tc>
      </w:tr>
    </w:tbl>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1. Cómo evaluar una herramienta antes de usarla</w:t>
      </w:r>
    </w:p>
    <w:p>
      <w:pPr>
        <w:pStyle w:val="Heading2"/>
        <w:spacing w:after="140" w:before="280"/>
      </w:pPr>
      <w:r>
        <w:rPr>
          <w:rFonts w:ascii="Calibri" w:cs="Calibri" w:eastAsia="Calibri" w:hAnsi="Calibri"/>
          <w:b/>
          <w:bCs/>
          <w:color w:val="1F84EB"/>
          <w:sz w:val="26"/>
          <w:szCs w:val="26"/>
        </w:rPr>
        <w:t xml:space="preserve">1.1 Las preguntas obligatorias</w:t>
      </w:r>
    </w:p>
    <w:p>
      <w:pPr>
        <w:spacing w:after="140" w:line="300"/>
        <w:jc w:val="both"/>
      </w:pPr>
      <w:r>
        <w:rPr>
          <w:rFonts w:ascii="Calibri" w:cs="Calibri" w:eastAsia="Calibri" w:hAnsi="Calibri"/>
          <w:color w:val="282828"/>
          <w:sz w:val="22"/>
          <w:szCs w:val="22"/>
        </w:rPr>
        <w:t xml:space="preserve">El principio de resguardo ético exige conocer los términos, condiciones y uso de información de las herramientas de IA que se utilizan, y verificar que respeten principios como la privacidad y la transparencia, siendo claras sobre cómo funcionan, qué datos utilizan y cómo toman decisiones (Ministerio de Educación de Chile, 2025).</w:t>
      </w:r>
    </w:p>
    <w:p>
      <w:pPr>
        <w:spacing w:after="40" w:before="240"/>
      </w:pPr>
      <w:r>
        <w:rPr>
          <w:rFonts w:ascii="Calibri" w:cs="Calibri" w:eastAsia="Calibri" w:hAnsi="Calibri"/>
          <w:b/>
          <w:bCs/>
          <w:color w:val="282828"/>
          <w:sz w:val="20"/>
          <w:szCs w:val="20"/>
        </w:rPr>
        <w:t xml:space="preserve">Tabla 1</w:t>
      </w:r>
    </w:p>
    <w:p>
      <w:pPr>
        <w:spacing w:after="110"/>
      </w:pPr>
      <w:r>
        <w:rPr>
          <w:rFonts w:ascii="Calibri" w:cs="Calibri" w:eastAsia="Calibri" w:hAnsi="Calibri"/>
          <w:i/>
          <w:iCs/>
          <w:color w:val="282828"/>
          <w:sz w:val="20"/>
          <w:szCs w:val="20"/>
        </w:rPr>
        <w:t xml:space="preserve">Pauta de evaluación de herramientas de IA para uso institucional</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1600"/>
        <w:gridCol w:w="4400"/>
        <w:gridCol w:w="3360"/>
      </w:tblGrid>
      <w:tr>
        <w:trPr>
          <w:tblHeader/>
        </w:trPr>
        <w:tc>
          <w:tcPr>
            <w:tcW w:type="dxa" w:w="16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Dimensión</w:t>
            </w:r>
          </w:p>
        </w:tc>
        <w:tc>
          <w:tcPr>
            <w:tcW w:type="dxa" w:w="44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Pregunta</w:t>
            </w:r>
          </w:p>
        </w:tc>
        <w:tc>
          <w:tcPr>
            <w:tcW w:type="dxa" w:w="33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Señal de alerta</w:t>
            </w:r>
          </w:p>
        </w:tc>
      </w:tr>
      <w:tr>
        <w:tc>
          <w:tcPr>
            <w:tcW w:type="dxa" w:w="16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Datos</w:t>
            </w:r>
          </w:p>
        </w:tc>
        <w:tc>
          <w:tcPr>
            <w:tcW w:type="dxa" w:w="4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¿Qué hace la herramienta con la información que se le ingresa? ¿La usa para entrenar sus modelos? ¿Dónde se almacena?</w:t>
            </w:r>
          </w:p>
        </w:tc>
        <w:tc>
          <w:tcPr>
            <w:tcW w:type="dxa" w:w="33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Términos de uso ambiguos o inexistentes en español.</w:t>
            </w:r>
          </w:p>
        </w:tc>
      </w:tr>
      <w:tr>
        <w:tc>
          <w:tcPr>
            <w:tcW w:type="dxa" w:w="16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Edad mínima</w:t>
            </w:r>
          </w:p>
        </w:tc>
        <w:tc>
          <w:tcPr>
            <w:tcW w:type="dxa" w:w="44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¿Cuál es la edad mínima declarada en los términos de uso? ¿Exige autorización de un adulto?</w:t>
            </w:r>
          </w:p>
        </w:tc>
        <w:tc>
          <w:tcPr>
            <w:tcW w:type="dxa" w:w="33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Uso con estudiantes bajo la edad mínima declarada.</w:t>
            </w:r>
          </w:p>
        </w:tc>
      </w:tr>
      <w:tr>
        <w:tc>
          <w:tcPr>
            <w:tcW w:type="dxa" w:w="16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Costo real</w:t>
            </w:r>
          </w:p>
        </w:tc>
        <w:tc>
          <w:tcPr>
            <w:tcW w:type="dxa" w:w="4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¿La versión gratuita permite el uso previsto o exige suscripción para funciones básicas?</w:t>
            </w:r>
          </w:p>
        </w:tc>
        <w:tc>
          <w:tcPr>
            <w:tcW w:type="dxa" w:w="33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Dependencia institucional de una función que luego se vuelve de pago.</w:t>
            </w:r>
          </w:p>
        </w:tc>
      </w:tr>
      <w:tr>
        <w:tc>
          <w:tcPr>
            <w:tcW w:type="dxa" w:w="16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Transparencia</w:t>
            </w:r>
          </w:p>
        </w:tc>
        <w:tc>
          <w:tcPr>
            <w:tcW w:type="dxa" w:w="44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¿La herramienta indica sus fuentes? ¿Advierte sobre sus limitaciones?</w:t>
            </w:r>
          </w:p>
        </w:tc>
        <w:tc>
          <w:tcPr>
            <w:tcW w:type="dxa" w:w="33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Respuestas sin fuente presentadas con tono de certeza.</w:t>
            </w:r>
          </w:p>
        </w:tc>
      </w:tr>
      <w:tr>
        <w:tc>
          <w:tcPr>
            <w:tcW w:type="dxa" w:w="16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Sesgo</w:t>
            </w:r>
          </w:p>
        </w:tc>
        <w:tc>
          <w:tcPr>
            <w:tcW w:type="dxa" w:w="4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¿Los resultados son pertinentes para el contexto chileno? ¿Reproducen estereotipos?</w:t>
            </w:r>
          </w:p>
        </w:tc>
        <w:tc>
          <w:tcPr>
            <w:tcW w:type="dxa" w:w="33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Terminología, ejemplos o marcos normativos de otros países.</w:t>
            </w:r>
          </w:p>
        </w:tc>
      </w:tr>
      <w:tr>
        <w:tc>
          <w:tcPr>
            <w:tcW w:type="dxa" w:w="16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Accesibilidad</w:t>
            </w:r>
          </w:p>
        </w:tc>
        <w:tc>
          <w:tcPr>
            <w:tcW w:type="dxa" w:w="44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¿Funciona con conexión intermitente? ¿Requiere equipos de alto rendimiento?</w:t>
            </w:r>
          </w:p>
        </w:tc>
        <w:tc>
          <w:tcPr>
            <w:tcW w:type="dxa" w:w="33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Herramienta inutilizable en los establecimientos con menor conectividad.</w:t>
            </w:r>
          </w:p>
        </w:tc>
      </w:tr>
      <w:tr>
        <w:tc>
          <w:tcPr>
            <w:tcW w:type="dxa" w:w="16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Continuidad</w:t>
            </w:r>
          </w:p>
        </w:tc>
        <w:tc>
          <w:tcPr>
            <w:tcW w:type="dxa" w:w="4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¿Es una herramienta consolidada o un servicio experimental que puede cerrar?</w:t>
            </w:r>
          </w:p>
        </w:tc>
        <w:tc>
          <w:tcPr>
            <w:tcW w:type="dxa" w:w="33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Dependencia institucional de un servicio sin respaldo.</w:t>
            </w:r>
          </w:p>
        </w:tc>
      </w:tr>
    </w:tbl>
    <w:p>
      <w:pPr>
        <w:spacing w:after="200" w:before="60"/>
      </w:pPr>
      <w:r>
        <w:rPr>
          <w:rFonts w:ascii="Calibri" w:cs="Calibri" w:eastAsia="Calibri" w:hAnsi="Calibri"/>
          <w:i/>
          <w:iCs/>
          <w:color w:val="5A5A5A"/>
          <w:sz w:val="18"/>
          <w:szCs w:val="18"/>
        </w:rPr>
        <w:t xml:space="preserve">Nota. Elaboración propia a partir de Ministerio de Educación de Chile (2025), EduCaixa (2024) y las exigencias de la Ley N.º 21.719 (2024) en materia de finalidad, seguridad y encargados de tratamiento.</w:t>
      </w:r>
    </w:p>
    <w:p>
      <w:pPr>
        <w:pStyle w:val="Heading2"/>
        <w:spacing w:after="140" w:before="280"/>
      </w:pPr>
      <w:r>
        <w:rPr>
          <w:rFonts w:ascii="Calibri" w:cs="Calibri" w:eastAsia="Calibri" w:hAnsi="Calibri"/>
          <w:b/>
          <w:bCs/>
          <w:color w:val="1F84EB"/>
          <w:sz w:val="26"/>
          <w:szCs w:val="26"/>
        </w:rPr>
        <w:t xml:space="preserve">1.2 El criterio de equidad territorial</w:t>
      </w:r>
    </w:p>
    <w:p>
      <w:pPr>
        <w:spacing w:after="140" w:line="300"/>
        <w:jc w:val="both"/>
      </w:pPr>
      <w:r>
        <w:rPr>
          <w:rFonts w:ascii="Calibri" w:cs="Calibri" w:eastAsia="Calibri" w:hAnsi="Calibri"/>
          <w:color w:val="282828"/>
          <w:sz w:val="22"/>
          <w:szCs w:val="22"/>
        </w:rPr>
        <w:t xml:space="preserve">Una herramienta que exige conexión estable y equipos actualizados no es neutral en un territorio con establecimientos urbanos y rurales. Ortiz González y Fourt (2025) identifican la infraestructura tecnológica —conectividad intermitente y equipos con rendimiento insuficiente— como el principal desafío reportado por las escuelas chilenas que implementaron proyectos con IA.</w:t>
      </w:r>
    </w:p>
    <w:p>
      <w:pPr>
        <w:spacing w:after="140" w:line="300"/>
        <w:jc w:val="both"/>
      </w:pPr>
      <w:r>
        <w:rPr>
          <w:rFonts w:ascii="Calibri" w:cs="Calibri" w:eastAsia="Calibri" w:hAnsi="Calibri"/>
          <w:color w:val="282828"/>
          <w:sz w:val="22"/>
          <w:szCs w:val="22"/>
        </w:rPr>
        <w:t xml:space="preserve">La regla práctica para el SLEP Andalién Sur es que ninguna práctica pedagógica evaluada debe depender de una herramienta que no está disponible para todos los estudiantes del curso. Si la herramienta se usa en clase, debe usarse en dispositivos del establecimiento; si se usa fuera, no puede ser condición para aprobar.</w:t>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2. Familia 1. Asistentes conversacionales de propósito general</w:t>
      </w:r>
    </w:p>
    <w:p>
      <w:pPr>
        <w:pStyle w:val="Heading2"/>
        <w:spacing w:after="140" w:before="280"/>
      </w:pPr>
      <w:r>
        <w:rPr>
          <w:rFonts w:ascii="Calibri" w:cs="Calibri" w:eastAsia="Calibri" w:hAnsi="Calibri"/>
          <w:b/>
          <w:bCs/>
          <w:color w:val="1F84EB"/>
          <w:sz w:val="26"/>
          <w:szCs w:val="26"/>
        </w:rPr>
        <w:t xml:space="preserve">2.1 Qué son</w:t>
      </w:r>
    </w:p>
    <w:p>
      <w:pPr>
        <w:spacing w:after="140" w:line="300"/>
        <w:jc w:val="both"/>
      </w:pPr>
      <w:r>
        <w:rPr>
          <w:rFonts w:ascii="Calibri" w:cs="Calibri" w:eastAsia="Calibri" w:hAnsi="Calibri"/>
          <w:color w:val="282828"/>
          <w:sz w:val="22"/>
          <w:szCs w:val="22"/>
        </w:rPr>
        <w:t xml:space="preserve">Son aplicaciones basadas en grandes modelos de lenguaje que permiten hacer preguntas sobre cualquier tema y entablar diálogos como si se estuviera conversando con una persona (Ministerio de Educación de Chile, 2025). Constituyen la puerta de entrada más común a la IA generativa y cubren la mayoría de los usos descritos en la Parte II del Manual 2.</w:t>
      </w:r>
    </w:p>
    <w:p>
      <w:pPr>
        <w:spacing w:after="140" w:line="300"/>
        <w:jc w:val="both"/>
      </w:pPr>
      <w:r>
        <w:rPr>
          <w:rFonts w:ascii="Calibri" w:cs="Calibri" w:eastAsia="Calibri" w:hAnsi="Calibri"/>
          <w:color w:val="282828"/>
          <w:sz w:val="22"/>
          <w:szCs w:val="22"/>
        </w:rPr>
        <w:t xml:space="preserve">Además de ChatGPT, existen otras plataformas similares que funcionan de manera parecida, como Claude, Google Gemini, Microsoft Copilot, Meta AI, Perplexity AI y DeepSeek, entre otras; cada una tiene particularidades y enfoques distintos, pero todas permiten interactuar con IA de manera intuitiva (Educ.ar, 2025).</w:t>
      </w:r>
    </w:p>
    <w:p>
      <w:pPr>
        <w:pStyle w:val="Heading2"/>
        <w:spacing w:after="140" w:before="280"/>
      </w:pPr>
      <w:r>
        <w:rPr>
          <w:rFonts w:ascii="Calibri" w:cs="Calibri" w:eastAsia="Calibri" w:hAnsi="Calibri"/>
          <w:b/>
          <w:bCs/>
          <w:color w:val="1F84EB"/>
          <w:sz w:val="26"/>
          <w:szCs w:val="26"/>
        </w:rPr>
        <w:t xml:space="preserve">2.2 Usos en el contexto escolar chileno</w:t>
      </w:r>
    </w:p>
    <w:p>
      <w:pPr>
        <w:spacing w:after="40" w:before="240"/>
      </w:pPr>
      <w:r>
        <w:rPr>
          <w:rFonts w:ascii="Calibri" w:cs="Calibri" w:eastAsia="Calibri" w:hAnsi="Calibri"/>
          <w:b/>
          <w:bCs/>
          <w:color w:val="282828"/>
          <w:sz w:val="20"/>
          <w:szCs w:val="20"/>
        </w:rPr>
        <w:t xml:space="preserve">Tabla 2</w:t>
      </w:r>
    </w:p>
    <w:p>
      <w:pPr>
        <w:spacing w:after="110"/>
      </w:pPr>
      <w:r>
        <w:rPr>
          <w:rFonts w:ascii="Calibri" w:cs="Calibri" w:eastAsia="Calibri" w:hAnsi="Calibri"/>
          <w:i/>
          <w:iCs/>
          <w:color w:val="282828"/>
          <w:sz w:val="20"/>
          <w:szCs w:val="20"/>
        </w:rPr>
        <w:t xml:space="preserve">Usos de asistentes conversacionales en la gestión educativa</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2200"/>
        <w:gridCol w:w="7160"/>
      </w:tblGrid>
      <w:tr>
        <w:trPr>
          <w:tblHeader/>
        </w:trPr>
        <w:tc>
          <w:tcPr>
            <w:tcW w:type="dxa" w:w="22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Ámbito</w:t>
            </w:r>
          </w:p>
        </w:tc>
        <w:tc>
          <w:tcPr>
            <w:tcW w:type="dxa" w:w="71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Ejemplo de uso en un establecimiento del territorio</w:t>
            </w:r>
          </w:p>
        </w:tc>
      </w:tr>
      <w:tr>
        <w:tc>
          <w:tcPr>
            <w:tcW w:type="dxa" w:w="2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Gestión institucional</w:t>
            </w:r>
          </w:p>
        </w:tc>
        <w:tc>
          <w:tcPr>
            <w:tcW w:type="dxa" w:w="71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Redactar la estructura del informe anual de gestión del establecimiento, dejando marcados los campos de datos por completar.</w:t>
            </w:r>
          </w:p>
        </w:tc>
      </w:tr>
      <w:tr>
        <w:tc>
          <w:tcPr>
            <w:tcW w:type="dxa" w:w="22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Gestión pedagógica</w:t>
            </w:r>
          </w:p>
        </w:tc>
        <w:tc>
          <w:tcPr>
            <w:tcW w:type="dxa" w:w="71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Generar tres versiones de una guía de comprensión lectora de 5.° básico con distinto nivel de andamiaje.</w:t>
            </w:r>
          </w:p>
        </w:tc>
      </w:tr>
      <w:tr>
        <w:tc>
          <w:tcPr>
            <w:tcW w:type="dxa" w:w="2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Evaluación</w:t>
            </w:r>
          </w:p>
        </w:tc>
        <w:tc>
          <w:tcPr>
            <w:tcW w:type="dxa" w:w="71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Construir una rúbrica de exposición oral con cuatro criterios y tres niveles de logro, y revisar su consistencia interna.</w:t>
            </w:r>
          </w:p>
        </w:tc>
      </w:tr>
      <w:tr>
        <w:tc>
          <w:tcPr>
            <w:tcW w:type="dxa" w:w="22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Convivencia</w:t>
            </w:r>
          </w:p>
        </w:tc>
        <w:tc>
          <w:tcPr>
            <w:tcW w:type="dxa" w:w="71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Simplificar el lenguaje del protocolo de actuación frente a situaciones de acoso escolar para publicarlo dirigido a familias.</w:t>
            </w:r>
          </w:p>
        </w:tc>
      </w:tr>
      <w:tr>
        <w:tc>
          <w:tcPr>
            <w:tcW w:type="dxa" w:w="2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Desarrollo profesional</w:t>
            </w:r>
          </w:p>
        </w:tc>
        <w:tc>
          <w:tcPr>
            <w:tcW w:type="dxa" w:w="71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Formular las preguntas orientadoras de una jornada de reflexión pedagógica sobre retroalimentación efectiva.</w:t>
            </w:r>
          </w:p>
        </w:tc>
      </w:tr>
      <w:tr>
        <w:tc>
          <w:tcPr>
            <w:tcW w:type="dxa" w:w="22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Reflexión directiva</w:t>
            </w:r>
          </w:p>
        </w:tc>
        <w:tc>
          <w:tcPr>
            <w:tcW w:type="dxa" w:w="71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Someter una propuesta de reorganización horaria a un análisis crítico de riesgos y supuestos.</w:t>
            </w:r>
          </w:p>
        </w:tc>
      </w:tr>
    </w:tbl>
    <w:p>
      <w:pPr>
        <w:spacing w:after="200" w:before="60"/>
      </w:pPr>
      <w:r>
        <w:rPr>
          <w:rFonts w:ascii="Calibri" w:cs="Calibri" w:eastAsia="Calibri" w:hAnsi="Calibri"/>
          <w:i/>
          <w:iCs/>
          <w:color w:val="5A5A5A"/>
          <w:sz w:val="18"/>
          <w:szCs w:val="18"/>
        </w:rPr>
        <w:t xml:space="preserve">Nota. Elaboración propia.</w:t>
      </w:r>
    </w:p>
    <w:p>
      <w:pPr>
        <w:pStyle w:val="Heading2"/>
        <w:spacing w:after="140" w:before="280"/>
      </w:pPr>
      <w:r>
        <w:rPr>
          <w:rFonts w:ascii="Calibri" w:cs="Calibri" w:eastAsia="Calibri" w:hAnsi="Calibri"/>
          <w:b/>
          <w:bCs/>
          <w:color w:val="1F84EB"/>
          <w:sz w:val="26"/>
          <w:szCs w:val="26"/>
        </w:rPr>
        <w:t xml:space="preserve">2.3 Fortalezas y precauciones</w:t>
      </w:r>
    </w:p>
    <w:p>
      <w:pPr>
        <w:pStyle w:val="ListParagraph"/>
        <w:numPr>
          <w:ilvl w:val="0"/>
          <w:numId w:val="2"/>
        </w:numPr>
        <w:spacing w:after="90" w:line="290"/>
        <w:jc w:val="both"/>
      </w:pPr>
      <w:r>
        <w:rPr>
          <w:rFonts w:ascii="Calibri" w:cs="Calibri" w:eastAsia="Calibri" w:hAnsi="Calibri"/>
          <w:b/>
          <w:bCs/>
          <w:color w:val="3DB54A"/>
          <w:sz w:val="22"/>
          <w:szCs w:val="22"/>
        </w:rPr>
        <w:t xml:space="preserve">Fortaleza: </w:t>
      </w:r>
      <w:r>
        <w:rPr>
          <w:rFonts w:ascii="Calibri" w:cs="Calibri" w:eastAsia="Calibri" w:hAnsi="Calibri"/>
          <w:color w:val="282828"/>
          <w:sz w:val="22"/>
          <w:szCs w:val="22"/>
        </w:rPr>
        <w:t xml:space="preserve">versatilidad. Un solo entorno cubre producción documental, síntesis, diseño pedagógico y apoyo reflexivo.</w:t>
      </w:r>
    </w:p>
    <w:p>
      <w:pPr>
        <w:pStyle w:val="ListParagraph"/>
        <w:numPr>
          <w:ilvl w:val="0"/>
          <w:numId w:val="2"/>
        </w:numPr>
        <w:spacing w:after="90" w:line="290"/>
        <w:jc w:val="both"/>
      </w:pPr>
      <w:r>
        <w:rPr>
          <w:rFonts w:ascii="Calibri" w:cs="Calibri" w:eastAsia="Calibri" w:hAnsi="Calibri"/>
          <w:b/>
          <w:bCs/>
          <w:color w:val="3DB54A"/>
          <w:sz w:val="22"/>
          <w:szCs w:val="22"/>
        </w:rPr>
        <w:t xml:space="preserve">Fortaleza: </w:t>
      </w:r>
      <w:r>
        <w:rPr>
          <w:rFonts w:ascii="Calibri" w:cs="Calibri" w:eastAsia="Calibri" w:hAnsi="Calibri"/>
          <w:color w:val="282828"/>
          <w:sz w:val="22"/>
          <w:szCs w:val="22"/>
        </w:rPr>
        <w:t xml:space="preserve">curva de aprendizaje baja. No requiere conocimientos técnicos, solo saber formular buenas instrucciones (véase el Manual 4).</w:t>
      </w:r>
    </w:p>
    <w:p>
      <w:pPr>
        <w:pStyle w:val="ListParagraph"/>
        <w:numPr>
          <w:ilvl w:val="0"/>
          <w:numId w:val="2"/>
        </w:numPr>
        <w:spacing w:after="90" w:line="290"/>
        <w:jc w:val="both"/>
      </w:pPr>
      <w:r>
        <w:rPr>
          <w:rFonts w:ascii="Calibri" w:cs="Calibri" w:eastAsia="Calibri" w:hAnsi="Calibri"/>
          <w:b/>
          <w:bCs/>
          <w:color w:val="E8505B"/>
          <w:sz w:val="22"/>
          <w:szCs w:val="22"/>
        </w:rPr>
        <w:t xml:space="preserve">Precaución: </w:t>
      </w:r>
      <w:r>
        <w:rPr>
          <w:rFonts w:ascii="Calibri" w:cs="Calibri" w:eastAsia="Calibri" w:hAnsi="Calibri"/>
          <w:color w:val="282828"/>
          <w:sz w:val="22"/>
          <w:szCs w:val="22"/>
        </w:rPr>
        <w:t xml:space="preserve">no indican sus fuentes por defecto. Toda cifra, norma o referencia debe verificarse en la fuente oficial.</w:t>
      </w:r>
    </w:p>
    <w:p>
      <w:pPr>
        <w:pStyle w:val="ListParagraph"/>
        <w:numPr>
          <w:ilvl w:val="0"/>
          <w:numId w:val="2"/>
        </w:numPr>
        <w:spacing w:after="90" w:line="290"/>
        <w:jc w:val="both"/>
      </w:pPr>
      <w:r>
        <w:rPr>
          <w:rFonts w:ascii="Calibri" w:cs="Calibri" w:eastAsia="Calibri" w:hAnsi="Calibri"/>
          <w:b/>
          <w:bCs/>
          <w:color w:val="E8505B"/>
          <w:sz w:val="22"/>
          <w:szCs w:val="22"/>
        </w:rPr>
        <w:t xml:space="preserve">Precaución: </w:t>
      </w:r>
      <w:r>
        <w:rPr>
          <w:rFonts w:ascii="Calibri" w:cs="Calibri" w:eastAsia="Calibri" w:hAnsi="Calibri"/>
          <w:color w:val="282828"/>
          <w:sz w:val="22"/>
          <w:szCs w:val="22"/>
        </w:rPr>
        <w:t xml:space="preserve">conservan el historial de conversaciones. Nunca deben ingresarse datos personales de estudiantes, docentes o familias.</w:t>
      </w:r>
    </w:p>
    <w:p>
      <w:pPr>
        <w:pStyle w:val="ListParagraph"/>
        <w:numPr>
          <w:ilvl w:val="0"/>
          <w:numId w:val="2"/>
        </w:numPr>
        <w:spacing w:after="90" w:line="290"/>
        <w:jc w:val="both"/>
      </w:pPr>
      <w:r>
        <w:rPr>
          <w:rFonts w:ascii="Calibri" w:cs="Calibri" w:eastAsia="Calibri" w:hAnsi="Calibri"/>
          <w:b/>
          <w:bCs/>
          <w:color w:val="E8505B"/>
          <w:sz w:val="22"/>
          <w:szCs w:val="22"/>
        </w:rPr>
        <w:t xml:space="preserve">Precaución: </w:t>
      </w:r>
      <w:r>
        <w:rPr>
          <w:rFonts w:ascii="Calibri" w:cs="Calibri" w:eastAsia="Calibri" w:hAnsi="Calibri"/>
          <w:color w:val="282828"/>
          <w:sz w:val="22"/>
          <w:szCs w:val="22"/>
        </w:rPr>
        <w:t xml:space="preserve">tienden a responder con marcos de otros sistemas educativos. Es necesario explicitar siempre el contexto chileno en la instrucción.</w:t>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3. Familia 2. Asistentes de investigación con fuentes visibles</w:t>
      </w:r>
    </w:p>
    <w:p>
      <w:pPr>
        <w:pStyle w:val="Heading2"/>
        <w:spacing w:after="140" w:before="280"/>
      </w:pPr>
      <w:r>
        <w:rPr>
          <w:rFonts w:ascii="Calibri" w:cs="Calibri" w:eastAsia="Calibri" w:hAnsi="Calibri"/>
          <w:b/>
          <w:bCs/>
          <w:color w:val="1F84EB"/>
          <w:sz w:val="26"/>
          <w:szCs w:val="26"/>
        </w:rPr>
        <w:t xml:space="preserve">3.1 Qué son</w:t>
      </w:r>
    </w:p>
    <w:p>
      <w:pPr>
        <w:spacing w:after="140" w:line="300"/>
        <w:jc w:val="both"/>
      </w:pPr>
      <w:r>
        <w:rPr>
          <w:rFonts w:ascii="Calibri" w:cs="Calibri" w:eastAsia="Calibri" w:hAnsi="Calibri"/>
          <w:color w:val="282828"/>
          <w:sz w:val="22"/>
          <w:szCs w:val="22"/>
        </w:rPr>
        <w:t xml:space="preserve">Son herramientas que combinan un modelo de lenguaje con búsqueda en internet y muestran las fuentes de cada afirmación. Su propósito es reducir las respuestas inventadas, permitiendo verificar directamente el origen de la información. Perplexity es descrita en las experiencias escolares chilenas como un asistente de investigación con visibilidad de fuentes, enfocado en reducir las alucinaciones (Ortiz González &amp; Fourt, 2025).</w:t>
      </w:r>
    </w:p>
    <w:p>
      <w:pPr>
        <w:pStyle w:val="Heading2"/>
        <w:spacing w:after="140" w:before="280"/>
      </w:pPr>
      <w:r>
        <w:rPr>
          <w:rFonts w:ascii="Calibri" w:cs="Calibri" w:eastAsia="Calibri" w:hAnsi="Calibri"/>
          <w:b/>
          <w:bCs/>
          <w:color w:val="1F84EB"/>
          <w:sz w:val="26"/>
          <w:szCs w:val="26"/>
        </w:rPr>
        <w:t xml:space="preserve">3.2 Usos escolares</w:t>
      </w:r>
    </w:p>
    <w:p>
      <w:pPr>
        <w:pStyle w:val="ListParagraph"/>
        <w:numPr>
          <w:ilvl w:val="0"/>
          <w:numId w:val="2"/>
        </w:numPr>
        <w:spacing w:after="90" w:line="290"/>
        <w:jc w:val="both"/>
      </w:pPr>
      <w:r>
        <w:rPr>
          <w:rFonts w:ascii="Calibri" w:cs="Calibri" w:eastAsia="Calibri" w:hAnsi="Calibri"/>
          <w:color w:val="282828"/>
          <w:sz w:val="22"/>
          <w:szCs w:val="22"/>
        </w:rPr>
        <w:t xml:space="preserve">Investigación previa a la elaboración de un proyecto o postulación a fondos: normativa aplicable, experiencias comparables, datos del sector.</w:t>
      </w:r>
    </w:p>
    <w:p>
      <w:pPr>
        <w:pStyle w:val="ListParagraph"/>
        <w:numPr>
          <w:ilvl w:val="0"/>
          <w:numId w:val="2"/>
        </w:numPr>
        <w:spacing w:after="90" w:line="290"/>
        <w:jc w:val="both"/>
      </w:pPr>
      <w:r>
        <w:rPr>
          <w:rFonts w:ascii="Calibri" w:cs="Calibri" w:eastAsia="Calibri" w:hAnsi="Calibri"/>
          <w:color w:val="282828"/>
          <w:sz w:val="22"/>
          <w:szCs w:val="22"/>
        </w:rPr>
        <w:t xml:space="preserve">Trabajo con estudiantes en la verificación de fuentes: comparar lo que afirma un asistente conversacional con lo que muestran las fuentes citadas.</w:t>
      </w:r>
    </w:p>
    <w:p>
      <w:pPr>
        <w:pStyle w:val="ListParagraph"/>
        <w:numPr>
          <w:ilvl w:val="0"/>
          <w:numId w:val="2"/>
        </w:numPr>
        <w:spacing w:after="90" w:line="290"/>
        <w:jc w:val="both"/>
      </w:pPr>
      <w:r>
        <w:rPr>
          <w:rFonts w:ascii="Calibri" w:cs="Calibri" w:eastAsia="Calibri" w:hAnsi="Calibri"/>
          <w:color w:val="282828"/>
          <w:sz w:val="22"/>
          <w:szCs w:val="22"/>
        </w:rPr>
        <w:t xml:space="preserve">Actualización sobre orientaciones ministeriales o cambios normativos recientes.</w:t>
      </w:r>
    </w:p>
    <w:p>
      <w:pPr>
        <w:pStyle w:val="ListParagraph"/>
        <w:numPr>
          <w:ilvl w:val="0"/>
          <w:numId w:val="2"/>
        </w:numPr>
        <w:spacing w:after="90" w:line="290"/>
        <w:jc w:val="both"/>
      </w:pPr>
      <w:r>
        <w:rPr>
          <w:rFonts w:ascii="Calibri" w:cs="Calibri" w:eastAsia="Calibri" w:hAnsi="Calibri"/>
          <w:color w:val="282828"/>
          <w:sz w:val="22"/>
          <w:szCs w:val="22"/>
        </w:rPr>
        <w:t xml:space="preserve">Preparación de fundamentaciones técnicas que requieren respaldo documentado.</w:t>
      </w:r>
    </w:p>
    <w:tbl>
      <w:tblPr>
        <w:tblW w:type="dxa" w:w="9360"/>
        <w:tblBorders>
          <w:top w:val="single" w:color="F2F6FB" w:sz="2"/>
          <w:left w:val="single" w:color="1F84EB" w:sz="24"/>
          <w:bottom w:val="single" w:color="F2F6FB" w:sz="2"/>
          <w:right w:val="single" w:color="F2F6FB" w:sz="2"/>
          <w:insideH w:val="none"/>
          <w:insideV w:val="none"/>
        </w:tblBorders>
      </w:tblPr>
      <w:tblGrid>
        <w:gridCol w:w="9360"/>
      </w:tblGrid>
      <w:tr>
        <w:tc>
          <w:tcPr>
            <w:tcW w:type="dxa" w:w="9360"/>
            <w:shd w:fill="F2F6FB" w:color="auto" w:val="clear"/>
            <w:tcMar>
              <w:top w:type="dxa" w:w="160"/>
              <w:left w:type="dxa" w:w="200"/>
              <w:bottom w:type="dxa" w:w="160"/>
              <w:right w:type="dxa" w:w="200"/>
            </w:tcMar>
          </w:tcPr>
          <w:p>
            <w:pPr>
              <w:spacing w:after="90"/>
            </w:pPr>
            <w:r>
              <w:rPr>
                <w:rFonts w:ascii="Calibri" w:cs="Calibri" w:eastAsia="Calibri" w:hAnsi="Calibri"/>
                <w:b/>
                <w:bCs/>
                <w:color w:val="1F84EB"/>
                <w:sz w:val="22"/>
                <w:szCs w:val="22"/>
              </w:rPr>
              <w:t xml:space="preserve">Uso pedagógico recomendado</w:t>
            </w:r>
          </w:p>
          <w:p>
            <w:pPr>
              <w:spacing w:after="80" w:line="290"/>
              <w:jc w:val="both"/>
            </w:pPr>
            <w:r>
              <w:rPr>
                <w:rFonts w:ascii="Calibri" w:cs="Calibri" w:eastAsia="Calibri" w:hAnsi="Calibri"/>
                <w:color w:val="282828"/>
                <w:sz w:val="21"/>
                <w:szCs w:val="21"/>
              </w:rPr>
              <w:t xml:space="preserve">Estas herramientas son especialmente valiosas para enseñar verificación de fuentes, una competencia central de la ciudadanía digital.</w:t>
            </w:r>
          </w:p>
          <w:p>
            <w:pPr>
              <w:spacing w:after="80" w:line="290"/>
              <w:jc w:val="both"/>
            </w:pPr>
            <w:r>
              <w:rPr>
                <w:rFonts w:ascii="Calibri" w:cs="Calibri" w:eastAsia="Calibri" w:hAnsi="Calibri"/>
                <w:b/>
                <w:bCs/>
                <w:color w:val="1F84EB"/>
                <w:sz w:val="21"/>
                <w:szCs w:val="21"/>
              </w:rPr>
              <w:t xml:space="preserve">Actividad sugerida: </w:t>
            </w:r>
            <w:r>
              <w:rPr>
                <w:rFonts w:ascii="Calibri" w:cs="Calibri" w:eastAsia="Calibri" w:hAnsi="Calibri"/>
                <w:color w:val="282828"/>
                <w:sz w:val="21"/>
                <w:szCs w:val="21"/>
              </w:rPr>
              <w:t xml:space="preserve">solicitar a los estudiantes que planteen la misma pregunta a un asistente conversacional y a uno con fuentes visibles; comparar ambas respuestas, revisar las fuentes citadas y evaluar cuál merece mayor confianza y por qué.</w:t>
            </w:r>
          </w:p>
        </w:tc>
      </w:tr>
    </w:tbl>
    <w:p>
      <w:pPr>
        <w:pStyle w:val="Heading2"/>
        <w:spacing w:after="140" w:before="280"/>
      </w:pPr>
      <w:r>
        <w:rPr>
          <w:rFonts w:ascii="Calibri" w:cs="Calibri" w:eastAsia="Calibri" w:hAnsi="Calibri"/>
          <w:b/>
          <w:bCs/>
          <w:color w:val="1F84EB"/>
          <w:sz w:val="26"/>
          <w:szCs w:val="26"/>
        </w:rPr>
        <w:t xml:space="preserve">3.3 Precaución</w:t>
      </w:r>
    </w:p>
    <w:p>
      <w:pPr>
        <w:spacing w:after="140" w:line="300"/>
        <w:jc w:val="both"/>
      </w:pPr>
      <w:r>
        <w:rPr>
          <w:rFonts w:ascii="Calibri" w:cs="Calibri" w:eastAsia="Calibri" w:hAnsi="Calibri"/>
          <w:color w:val="282828"/>
          <w:sz w:val="22"/>
          <w:szCs w:val="22"/>
        </w:rPr>
        <w:t xml:space="preserve">Mostrar una fuente no equivale a que la fuente sea confiable ni a que respalde efectivamente lo afirmado. La verificación sigue siendo humana: corresponde abrir el enlace y comprobar que el contenido dice lo que la herramienta atribuye.</w:t>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4. Familia 3. Asistentes de trabajo sobre documentos propios</w:t>
      </w:r>
    </w:p>
    <w:p>
      <w:pPr>
        <w:pStyle w:val="Heading2"/>
        <w:spacing w:after="140" w:before="280"/>
      </w:pPr>
      <w:r>
        <w:rPr>
          <w:rFonts w:ascii="Calibri" w:cs="Calibri" w:eastAsia="Calibri" w:hAnsi="Calibri"/>
          <w:b/>
          <w:bCs/>
          <w:color w:val="1F84EB"/>
          <w:sz w:val="26"/>
          <w:szCs w:val="26"/>
        </w:rPr>
        <w:t xml:space="preserve">4.1 Qué son</w:t>
      </w:r>
    </w:p>
    <w:p>
      <w:pPr>
        <w:spacing w:after="140" w:line="300"/>
        <w:jc w:val="both"/>
      </w:pPr>
      <w:r>
        <w:rPr>
          <w:rFonts w:ascii="Calibri" w:cs="Calibri" w:eastAsia="Calibri" w:hAnsi="Calibri"/>
          <w:color w:val="282828"/>
          <w:sz w:val="22"/>
          <w:szCs w:val="22"/>
        </w:rPr>
        <w:t xml:space="preserve">Son herramientas que operan exclusivamente sobre un conjunto de documentos que el usuario carga, en lugar de sobre todo internet. Responden preguntas, generan síntesis y establecen relaciones únicamente a partir de ese material. NotebookLM es la más difundida y aparece en las experiencias escolares chilenas asociada a la organización y síntesis de documentos de apoyo, investigación y recopilación de fuentes (Ortiz González &amp; Fourt, 2025).</w:t>
      </w:r>
    </w:p>
    <w:p>
      <w:pPr>
        <w:pStyle w:val="Heading2"/>
        <w:spacing w:after="140" w:before="280"/>
      </w:pPr>
      <w:r>
        <w:rPr>
          <w:rFonts w:ascii="Calibri" w:cs="Calibri" w:eastAsia="Calibri" w:hAnsi="Calibri"/>
          <w:b/>
          <w:bCs/>
          <w:color w:val="1F84EB"/>
          <w:sz w:val="26"/>
          <w:szCs w:val="26"/>
        </w:rPr>
        <w:t xml:space="preserve">4.2 Por qué son especialmente útiles para la gestión escolar</w:t>
      </w:r>
    </w:p>
    <w:p>
      <w:pPr>
        <w:spacing w:after="140" w:line="300"/>
        <w:jc w:val="both"/>
      </w:pPr>
      <w:r>
        <w:rPr>
          <w:rFonts w:ascii="Calibri" w:cs="Calibri" w:eastAsia="Calibri" w:hAnsi="Calibri"/>
          <w:color w:val="282828"/>
          <w:sz w:val="22"/>
          <w:szCs w:val="22"/>
        </w:rPr>
        <w:t xml:space="preserve">Este tipo de herramienta responde a un problema concreto: los equipos directivos manejan volúmenes de documentación que exceden el tiempo disponible para leerla. Al trabajar solo sobre el material cargado, reducen además el riesgo de que la respuesta mezcle información de otros sistemas educativos.</w:t>
      </w:r>
    </w:p>
    <w:p>
      <w:pPr>
        <w:spacing w:after="40" w:before="240"/>
      </w:pPr>
      <w:r>
        <w:rPr>
          <w:rFonts w:ascii="Calibri" w:cs="Calibri" w:eastAsia="Calibri" w:hAnsi="Calibri"/>
          <w:b/>
          <w:bCs/>
          <w:color w:val="282828"/>
          <w:sz w:val="20"/>
          <w:szCs w:val="20"/>
        </w:rPr>
        <w:t xml:space="preserve">Tabla 3</w:t>
      </w:r>
    </w:p>
    <w:p>
      <w:pPr>
        <w:spacing w:after="110"/>
      </w:pPr>
      <w:r>
        <w:rPr>
          <w:rFonts w:ascii="Calibri" w:cs="Calibri" w:eastAsia="Calibri" w:hAnsi="Calibri"/>
          <w:i/>
          <w:iCs/>
          <w:color w:val="282828"/>
          <w:sz w:val="20"/>
          <w:szCs w:val="20"/>
        </w:rPr>
        <w:t xml:space="preserve">Aplicaciones sobre documentación institucional</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4200"/>
        <w:gridCol w:w="5160"/>
      </w:tblGrid>
      <w:tr>
        <w:trPr>
          <w:tblHeader/>
        </w:trPr>
        <w:tc>
          <w:tcPr>
            <w:tcW w:type="dxa" w:w="42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Documentos que se cargan</w:t>
            </w:r>
          </w:p>
        </w:tc>
        <w:tc>
          <w:tcPr>
            <w:tcW w:type="dxa" w:w="51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Preguntas que permiten responder</w:t>
            </w:r>
          </w:p>
        </w:tc>
      </w:tr>
      <w:tr>
        <w:tc>
          <w:tcPr>
            <w:tcW w:type="dxa" w:w="4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Reglamento Interno, protocolos y reglamento de evaluación del establecimiento.</w:t>
            </w:r>
          </w:p>
        </w:tc>
        <w:tc>
          <w:tcPr>
            <w:tcW w:type="dxa" w:w="51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¿Qué plazos establece nuestro protocolo para esta situación? ¿Hay contradicciones entre reglamentos?</w:t>
            </w:r>
          </w:p>
        </w:tc>
      </w:tr>
      <w:tr>
        <w:tc>
          <w:tcPr>
            <w:tcW w:type="dxa" w:w="42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PEI, PME e informes de gestión de los últimos años.</w:t>
            </w:r>
          </w:p>
        </w:tc>
        <w:tc>
          <w:tcPr>
            <w:tcW w:type="dxa" w:w="51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¿Qué acciones se han repetido sin cumplirse? ¿Cómo evolucionó nuestro diagnóstico?</w:t>
            </w:r>
          </w:p>
        </w:tc>
      </w:tr>
      <w:tr>
        <w:tc>
          <w:tcPr>
            <w:tcW w:type="dxa" w:w="4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Orientaciones ministeriales y de la Agencia de Calidad del año escolar.</w:t>
            </w:r>
          </w:p>
        </w:tc>
        <w:tc>
          <w:tcPr>
            <w:tcW w:type="dxa" w:w="51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¿Qué obligaciones concretas nos corresponden este año? ¿Qué cambió respecto del año anterior?</w:t>
            </w:r>
          </w:p>
        </w:tc>
      </w:tr>
      <w:tr>
        <w:tc>
          <w:tcPr>
            <w:tcW w:type="dxa" w:w="42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Registros anonimizados de acompañamiento al aula.</w:t>
            </w:r>
          </w:p>
        </w:tc>
        <w:tc>
          <w:tcPr>
            <w:tcW w:type="dxa" w:w="51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¿Qué focos se repiten en las observaciones? ¿Dónde concentrar el desarrollo profesional?</w:t>
            </w:r>
          </w:p>
        </w:tc>
      </w:tr>
      <w:tr>
        <w:tc>
          <w:tcPr>
            <w:tcW w:type="dxa" w:w="4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Actas de Consejo Escolar y de Consejo de Profesores.</w:t>
            </w:r>
          </w:p>
        </w:tc>
        <w:tc>
          <w:tcPr>
            <w:tcW w:type="dxa" w:w="51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¿Qué acuerdos quedaron pendientes de seguimiento?</w:t>
            </w:r>
          </w:p>
        </w:tc>
      </w:tr>
    </w:tbl>
    <w:p>
      <w:pPr>
        <w:spacing w:after="200" w:before="60"/>
      </w:pPr>
      <w:r>
        <w:rPr>
          <w:rFonts w:ascii="Calibri" w:cs="Calibri" w:eastAsia="Calibri" w:hAnsi="Calibri"/>
          <w:i/>
          <w:iCs/>
          <w:color w:val="5A5A5A"/>
          <w:sz w:val="18"/>
          <w:szCs w:val="18"/>
        </w:rPr>
        <w:t xml:space="preserve">Nota. Elaboración propia. Todos los documentos cargados deben estar previamente anonimizados según el protocolo del Manual 2.</w:t>
      </w:r>
    </w:p>
    <w:p>
      <w:pPr>
        <w:pStyle w:val="Heading2"/>
        <w:spacing w:after="140" w:before="280"/>
      </w:pPr>
      <w:r>
        <w:rPr>
          <w:rFonts w:ascii="Calibri" w:cs="Calibri" w:eastAsia="Calibri" w:hAnsi="Calibri"/>
          <w:b/>
          <w:bCs/>
          <w:color w:val="1F84EB"/>
          <w:sz w:val="26"/>
          <w:szCs w:val="26"/>
        </w:rPr>
        <w:t xml:space="preserve">4.3 Precaución central</w:t>
      </w:r>
    </w:p>
    <w:p>
      <w:pPr>
        <w:spacing w:after="140" w:line="300"/>
        <w:jc w:val="both"/>
      </w:pPr>
      <w:r>
        <w:rPr>
          <w:rFonts w:ascii="Calibri" w:cs="Calibri" w:eastAsia="Calibri" w:hAnsi="Calibri"/>
          <w:color w:val="282828"/>
          <w:sz w:val="22"/>
          <w:szCs w:val="22"/>
        </w:rPr>
        <w:t xml:space="preserve">Cargar un documento en una plataforma externa es un acto de tratamiento de datos. Antes de subir cualquier archivo institucional debe verificarse que no contenga nóminas, datos de estudiantes, informes psicosociales ni antecedentes de funcionarios. En caso de duda, no se carga.</w:t>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5. Familia 4. Herramientas de diseño y producción visual</w:t>
      </w:r>
    </w:p>
    <w:p>
      <w:pPr>
        <w:pStyle w:val="Heading2"/>
        <w:spacing w:after="140" w:before="280"/>
      </w:pPr>
      <w:r>
        <w:rPr>
          <w:rFonts w:ascii="Calibri" w:cs="Calibri" w:eastAsia="Calibri" w:hAnsi="Calibri"/>
          <w:b/>
          <w:bCs/>
          <w:color w:val="1F84EB"/>
          <w:sz w:val="26"/>
          <w:szCs w:val="26"/>
        </w:rPr>
        <w:t xml:space="preserve">5.1 Qué son</w:t>
      </w:r>
    </w:p>
    <w:p>
      <w:pPr>
        <w:spacing w:after="140" w:line="300"/>
        <w:jc w:val="both"/>
      </w:pPr>
      <w:r>
        <w:rPr>
          <w:rFonts w:ascii="Calibri" w:cs="Calibri" w:eastAsia="Calibri" w:hAnsi="Calibri"/>
          <w:color w:val="282828"/>
          <w:sz w:val="22"/>
          <w:szCs w:val="22"/>
        </w:rPr>
        <w:t xml:space="preserve">Son plataformas de diseño gráfico y presentaciones que incorporan funciones de IA para generar o adaptar recursos visuales a partir de indicaciones en texto. En las experiencias escolares chilenas se registran Canva con IA para el diseño de afiches, infografías y logos, edición de video y creación de presentaciones, y Gamma para el diseño de presentaciones visuales simples a partir de indicaciones textuales (Ortiz González &amp; Fourt, 2025).</w:t>
      </w:r>
    </w:p>
    <w:p>
      <w:pPr>
        <w:pStyle w:val="Heading2"/>
        <w:spacing w:after="140" w:before="280"/>
      </w:pPr>
      <w:r>
        <w:rPr>
          <w:rFonts w:ascii="Calibri" w:cs="Calibri" w:eastAsia="Calibri" w:hAnsi="Calibri"/>
          <w:b/>
          <w:bCs/>
          <w:color w:val="1F84EB"/>
          <w:sz w:val="26"/>
          <w:szCs w:val="26"/>
        </w:rPr>
        <w:t xml:space="preserve">5.2 Usos institucionales y pedagógicos</w:t>
      </w:r>
    </w:p>
    <w:p>
      <w:pPr>
        <w:spacing w:after="40" w:before="240"/>
      </w:pPr>
      <w:r>
        <w:rPr>
          <w:rFonts w:ascii="Calibri" w:cs="Calibri" w:eastAsia="Calibri" w:hAnsi="Calibri"/>
          <w:b/>
          <w:bCs/>
          <w:color w:val="282828"/>
          <w:sz w:val="20"/>
          <w:szCs w:val="20"/>
        </w:rPr>
        <w:t xml:space="preserve">Tabla 4</w:t>
      </w:r>
    </w:p>
    <w:p>
      <w:pPr>
        <w:spacing w:after="110"/>
      </w:pPr>
      <w:r>
        <w:rPr>
          <w:rFonts w:ascii="Calibri" w:cs="Calibri" w:eastAsia="Calibri" w:hAnsi="Calibri"/>
          <w:i/>
          <w:iCs/>
          <w:color w:val="282828"/>
          <w:sz w:val="20"/>
          <w:szCs w:val="20"/>
        </w:rPr>
        <w:t xml:space="preserve">Aplicaciones de herramientas de diseño con IA</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2200"/>
        <w:gridCol w:w="4400"/>
        <w:gridCol w:w="2760"/>
      </w:tblGrid>
      <w:tr>
        <w:trPr>
          <w:tblHeader/>
        </w:trPr>
        <w:tc>
          <w:tcPr>
            <w:tcW w:type="dxa" w:w="22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Uso</w:t>
            </w:r>
          </w:p>
        </w:tc>
        <w:tc>
          <w:tcPr>
            <w:tcW w:type="dxa" w:w="44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Ejemplo concreto</w:t>
            </w:r>
          </w:p>
        </w:tc>
        <w:tc>
          <w:tcPr>
            <w:tcW w:type="dxa" w:w="27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Quién lo realiza</w:t>
            </w:r>
          </w:p>
        </w:tc>
      </w:tr>
      <w:tr>
        <w:tc>
          <w:tcPr>
            <w:tcW w:type="dxa" w:w="2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Comunicación institucional</w:t>
            </w:r>
          </w:p>
        </w:tc>
        <w:tc>
          <w:tcPr>
            <w:tcW w:type="dxa" w:w="4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Afiche informativo sobre el proceso de admisión escolar, adaptado a las familias del establecimiento.</w:t>
            </w:r>
          </w:p>
        </w:tc>
        <w:tc>
          <w:tcPr>
            <w:tcW w:type="dxa" w:w="27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Equipo directivo o encargado de comunicaciones.</w:t>
            </w:r>
          </w:p>
        </w:tc>
      </w:tr>
      <w:tr>
        <w:tc>
          <w:tcPr>
            <w:tcW w:type="dxa" w:w="22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Presentaciones técnicas</w:t>
            </w:r>
          </w:p>
        </w:tc>
        <w:tc>
          <w:tcPr>
            <w:tcW w:type="dxa" w:w="44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Presentación de la Cuenta Pública anual o de resultados de aprendizaje para el Consejo Escolar.</w:t>
            </w:r>
          </w:p>
        </w:tc>
        <w:tc>
          <w:tcPr>
            <w:tcW w:type="dxa" w:w="27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Dirección y UTP.</w:t>
            </w:r>
          </w:p>
        </w:tc>
      </w:tr>
      <w:tr>
        <w:tc>
          <w:tcPr>
            <w:tcW w:type="dxa" w:w="2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Material didáctico</w:t>
            </w:r>
          </w:p>
        </w:tc>
        <w:tc>
          <w:tcPr>
            <w:tcW w:type="dxa" w:w="4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Infografía sobre un contenido curricular, con lenguaje y ejemplos ajustados al nivel.</w:t>
            </w:r>
          </w:p>
        </w:tc>
        <w:tc>
          <w:tcPr>
            <w:tcW w:type="dxa" w:w="27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Docentes de asignatura.</w:t>
            </w:r>
          </w:p>
        </w:tc>
      </w:tr>
      <w:tr>
        <w:tc>
          <w:tcPr>
            <w:tcW w:type="dxa" w:w="22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Productos estudiantiles</w:t>
            </w:r>
          </w:p>
        </w:tc>
        <w:tc>
          <w:tcPr>
            <w:tcW w:type="dxa" w:w="44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Afiches e infografías elaborados por estudiantes como producto de un proyecto de aprendizaje.</w:t>
            </w:r>
          </w:p>
        </w:tc>
        <w:tc>
          <w:tcPr>
            <w:tcW w:type="dxa" w:w="27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Estudiantes, con mediación docente.</w:t>
            </w:r>
          </w:p>
        </w:tc>
      </w:tr>
      <w:tr>
        <w:tc>
          <w:tcPr>
            <w:tcW w:type="dxa" w:w="2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Identidad escolar</w:t>
            </w:r>
          </w:p>
        </w:tc>
        <w:tc>
          <w:tcPr>
            <w:tcW w:type="dxa" w:w="4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Propuestas gráficas para procesos participativos, como la creación del logo del Centro de Estudiantes.</w:t>
            </w:r>
          </w:p>
        </w:tc>
        <w:tc>
          <w:tcPr>
            <w:tcW w:type="dxa" w:w="27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Comunidad escolar.</w:t>
            </w:r>
          </w:p>
        </w:tc>
      </w:tr>
    </w:tbl>
    <w:p>
      <w:pPr>
        <w:spacing w:after="200" w:before="60"/>
      </w:pPr>
      <w:r>
        <w:rPr>
          <w:rFonts w:ascii="Calibri" w:cs="Calibri" w:eastAsia="Calibri" w:hAnsi="Calibri"/>
          <w:i/>
          <w:iCs/>
          <w:color w:val="5A5A5A"/>
          <w:sz w:val="18"/>
          <w:szCs w:val="18"/>
        </w:rPr>
        <w:t xml:space="preserve">Nota. Elaboración propia a partir de Ortiz González y Fourt (2025).</w:t>
      </w:r>
    </w:p>
    <w:p>
      <w:pPr>
        <w:spacing w:after="120"/>
      </w:pPr>
      <w:r>
        <w:rPr>
          <w:sz w:val="12"/>
          <w:szCs w:val="12"/>
        </w:rPr>
        <w:t xml:space="preserve"/>
      </w:r>
    </w:p>
    <w:p>
      <w:pPr>
        <w:spacing w:after="140" w:line="300"/>
        <w:jc w:val="both"/>
      </w:pPr>
      <w:r>
        <w:rPr>
          <w:rFonts w:ascii="Calibri" w:cs="Calibri" w:eastAsia="Calibri" w:hAnsi="Calibri"/>
          <w:color w:val="282828"/>
          <w:sz w:val="22"/>
          <w:szCs w:val="22"/>
        </w:rPr>
        <w:t xml:space="preserve">La experiencia del Colegio Whipple School, que movilizó a su comunidad desde kínder a octavo básico en el proyecto de creación del logo del Centro de Estudiantes mediante un proceso participativo con apoyo de IA y una votación democrática, ilustra cómo una herramienta de diseño puede sostener un proceso de participación real y no solo producir una imagen (Ortiz González &amp; Fourt, 2025).</w:t>
      </w:r>
    </w:p>
    <w:p>
      <w:pPr>
        <w:pStyle w:val="Heading2"/>
        <w:spacing w:after="140" w:before="280"/>
      </w:pPr>
      <w:r>
        <w:rPr>
          <w:rFonts w:ascii="Calibri" w:cs="Calibri" w:eastAsia="Calibri" w:hAnsi="Calibri"/>
          <w:b/>
          <w:bCs/>
          <w:color w:val="1F84EB"/>
          <w:sz w:val="26"/>
          <w:szCs w:val="26"/>
        </w:rPr>
        <w:t xml:space="preserve">5.3 Precauciones sobre imágenes generadas</w:t>
      </w:r>
    </w:p>
    <w:p>
      <w:pPr>
        <w:pStyle w:val="ListParagraph"/>
        <w:numPr>
          <w:ilvl w:val="0"/>
          <w:numId w:val="2"/>
        </w:numPr>
        <w:spacing w:after="90" w:line="290"/>
        <w:jc w:val="both"/>
      </w:pPr>
      <w:r>
        <w:rPr>
          <w:rFonts w:ascii="Calibri" w:cs="Calibri" w:eastAsia="Calibri" w:hAnsi="Calibri"/>
          <w:b/>
          <w:bCs/>
          <w:color w:val="E8505B"/>
          <w:sz w:val="22"/>
          <w:szCs w:val="22"/>
        </w:rPr>
        <w:t xml:space="preserve">Sesgos en la representación: </w:t>
      </w:r>
      <w:r>
        <w:rPr>
          <w:rFonts w:ascii="Calibri" w:cs="Calibri" w:eastAsia="Calibri" w:hAnsi="Calibri"/>
          <w:color w:val="282828"/>
          <w:sz w:val="22"/>
          <w:szCs w:val="22"/>
        </w:rPr>
        <w:t xml:space="preserve">los generadores de imágenes reproducen sesgos que se manifiestan en rasgos humanos poco inclusivos y en detalles identitarios que no logran representar adecuadamente los contextos locales (Educ.ar, 2025). Toda imagen que represente personas debe revisarse con ese criterio.</w:t>
      </w:r>
    </w:p>
    <w:p>
      <w:pPr>
        <w:pStyle w:val="ListParagraph"/>
        <w:numPr>
          <w:ilvl w:val="0"/>
          <w:numId w:val="2"/>
        </w:numPr>
        <w:spacing w:after="90" w:line="290"/>
        <w:jc w:val="both"/>
      </w:pPr>
      <w:r>
        <w:rPr>
          <w:rFonts w:ascii="Calibri" w:cs="Calibri" w:eastAsia="Calibri" w:hAnsi="Calibri"/>
          <w:b/>
          <w:bCs/>
          <w:color w:val="E8505B"/>
          <w:sz w:val="22"/>
          <w:szCs w:val="22"/>
        </w:rPr>
        <w:t xml:space="preserve">Declaración: </w:t>
      </w:r>
      <w:r>
        <w:rPr>
          <w:rFonts w:ascii="Calibri" w:cs="Calibri" w:eastAsia="Calibri" w:hAnsi="Calibri"/>
          <w:color w:val="282828"/>
          <w:sz w:val="22"/>
          <w:szCs w:val="22"/>
        </w:rPr>
        <w:t xml:space="preserve">las imágenes generadas con IA deben identificarse como tales en los materiales institucionales, según las fórmulas del Manual 2.</w:t>
      </w:r>
    </w:p>
    <w:p>
      <w:pPr>
        <w:pStyle w:val="ListParagraph"/>
        <w:numPr>
          <w:ilvl w:val="0"/>
          <w:numId w:val="2"/>
        </w:numPr>
        <w:spacing w:after="90" w:line="290"/>
        <w:jc w:val="both"/>
      </w:pPr>
      <w:r>
        <w:rPr>
          <w:rFonts w:ascii="Calibri" w:cs="Calibri" w:eastAsia="Calibri" w:hAnsi="Calibri"/>
          <w:b/>
          <w:bCs/>
          <w:color w:val="E8505B"/>
          <w:sz w:val="22"/>
          <w:szCs w:val="22"/>
        </w:rPr>
        <w:t xml:space="preserve">Derechos de autor: </w:t>
      </w:r>
      <w:r>
        <w:rPr>
          <w:rFonts w:ascii="Calibri" w:cs="Calibri" w:eastAsia="Calibri" w:hAnsi="Calibri"/>
          <w:color w:val="282828"/>
          <w:sz w:val="22"/>
          <w:szCs w:val="22"/>
        </w:rPr>
        <w:t xml:space="preserve">es un ámbito en desarrollo normativo. No corresponde usar estas imágenes en productos con fines comerciales ni reclamar autoría exclusiva sobre ellas.</w:t>
      </w:r>
    </w:p>
    <w:p>
      <w:pPr>
        <w:pStyle w:val="ListParagraph"/>
        <w:numPr>
          <w:ilvl w:val="0"/>
          <w:numId w:val="2"/>
        </w:numPr>
        <w:spacing w:after="90" w:line="290"/>
        <w:jc w:val="both"/>
      </w:pPr>
      <w:r>
        <w:rPr>
          <w:rFonts w:ascii="Calibri" w:cs="Calibri" w:eastAsia="Calibri" w:hAnsi="Calibri"/>
          <w:b/>
          <w:bCs/>
          <w:color w:val="E8505B"/>
          <w:sz w:val="22"/>
          <w:szCs w:val="22"/>
        </w:rPr>
        <w:t xml:space="preserve">No sustituye la enseñanza del diseño: </w:t>
      </w:r>
      <w:r>
        <w:rPr>
          <w:rFonts w:ascii="Calibri" w:cs="Calibri" w:eastAsia="Calibri" w:hAnsi="Calibri"/>
          <w:color w:val="282828"/>
          <w:sz w:val="22"/>
          <w:szCs w:val="22"/>
        </w:rPr>
        <w:t xml:space="preserve">si el objetivo de aprendizaje es la creación visual, generar la imagen automáticamente elimina precisamente lo que se quería evaluar.</w:t>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6. Familia 5. Herramientas de IA aplicada a dominios específicos</w:t>
      </w:r>
    </w:p>
    <w:p>
      <w:pPr>
        <w:pStyle w:val="Heading2"/>
        <w:spacing w:after="140" w:before="280"/>
      </w:pPr>
      <w:r>
        <w:rPr>
          <w:rFonts w:ascii="Calibri" w:cs="Calibri" w:eastAsia="Calibri" w:hAnsi="Calibri"/>
          <w:b/>
          <w:bCs/>
          <w:color w:val="1F84EB"/>
          <w:sz w:val="26"/>
          <w:szCs w:val="26"/>
        </w:rPr>
        <w:t xml:space="preserve">6.1 Qué son</w:t>
      </w:r>
    </w:p>
    <w:p>
      <w:pPr>
        <w:spacing w:after="140" w:line="300"/>
        <w:jc w:val="both"/>
      </w:pPr>
      <w:r>
        <w:rPr>
          <w:rFonts w:ascii="Calibri" w:cs="Calibri" w:eastAsia="Calibri" w:hAnsi="Calibri"/>
          <w:color w:val="282828"/>
          <w:sz w:val="22"/>
          <w:szCs w:val="22"/>
        </w:rPr>
        <w:t xml:space="preserve">Son aplicaciones que emplean IA para una función acotada, generalmente de reconocimiento o clasificación, y no para generar texto. Suelen ser más simples, más precisas en su ámbito y con menor exposición de datos que los asistentes de propósito general.</w:t>
      </w:r>
    </w:p>
    <w:p>
      <w:pPr>
        <w:pStyle w:val="Heading2"/>
        <w:spacing w:after="140" w:before="280"/>
      </w:pPr>
      <w:r>
        <w:rPr>
          <w:rFonts w:ascii="Calibri" w:cs="Calibri" w:eastAsia="Calibri" w:hAnsi="Calibri"/>
          <w:b/>
          <w:bCs/>
          <w:color w:val="1F84EB"/>
          <w:sz w:val="26"/>
          <w:szCs w:val="26"/>
        </w:rPr>
        <w:t xml:space="preserve">6.2 Ejemplos con uso escolar documentado en Chile</w:t>
      </w:r>
    </w:p>
    <w:p>
      <w:pPr>
        <w:spacing w:after="40" w:before="240"/>
      </w:pPr>
      <w:r>
        <w:rPr>
          <w:rFonts w:ascii="Calibri" w:cs="Calibri" w:eastAsia="Calibri" w:hAnsi="Calibri"/>
          <w:b/>
          <w:bCs/>
          <w:color w:val="282828"/>
          <w:sz w:val="20"/>
          <w:szCs w:val="20"/>
        </w:rPr>
        <w:t xml:space="preserve">Tabla 5</w:t>
      </w:r>
    </w:p>
    <w:p>
      <w:pPr>
        <w:spacing w:after="110"/>
      </w:pPr>
      <w:r>
        <w:rPr>
          <w:rFonts w:ascii="Calibri" w:cs="Calibri" w:eastAsia="Calibri" w:hAnsi="Calibri"/>
          <w:i/>
          <w:iCs/>
          <w:color w:val="282828"/>
          <w:sz w:val="20"/>
          <w:szCs w:val="20"/>
        </w:rPr>
        <w:t xml:space="preserve">Herramientas de dominio específico en experiencias escolares chilenas</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2200"/>
        <w:gridCol w:w="2900"/>
        <w:gridCol w:w="4260"/>
      </w:tblGrid>
      <w:tr>
        <w:trPr>
          <w:tblHeader/>
        </w:trPr>
        <w:tc>
          <w:tcPr>
            <w:tcW w:type="dxa" w:w="22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Herramienta</w:t>
            </w:r>
          </w:p>
        </w:tc>
        <w:tc>
          <w:tcPr>
            <w:tcW w:type="dxa" w:w="29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Función</w:t>
            </w:r>
          </w:p>
        </w:tc>
        <w:tc>
          <w:tcPr>
            <w:tcW w:type="dxa" w:w="42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Uso registrado</w:t>
            </w:r>
          </w:p>
        </w:tc>
      </w:tr>
      <w:tr>
        <w:tc>
          <w:tcPr>
            <w:tcW w:type="dxa" w:w="2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iNaturalist</w:t>
            </w:r>
          </w:p>
        </w:tc>
        <w:tc>
          <w:tcPr>
            <w:tcW w:type="dxa" w:w="29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Identificación de especies asistida por IA y georreferenciación.</w:t>
            </w:r>
          </w:p>
        </w:tc>
        <w:tc>
          <w:tcPr>
            <w:tcW w:type="dxa" w:w="42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Proyecto de monitoreo de flora urbana: registro, identificación y georreferenciación de especies en plazas comunales, con elaboración de una guía digital colaborativa.</w:t>
            </w:r>
          </w:p>
        </w:tc>
      </w:tr>
      <w:tr>
        <w:tc>
          <w:tcPr>
            <w:tcW w:type="dxa" w:w="22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Machine Learning for Kids</w:t>
            </w:r>
          </w:p>
        </w:tc>
        <w:tc>
          <w:tcPr>
            <w:tcW w:type="dxa" w:w="29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Entrenamiento de modelos sencillos de clasificación.</w:t>
            </w:r>
          </w:p>
        </w:tc>
        <w:tc>
          <w:tcPr>
            <w:tcW w:type="dxa" w:w="42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Experimentación en proyectos de pensamiento computacional, para comprender cómo aprenden los modelos.</w:t>
            </w:r>
          </w:p>
        </w:tc>
      </w:tr>
      <w:tr>
        <w:tc>
          <w:tcPr>
            <w:tcW w:type="dxa" w:w="2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Herramientas de automatización de flujos</w:t>
            </w:r>
          </w:p>
        </w:tc>
        <w:tc>
          <w:tcPr>
            <w:tcW w:type="dxa" w:w="29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Conexión automática entre aplicaciones y servicios.</w:t>
            </w:r>
          </w:p>
        </w:tc>
        <w:tc>
          <w:tcPr>
            <w:tcW w:type="dxa" w:w="42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Automatización de flujos de comunicación entre la escuela y las familias.</w:t>
            </w:r>
          </w:p>
        </w:tc>
      </w:tr>
      <w:tr>
        <w:tc>
          <w:tcPr>
            <w:tcW w:type="dxa" w:w="22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Transcripción y subtitulado automático</w:t>
            </w:r>
          </w:p>
        </w:tc>
        <w:tc>
          <w:tcPr>
            <w:tcW w:type="dxa" w:w="29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Conversión de voz a texto.</w:t>
            </w:r>
          </w:p>
        </w:tc>
        <w:tc>
          <w:tcPr>
            <w:tcW w:type="dxa" w:w="42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Registro de entrevistas y testimonios en proyectos de recuperación de memoria e historia local.</w:t>
            </w:r>
          </w:p>
        </w:tc>
      </w:tr>
    </w:tbl>
    <w:p>
      <w:pPr>
        <w:spacing w:after="200" w:before="60"/>
      </w:pPr>
      <w:r>
        <w:rPr>
          <w:rFonts w:ascii="Calibri" w:cs="Calibri" w:eastAsia="Calibri" w:hAnsi="Calibri"/>
          <w:i/>
          <w:iCs/>
          <w:color w:val="5A5A5A"/>
          <w:sz w:val="18"/>
          <w:szCs w:val="18"/>
        </w:rPr>
        <w:t xml:space="preserve">Nota. Elaboración propia a partir de Ortiz González y Fourt (2025).</w:t>
      </w:r>
    </w:p>
    <w:p>
      <w:pPr>
        <w:pStyle w:val="Heading2"/>
        <w:spacing w:after="140" w:before="280"/>
      </w:pPr>
      <w:r>
        <w:rPr>
          <w:rFonts w:ascii="Calibri" w:cs="Calibri" w:eastAsia="Calibri" w:hAnsi="Calibri"/>
          <w:b/>
          <w:bCs/>
          <w:color w:val="1F84EB"/>
          <w:sz w:val="26"/>
          <w:szCs w:val="26"/>
        </w:rPr>
        <w:t xml:space="preserve">6.3 Potencial para el territorio Andalién Sur</w:t>
      </w:r>
    </w:p>
    <w:p>
      <w:pPr>
        <w:spacing w:after="140" w:line="300"/>
        <w:jc w:val="both"/>
      </w:pPr>
      <w:r>
        <w:rPr>
          <w:rFonts w:ascii="Calibri" w:cs="Calibri" w:eastAsia="Calibri" w:hAnsi="Calibri"/>
          <w:color w:val="282828"/>
          <w:sz w:val="22"/>
          <w:szCs w:val="22"/>
        </w:rPr>
        <w:t xml:space="preserve">Las herramientas de ciencia ciudadana tienen un potencial particular en este territorio. La diversidad geográfica de las cuatro comunas, que abarca desde entornos plenamente urbanos hasta sectores rurales, ofrece condiciones para proyectos de registro y monitoreo de biodiversidad local, articulables con Ciencias Naturales, Ciencias para la Ciudadanía e Historia y Geografía.</w:t>
      </w:r>
    </w:p>
    <w:p>
      <w:pPr>
        <w:spacing w:after="140" w:line="300"/>
        <w:jc w:val="both"/>
      </w:pPr>
      <w:r>
        <w:rPr>
          <w:rFonts w:ascii="Calibri" w:cs="Calibri" w:eastAsia="Calibri" w:hAnsi="Calibri"/>
          <w:color w:val="282828"/>
          <w:sz w:val="22"/>
          <w:szCs w:val="22"/>
        </w:rPr>
        <w:t xml:space="preserve">El valor pedagógico no está en la herramienta sino en el diseño: la vinculación del aprendizaje con el contexto inmediato de los estudiantes fortalece el sentido de pertenencia y la relevancia del conocimiento (Ortiz González &amp; Fourt, 2025).</w:t>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7. Familia 6. IA integrada en plataformas de gestión</w:t>
      </w:r>
    </w:p>
    <w:p>
      <w:pPr>
        <w:pStyle w:val="Heading2"/>
        <w:spacing w:after="140" w:before="280"/>
      </w:pPr>
      <w:r>
        <w:rPr>
          <w:rFonts w:ascii="Calibri" w:cs="Calibri" w:eastAsia="Calibri" w:hAnsi="Calibri"/>
          <w:b/>
          <w:bCs/>
          <w:color w:val="1F84EB"/>
          <w:sz w:val="26"/>
          <w:szCs w:val="26"/>
        </w:rPr>
        <w:t xml:space="preserve">7.1 Qué son</w:t>
      </w:r>
    </w:p>
    <w:p>
      <w:pPr>
        <w:spacing w:after="140" w:line="300"/>
        <w:jc w:val="both"/>
      </w:pPr>
      <w:r>
        <w:rPr>
          <w:rFonts w:ascii="Calibri" w:cs="Calibri" w:eastAsia="Calibri" w:hAnsi="Calibri"/>
          <w:color w:val="282828"/>
          <w:sz w:val="22"/>
          <w:szCs w:val="22"/>
        </w:rPr>
        <w:t xml:space="preserve">Corresponde a funciones de IA incorporadas dentro de sistemas que los establecimientos ya utilizan: suites ofimáticas, plataformas de gestión escolar, correos institucionales y sistemas de registro. No requieren adoptar una herramienta nueva, sino aprender a usar funciones que ya están disponibles.</w:t>
      </w:r>
    </w:p>
    <w:p>
      <w:pPr>
        <w:pStyle w:val="Heading2"/>
        <w:spacing w:after="140" w:before="280"/>
      </w:pPr>
      <w:r>
        <w:rPr>
          <w:rFonts w:ascii="Calibri" w:cs="Calibri" w:eastAsia="Calibri" w:hAnsi="Calibri"/>
          <w:b/>
          <w:bCs/>
          <w:color w:val="1F84EB"/>
          <w:sz w:val="26"/>
          <w:szCs w:val="26"/>
        </w:rPr>
        <w:t xml:space="preserve">7.2 Usos habituales y condición de uso</w:t>
      </w:r>
    </w:p>
    <w:p>
      <w:pPr>
        <w:pStyle w:val="ListParagraph"/>
        <w:numPr>
          <w:ilvl w:val="0"/>
          <w:numId w:val="2"/>
        </w:numPr>
        <w:spacing w:after="90" w:line="290"/>
        <w:jc w:val="both"/>
      </w:pPr>
      <w:r>
        <w:rPr>
          <w:rFonts w:ascii="Calibri" w:cs="Calibri" w:eastAsia="Calibri" w:hAnsi="Calibri"/>
          <w:color w:val="282828"/>
          <w:sz w:val="22"/>
          <w:szCs w:val="22"/>
        </w:rPr>
        <w:t xml:space="preserve">Redacción y revisión asistida en procesadores de texto institucionales.</w:t>
      </w:r>
    </w:p>
    <w:p>
      <w:pPr>
        <w:pStyle w:val="ListParagraph"/>
        <w:numPr>
          <w:ilvl w:val="0"/>
          <w:numId w:val="2"/>
        </w:numPr>
        <w:spacing w:after="90" w:line="290"/>
        <w:jc w:val="both"/>
      </w:pPr>
      <w:r>
        <w:rPr>
          <w:rFonts w:ascii="Calibri" w:cs="Calibri" w:eastAsia="Calibri" w:hAnsi="Calibri"/>
          <w:color w:val="282828"/>
          <w:sz w:val="22"/>
          <w:szCs w:val="22"/>
        </w:rPr>
        <w:t xml:space="preserve">Resumen automático de reuniones en plataformas de videoconferencia, con las precauciones de privacidad correspondientes.</w:t>
      </w:r>
    </w:p>
    <w:p>
      <w:pPr>
        <w:pStyle w:val="ListParagraph"/>
        <w:numPr>
          <w:ilvl w:val="0"/>
          <w:numId w:val="2"/>
        </w:numPr>
        <w:spacing w:after="90" w:line="290"/>
        <w:jc w:val="both"/>
      </w:pPr>
      <w:r>
        <w:rPr>
          <w:rFonts w:ascii="Calibri" w:cs="Calibri" w:eastAsia="Calibri" w:hAnsi="Calibri"/>
          <w:color w:val="282828"/>
          <w:sz w:val="22"/>
          <w:szCs w:val="22"/>
        </w:rPr>
        <w:t xml:space="preserve">Análisis asistido de planillas de cálculo: detección de patrones, generación de gráficos y fórmulas.</w:t>
      </w:r>
    </w:p>
    <w:p>
      <w:pPr>
        <w:pStyle w:val="ListParagraph"/>
        <w:numPr>
          <w:ilvl w:val="0"/>
          <w:numId w:val="2"/>
        </w:numPr>
        <w:spacing w:after="90" w:line="290"/>
        <w:jc w:val="both"/>
      </w:pPr>
      <w:r>
        <w:rPr>
          <w:rFonts w:ascii="Calibri" w:cs="Calibri" w:eastAsia="Calibri" w:hAnsi="Calibri"/>
          <w:color w:val="282828"/>
          <w:sz w:val="22"/>
          <w:szCs w:val="22"/>
        </w:rPr>
        <w:t xml:space="preserve">Clasificación y priorización de correos electrónicos institucionales.</w:t>
      </w:r>
    </w:p>
    <w:tbl>
      <w:tblPr>
        <w:tblW w:type="dxa" w:w="9360"/>
        <w:tblBorders>
          <w:top w:val="single" w:color="F2F6FB" w:sz="2"/>
          <w:left w:val="single" w:color="1F84EB" w:sz="24"/>
          <w:bottom w:val="single" w:color="F2F6FB" w:sz="2"/>
          <w:right w:val="single" w:color="F2F6FB" w:sz="2"/>
          <w:insideH w:val="none"/>
          <w:insideV w:val="none"/>
        </w:tblBorders>
      </w:tblPr>
      <w:tblGrid>
        <w:gridCol w:w="9360"/>
      </w:tblGrid>
      <w:tr>
        <w:tc>
          <w:tcPr>
            <w:tcW w:type="dxa" w:w="9360"/>
            <w:shd w:fill="F2F6FB" w:color="auto" w:val="clear"/>
            <w:tcMar>
              <w:top w:type="dxa" w:w="160"/>
              <w:left w:type="dxa" w:w="200"/>
              <w:bottom w:type="dxa" w:w="160"/>
              <w:right w:type="dxa" w:w="200"/>
            </w:tcMar>
          </w:tcPr>
          <w:p>
            <w:pPr>
              <w:spacing w:after="90"/>
            </w:pPr>
            <w:r>
              <w:rPr>
                <w:rFonts w:ascii="Calibri" w:cs="Calibri" w:eastAsia="Calibri" w:hAnsi="Calibri"/>
                <w:b/>
                <w:bCs/>
                <w:color w:val="1F84EB"/>
                <w:sz w:val="22"/>
                <w:szCs w:val="22"/>
              </w:rPr>
              <w:t xml:space="preserve">Ventaja institucional y precaución</w:t>
            </w:r>
          </w:p>
          <w:p>
            <w:pPr>
              <w:spacing w:after="80" w:line="290"/>
              <w:jc w:val="both"/>
            </w:pPr>
            <w:r>
              <w:rPr>
                <w:rFonts w:ascii="Calibri" w:cs="Calibri" w:eastAsia="Calibri" w:hAnsi="Calibri"/>
                <w:b/>
                <w:bCs/>
                <w:color w:val="3DB54A"/>
                <w:sz w:val="21"/>
                <w:szCs w:val="21"/>
              </w:rPr>
              <w:t xml:space="preserve">Ventaja: </w:t>
            </w:r>
            <w:r>
              <w:rPr>
                <w:rFonts w:ascii="Calibri" w:cs="Calibri" w:eastAsia="Calibri" w:hAnsi="Calibri"/>
                <w:color w:val="282828"/>
                <w:sz w:val="21"/>
                <w:szCs w:val="21"/>
              </w:rPr>
              <w:t xml:space="preserve">cuando la función está integrada en la suite institucional del organismo, el tratamiento de datos puede quedar cubierto por el contrato de servicio vigente. Esta es una de las dos variantes previstas en esta serie para el tratamiento de datos personales con apoyo de IA; la otra son los sistemas propios que consumen una API, desarrollada en el Anexo del Manual 2 y construida técnicamente en el Manual 5. Ambas se explican en el apartado 1.3 del Manual 2.</w:t>
            </w:r>
          </w:p>
          <w:p>
            <w:pPr>
              <w:spacing w:after="80" w:line="290"/>
              <w:jc w:val="both"/>
            </w:pPr>
            <w:r>
              <w:rPr>
                <w:rFonts w:ascii="Calibri" w:cs="Calibri" w:eastAsia="Calibri" w:hAnsi="Calibri"/>
                <w:b/>
                <w:bCs/>
                <w:color w:val="E8505B"/>
                <w:sz w:val="21"/>
                <w:szCs w:val="21"/>
              </w:rPr>
              <w:t xml:space="preserve">Precaución: </w:t>
            </w:r>
            <w:r>
              <w:rPr>
                <w:rFonts w:ascii="Calibri" w:cs="Calibri" w:eastAsia="Calibri" w:hAnsi="Calibri"/>
                <w:color w:val="282828"/>
                <w:sz w:val="21"/>
                <w:szCs w:val="21"/>
              </w:rPr>
              <w:t xml:space="preserve">esa cobertura no se presume. Debe ser confirmada formalmente por el área competente del Servicio Local, que verificará si el contrato regula al proveedor como encargado de tratamiento en los términos que exige la Ley N.º 21.719 (2024), si excluye el uso de la información para entrenamiento de modelos y qué medidas de seguridad contempla. El establecimiento no realiza esa verificación por su cuenta.</w:t>
            </w:r>
          </w:p>
          <w:p>
            <w:pPr>
              <w:spacing w:after="80" w:line="290"/>
              <w:jc w:val="both"/>
            </w:pPr>
            <w:r>
              <w:rPr>
                <w:rFonts w:ascii="Calibri" w:cs="Calibri" w:eastAsia="Calibri" w:hAnsi="Calibri"/>
                <w:b/>
                <w:bCs/>
                <w:color w:val="282828"/>
                <w:sz w:val="21"/>
                <w:szCs w:val="21"/>
              </w:rPr>
              <w:t xml:space="preserve">Mientras no exista esa confirmación, </w:t>
            </w:r>
            <w:r>
              <w:rPr>
                <w:rFonts w:ascii="Calibri" w:cs="Calibri" w:eastAsia="Calibri" w:hAnsi="Calibri"/>
                <w:color w:val="282828"/>
                <w:sz w:val="21"/>
                <w:szCs w:val="21"/>
              </w:rPr>
              <w:t xml:space="preserve">rige la regla general: ningún dato personal ingresa a estas funciones, aunque estén integradas en una plataforma conocida y de uso institucional.</w:t>
            </w:r>
          </w:p>
        </w:tc>
      </w:tr>
    </w:tbl>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8. Selección mínima para comenzar</w:t>
      </w:r>
    </w:p>
    <w:p>
      <w:pPr>
        <w:spacing w:after="140" w:line="300"/>
        <w:jc w:val="both"/>
      </w:pPr>
      <w:r>
        <w:rPr>
          <w:rFonts w:ascii="Calibri" w:cs="Calibri" w:eastAsia="Calibri" w:hAnsi="Calibri"/>
          <w:color w:val="282828"/>
          <w:sz w:val="22"/>
          <w:szCs w:val="22"/>
        </w:rPr>
        <w:t xml:space="preserve">Ortiz González y Fourt (2025) recomiendan que los establecimientos con menos experiencia comiencen con proyectos breves y de bajo costo en recursos, que permitan a docentes y estudiantes familiarizarse con las herramientas antes de abordar iniciativas más complejas. La misma lógica aplica a la selección de herramientas: es preferible dominar tres que conocer superficialmente diez.</w:t>
      </w:r>
    </w:p>
    <w:p>
      <w:pPr>
        <w:spacing w:after="40" w:before="240"/>
      </w:pPr>
      <w:r>
        <w:rPr>
          <w:rFonts w:ascii="Calibri" w:cs="Calibri" w:eastAsia="Calibri" w:hAnsi="Calibri"/>
          <w:b/>
          <w:bCs/>
          <w:color w:val="282828"/>
          <w:sz w:val="20"/>
          <w:szCs w:val="20"/>
        </w:rPr>
        <w:t xml:space="preserve">Tabla 6</w:t>
      </w:r>
    </w:p>
    <w:p>
      <w:pPr>
        <w:spacing w:after="110"/>
      </w:pPr>
      <w:r>
        <w:rPr>
          <w:rFonts w:ascii="Calibri" w:cs="Calibri" w:eastAsia="Calibri" w:hAnsi="Calibri"/>
          <w:i/>
          <w:iCs/>
          <w:color w:val="282828"/>
          <w:sz w:val="20"/>
          <w:szCs w:val="20"/>
        </w:rPr>
        <w:t xml:space="preserve">Selección mínima sugerida por perfil</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1900"/>
        <w:gridCol w:w="3900"/>
        <w:gridCol w:w="3560"/>
      </w:tblGrid>
      <w:tr>
        <w:trPr>
          <w:tblHeader/>
        </w:trPr>
        <w:tc>
          <w:tcPr>
            <w:tcW w:type="dxa" w:w="19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Perfil</w:t>
            </w:r>
          </w:p>
        </w:tc>
        <w:tc>
          <w:tcPr>
            <w:tcW w:type="dxa" w:w="39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Herramientas sugeridas</w:t>
            </w:r>
          </w:p>
        </w:tc>
        <w:tc>
          <w:tcPr>
            <w:tcW w:type="dxa" w:w="35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Foco de uso inicial</w:t>
            </w:r>
          </w:p>
        </w:tc>
      </w:tr>
      <w:tr>
        <w:tc>
          <w:tcPr>
            <w:tcW w:type="dxa" w:w="19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Equipo directivo</w:t>
            </w:r>
          </w:p>
        </w:tc>
        <w:tc>
          <w:tcPr>
            <w:tcW w:type="dxa" w:w="39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Un asistente conversacional de propósito general y un asistente de trabajo sobre documentos propios.</w:t>
            </w:r>
          </w:p>
        </w:tc>
        <w:tc>
          <w:tcPr>
            <w:tcW w:type="dxa" w:w="35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Producción documental y síntesis de normativa e instrumentos de gestión.</w:t>
            </w:r>
          </w:p>
        </w:tc>
      </w:tr>
      <w:tr>
        <w:tc>
          <w:tcPr>
            <w:tcW w:type="dxa" w:w="19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Jefatura de UTP</w:t>
            </w:r>
          </w:p>
        </w:tc>
        <w:tc>
          <w:tcPr>
            <w:tcW w:type="dxa" w:w="39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Asistente conversacional y herramienta de diseño con IA.</w:t>
            </w:r>
          </w:p>
        </w:tc>
        <w:tc>
          <w:tcPr>
            <w:tcW w:type="dxa" w:w="35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Rúbricas, materiales de apoyo y presentaciones técnicas para Consejos.</w:t>
            </w:r>
          </w:p>
        </w:tc>
      </w:tr>
      <w:tr>
        <w:tc>
          <w:tcPr>
            <w:tcW w:type="dxa" w:w="19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Docentes de aula</w:t>
            </w:r>
          </w:p>
        </w:tc>
        <w:tc>
          <w:tcPr>
            <w:tcW w:type="dxa" w:w="39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Asistente conversacional y herramienta de diseño con IA.</w:t>
            </w:r>
          </w:p>
        </w:tc>
        <w:tc>
          <w:tcPr>
            <w:tcW w:type="dxa" w:w="35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Diversificación de guías, adaptación de textos y generación de ítems.</w:t>
            </w:r>
          </w:p>
        </w:tc>
      </w:tr>
      <w:tr>
        <w:tc>
          <w:tcPr>
            <w:tcW w:type="dxa" w:w="19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Trabajo con estudiantes</w:t>
            </w:r>
          </w:p>
        </w:tc>
        <w:tc>
          <w:tcPr>
            <w:tcW w:type="dxa" w:w="39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Asistente con fuentes visibles y herramienta de diseño con IA.</w:t>
            </w:r>
          </w:p>
        </w:tc>
        <w:tc>
          <w:tcPr>
            <w:tcW w:type="dxa" w:w="35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Verificación de fuentes y elaboración de productos de proyectos.</w:t>
            </w:r>
          </w:p>
        </w:tc>
      </w:tr>
      <w:tr>
        <w:tc>
          <w:tcPr>
            <w:tcW w:type="dxa" w:w="19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Encargado de convivencia</w:t>
            </w:r>
          </w:p>
        </w:tc>
        <w:tc>
          <w:tcPr>
            <w:tcW w:type="dxa" w:w="39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Asistente conversacional.</w:t>
            </w:r>
          </w:p>
        </w:tc>
        <w:tc>
          <w:tcPr>
            <w:tcW w:type="dxa" w:w="35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Simplificación del lenguaje de protocolos y elaboración de material informativo.</w:t>
            </w:r>
          </w:p>
        </w:tc>
      </w:tr>
    </w:tbl>
    <w:p>
      <w:pPr>
        <w:spacing w:after="200" w:before="60"/>
      </w:pPr>
      <w:r>
        <w:rPr>
          <w:rFonts w:ascii="Calibri" w:cs="Calibri" w:eastAsia="Calibri" w:hAnsi="Calibri"/>
          <w:i/>
          <w:iCs/>
          <w:color w:val="5A5A5A"/>
          <w:sz w:val="18"/>
          <w:szCs w:val="18"/>
        </w:rPr>
        <w:t xml:space="preserve">Nota. Elaboración propia. Toda incorporación debe validarse previamente con la pauta de evaluación del apartado 1.</w:t>
      </w:r>
    </w:p>
    <w:p>
      <w:pPr>
        <w:pStyle w:val="Heading2"/>
        <w:spacing w:after="140" w:before="280"/>
      </w:pPr>
      <w:r>
        <w:rPr>
          <w:rFonts w:ascii="Calibri" w:cs="Calibri" w:eastAsia="Calibri" w:hAnsi="Calibri"/>
          <w:b/>
          <w:bCs/>
          <w:color w:val="1F84EB"/>
          <w:sz w:val="26"/>
          <w:szCs w:val="26"/>
        </w:rPr>
        <w:t xml:space="preserve">8.1 Condiciones previas en el establecimiento</w:t>
      </w:r>
    </w:p>
    <w:p>
      <w:pPr>
        <w:pStyle w:val="ListParagraph"/>
        <w:numPr>
          <w:ilvl w:val="0"/>
          <w:numId w:val="3"/>
        </w:numPr>
        <w:spacing w:after="90" w:line="290"/>
        <w:jc w:val="both"/>
      </w:pPr>
      <w:r>
        <w:rPr>
          <w:rFonts w:ascii="Calibri" w:cs="Calibri" w:eastAsia="Calibri" w:hAnsi="Calibri"/>
          <w:color w:val="282828"/>
          <w:sz w:val="22"/>
          <w:szCs w:val="22"/>
        </w:rPr>
        <w:t xml:space="preserve">Diagnóstico del equipamiento y de la conectividad disponible, por sala y por jornada.</w:t>
      </w:r>
    </w:p>
    <w:p>
      <w:pPr>
        <w:pStyle w:val="ListParagraph"/>
        <w:numPr>
          <w:ilvl w:val="0"/>
          <w:numId w:val="3"/>
        </w:numPr>
        <w:spacing w:after="90" w:line="290"/>
        <w:jc w:val="both"/>
      </w:pPr>
      <w:r>
        <w:rPr>
          <w:rFonts w:ascii="Calibri" w:cs="Calibri" w:eastAsia="Calibri" w:hAnsi="Calibri"/>
          <w:color w:val="282828"/>
          <w:sz w:val="22"/>
          <w:szCs w:val="22"/>
        </w:rPr>
        <w:t xml:space="preserve">Protocolo institucional de uso de IA aprobado, según el procedimiento del Manual 2.</w:t>
      </w:r>
    </w:p>
    <w:p>
      <w:pPr>
        <w:pStyle w:val="ListParagraph"/>
        <w:numPr>
          <w:ilvl w:val="0"/>
          <w:numId w:val="3"/>
        </w:numPr>
        <w:spacing w:after="90" w:line="290"/>
        <w:jc w:val="both"/>
      </w:pPr>
      <w:r>
        <w:rPr>
          <w:rFonts w:ascii="Calibri" w:cs="Calibri" w:eastAsia="Calibri" w:hAnsi="Calibri"/>
          <w:color w:val="282828"/>
          <w:sz w:val="22"/>
          <w:szCs w:val="22"/>
        </w:rPr>
        <w:t xml:space="preserve">Definición de qué herramientas quedan autorizadas y cuáles no, con revisión anual.</w:t>
      </w:r>
    </w:p>
    <w:p>
      <w:pPr>
        <w:pStyle w:val="ListParagraph"/>
        <w:numPr>
          <w:ilvl w:val="0"/>
          <w:numId w:val="3"/>
        </w:numPr>
        <w:spacing w:after="90" w:line="290"/>
        <w:jc w:val="both"/>
      </w:pPr>
      <w:r>
        <w:rPr>
          <w:rFonts w:ascii="Calibri" w:cs="Calibri" w:eastAsia="Calibri" w:hAnsi="Calibri"/>
          <w:color w:val="282828"/>
          <w:sz w:val="22"/>
          <w:szCs w:val="22"/>
        </w:rPr>
        <w:t xml:space="preserve">Formación básica del equipo en formulación de instrucciones, según el Manual 4.</w:t>
      </w:r>
    </w:p>
    <w:p>
      <w:pPr>
        <w:pStyle w:val="ListParagraph"/>
        <w:numPr>
          <w:ilvl w:val="0"/>
          <w:numId w:val="3"/>
        </w:numPr>
        <w:spacing w:after="90" w:line="290"/>
        <w:jc w:val="both"/>
      </w:pPr>
      <w:r>
        <w:rPr>
          <w:rFonts w:ascii="Calibri" w:cs="Calibri" w:eastAsia="Calibri" w:hAnsi="Calibri"/>
          <w:color w:val="282828"/>
          <w:sz w:val="22"/>
          <w:szCs w:val="22"/>
        </w:rPr>
        <w:t xml:space="preserve">Designación de un responsable institucional que resuelva dudas y consolide aprendizajes.</w:t>
      </w:r>
    </w:p>
    <w:p>
      <w:pPr>
        <w:pStyle w:val="Heading2"/>
        <w:spacing w:after="140" w:before="280"/>
      </w:pPr>
      <w:r>
        <w:rPr>
          <w:rFonts w:ascii="Calibri" w:cs="Calibri" w:eastAsia="Calibri" w:hAnsi="Calibri"/>
          <w:b/>
          <w:bCs/>
          <w:color w:val="1F84EB"/>
          <w:sz w:val="26"/>
          <w:szCs w:val="26"/>
        </w:rPr>
        <w:t xml:space="preserve">8.2 Lo que ninguna herramienta resuelve</w:t>
      </w:r>
    </w:p>
    <w:p>
      <w:pPr>
        <w:spacing w:after="140" w:line="300"/>
        <w:jc w:val="both"/>
      </w:pPr>
      <w:r>
        <w:rPr>
          <w:rFonts w:ascii="Calibri" w:cs="Calibri" w:eastAsia="Calibri" w:hAnsi="Calibri"/>
          <w:color w:val="282828"/>
          <w:sz w:val="22"/>
          <w:szCs w:val="22"/>
        </w:rPr>
        <w:t xml:space="preserve">Las experiencias chilenas sistematizadas identifican la formación en IA y alfabetización digital, especialmente en la redacción de prompts efectivos, como uno de los desafíos centrales tanto para docentes como para estudiantes (Ortiz González &amp; Fourt, 2025). Ninguna herramienta compensa la ausencia de esa formación: una plataforma sofisticada mal utilizada produce peores resultados que una simple bien empleada.</w:t>
      </w:r>
    </w:p>
    <w:p>
      <w:pPr>
        <w:spacing w:after="140" w:line="300"/>
        <w:jc w:val="both"/>
      </w:pPr>
      <w:r>
        <w:rPr>
          <w:rFonts w:ascii="Calibri" w:cs="Calibri" w:eastAsia="Calibri" w:hAnsi="Calibri"/>
          <w:color w:val="282828"/>
          <w:sz w:val="22"/>
          <w:szCs w:val="22"/>
        </w:rPr>
        <w:t xml:space="preserve">Del mismo modo, ninguna herramienta reemplaza el propósito pedagógico. El éxito de las experiencias analizadas radica en un enfoque donde la tecnología está al servicio de un propósito de aprendizaje claro, contextualizado y relevante, manteniendo siempre el juicio humano como criterio final (Ortiz González &amp; Fourt, 2025).</w:t>
      </w:r>
    </w:p>
    <w:p>
      <w:pPr>
        <w:spacing w:after="160"/>
      </w:pPr>
      <w:r>
        <w:rPr>
          <w:sz w:val="12"/>
          <w:szCs w:val="12"/>
        </w:rPr>
        <w:t xml:space="preserve"/>
      </w:r>
    </w:p>
    <w:p>
      <w:pPr>
        <w:pStyle w:val="Heading2"/>
        <w:spacing w:after="140" w:before="280"/>
      </w:pPr>
      <w:r>
        <w:rPr>
          <w:rFonts w:ascii="Calibri" w:cs="Calibri" w:eastAsia="Calibri" w:hAnsi="Calibri"/>
          <w:b/>
          <w:bCs/>
          <w:color w:val="1F84EB"/>
          <w:sz w:val="26"/>
          <w:szCs w:val="26"/>
        </w:rPr>
        <w:t xml:space="preserve">Síntesis del manual</w:t>
      </w:r>
    </w:p>
    <w:p>
      <w:pPr>
        <w:spacing w:after="140" w:line="300"/>
        <w:jc w:val="both"/>
      </w:pPr>
      <w:r>
        <w:rPr>
          <w:rFonts w:ascii="Calibri" w:cs="Calibri" w:eastAsia="Calibri" w:hAnsi="Calibri"/>
          <w:color w:val="282828"/>
          <w:sz w:val="22"/>
          <w:szCs w:val="22"/>
        </w:rPr>
        <w:t xml:space="preserve">Las seis familias descritas cubren el espectro de usos definido en la Parte II del Manual 2. La decisión sobre cuáles adoptar no debe tomarse por novedad ni por popularidad, sino aplicando la pauta de evaluación del apartado 1 y considerando la condición de equidad territorial: una herramienta que solo funciona en los establecimientos mejor equipados no es una solución, es una brecha nueva.</w:t>
      </w:r>
    </w:p>
    <w:p>
      <w:pPr>
        <w:spacing w:after="140" w:line="300"/>
        <w:jc w:val="both"/>
      </w:pPr>
      <w:r>
        <w:rPr>
          <w:rFonts w:ascii="Calibri" w:cs="Calibri" w:eastAsia="Calibri" w:hAnsi="Calibri"/>
          <w:color w:val="282828"/>
          <w:sz w:val="22"/>
          <w:szCs w:val="22"/>
        </w:rPr>
        <w:t xml:space="preserve">Cuando ninguna herramienta del mercado resuelve una necesidad específica del Servicio, queda una vía adicional: construir una plataforma propia. El Manual 5 entrega el procedimiento técnico completo para hacerlo.</w:t>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Referencias</w:t>
      </w:r>
    </w:p>
    <w:p>
      <w:pPr>
        <w:spacing w:after="140" w:line="300"/>
        <w:jc w:val="both"/>
      </w:pPr>
      <w:r>
        <w:rPr>
          <w:rFonts w:ascii="Calibri" w:cs="Calibri" w:eastAsia="Calibri" w:hAnsi="Calibri"/>
          <w:i/>
          <w:iCs/>
          <w:color w:val="5A5A5A"/>
          <w:sz w:val="20"/>
          <w:szCs w:val="20"/>
        </w:rPr>
        <w:t xml:space="preserve">Obras citadas en este manual. Formato APA, séptima edición.</w:t>
      </w:r>
    </w:p>
    <w:p>
      <w:pPr>
        <w:spacing w:after="140" w:line="300"/>
        <w:ind w:left="480" w:hanging="480"/>
      </w:pPr>
      <w:r>
        <w:rPr>
          <w:rFonts w:ascii="Calibri" w:cs="Calibri" w:eastAsia="Calibri" w:hAnsi="Calibri"/>
          <w:color w:val="282828"/>
          <w:sz w:val="21"/>
          <w:szCs w:val="21"/>
        </w:rPr>
        <w:t xml:space="preserve">EduCaixa. (2024). </w:t>
      </w:r>
      <w:r>
        <w:rPr>
          <w:rFonts w:ascii="Calibri" w:cs="Calibri" w:eastAsia="Calibri" w:hAnsi="Calibri"/>
          <w:i/>
          <w:iCs/>
          <w:color w:val="282828"/>
          <w:sz w:val="21"/>
          <w:szCs w:val="21"/>
        </w:rPr>
        <w:t xml:space="preserve">Diseñando un protocolo sobre IA en el centro educativo: Qué aprender sobre ella, cómo emplearla y para qué</w:t>
      </w:r>
      <w:r>
        <w:rPr>
          <w:rFonts w:ascii="Calibri" w:cs="Calibri" w:eastAsia="Calibri" w:hAnsi="Calibri"/>
          <w:color w:val="282828"/>
          <w:sz w:val="21"/>
          <w:szCs w:val="21"/>
        </w:rPr>
        <w:t xml:space="preserve">. Fundación “la Caixa”.</w:t>
      </w:r>
    </w:p>
    <w:p>
      <w:pPr>
        <w:spacing w:after="140" w:line="300"/>
        <w:ind w:left="480" w:hanging="480"/>
      </w:pPr>
      <w:r>
        <w:rPr>
          <w:rFonts w:ascii="Calibri" w:cs="Calibri" w:eastAsia="Calibri" w:hAnsi="Calibri"/>
          <w:color w:val="282828"/>
          <w:sz w:val="21"/>
          <w:szCs w:val="21"/>
        </w:rPr>
        <w:t xml:space="preserve">Educ.ar. (2025). </w:t>
      </w:r>
      <w:r>
        <w:rPr>
          <w:rFonts w:ascii="Calibri" w:cs="Calibri" w:eastAsia="Calibri" w:hAnsi="Calibri"/>
          <w:i/>
          <w:iCs/>
          <w:color w:val="282828"/>
          <w:sz w:val="21"/>
          <w:szCs w:val="21"/>
        </w:rPr>
        <w:t xml:space="preserve">Cómo incorporar IA generativa al aula: Una orientación en ChatGPT para docentes</w:t>
      </w:r>
      <w:r>
        <w:rPr>
          <w:rFonts w:ascii="Calibri" w:cs="Calibri" w:eastAsia="Calibri" w:hAnsi="Calibri"/>
          <w:color w:val="282828"/>
          <w:sz w:val="21"/>
          <w:szCs w:val="21"/>
        </w:rPr>
        <w:t xml:space="preserve"> (1.ª ed. actualizada). Educ.ar.</w:t>
      </w:r>
    </w:p>
    <w:p>
      <w:pPr>
        <w:spacing w:after="140" w:line="300"/>
        <w:ind w:left="480" w:hanging="480"/>
      </w:pPr>
      <w:r>
        <w:rPr>
          <w:rFonts w:ascii="Calibri" w:cs="Calibri" w:eastAsia="Calibri" w:hAnsi="Calibri"/>
          <w:color w:val="282828"/>
          <w:sz w:val="21"/>
          <w:szCs w:val="21"/>
        </w:rPr>
        <w:t xml:space="preserve">Ley N.º 21.719. </w:t>
      </w:r>
      <w:r>
        <w:rPr>
          <w:rFonts w:ascii="Calibri" w:cs="Calibri" w:eastAsia="Calibri" w:hAnsi="Calibri"/>
          <w:i/>
          <w:iCs/>
          <w:color w:val="282828"/>
          <w:sz w:val="21"/>
          <w:szCs w:val="21"/>
        </w:rPr>
        <w:t xml:space="preserve">Regula la protección y el tratamiento de los datos personales y crea la Agencia de Protección de Datos Personales</w:t>
      </w:r>
      <w:r>
        <w:rPr>
          <w:rFonts w:ascii="Calibri" w:cs="Calibri" w:eastAsia="Calibri" w:hAnsi="Calibri"/>
          <w:color w:val="282828"/>
          <w:sz w:val="21"/>
          <w:szCs w:val="21"/>
        </w:rPr>
        <w:t xml:space="preserve">. Diario Oficial de la República de Chile, 13 de diciembre de 2024 (entrada en plena vigencia: 1 de diciembre de 2026). https://www.bcn.cl/leychile/navegar?idNorma=1208650</w:t>
      </w:r>
    </w:p>
    <w:p>
      <w:pPr>
        <w:spacing w:after="140" w:line="300"/>
        <w:ind w:left="480" w:hanging="480"/>
      </w:pPr>
      <w:r>
        <w:rPr>
          <w:rFonts w:ascii="Calibri" w:cs="Calibri" w:eastAsia="Calibri" w:hAnsi="Calibri"/>
          <w:color w:val="282828"/>
          <w:sz w:val="21"/>
          <w:szCs w:val="21"/>
        </w:rPr>
        <w:t xml:space="preserve">Ministerio de Educación de Chile. (2025). </w:t>
      </w:r>
      <w:r>
        <w:rPr>
          <w:rFonts w:ascii="Calibri" w:cs="Calibri" w:eastAsia="Calibri" w:hAnsi="Calibri"/>
          <w:i/>
          <w:iCs/>
          <w:color w:val="282828"/>
          <w:sz w:val="21"/>
          <w:szCs w:val="21"/>
        </w:rPr>
        <w:t xml:space="preserve">PotencIA el aprendizaje: Preguntas para la reflexión y práctica de la Inteligencia Artificial generativa en contextos educativos</w:t>
      </w:r>
      <w:r>
        <w:rPr>
          <w:rFonts w:ascii="Calibri" w:cs="Calibri" w:eastAsia="Calibri" w:hAnsi="Calibri"/>
          <w:color w:val="282828"/>
          <w:sz w:val="21"/>
          <w:szCs w:val="21"/>
        </w:rPr>
        <w:t xml:space="preserve">. Centro de Innovación, Mineduc.</w:t>
      </w:r>
    </w:p>
    <w:p>
      <w:pPr>
        <w:spacing w:after="140" w:line="300"/>
        <w:ind w:left="480" w:hanging="480"/>
      </w:pPr>
      <w:r>
        <w:rPr>
          <w:rFonts w:ascii="Calibri" w:cs="Calibri" w:eastAsia="Calibri" w:hAnsi="Calibri"/>
          <w:color w:val="282828"/>
          <w:sz w:val="21"/>
          <w:szCs w:val="21"/>
        </w:rPr>
        <w:t xml:space="preserve">Ortiz González, E., &amp; Fourt, J. (Eds.). (2025). </w:t>
      </w:r>
      <w:r>
        <w:rPr>
          <w:rFonts w:ascii="Calibri" w:cs="Calibri" w:eastAsia="Calibri" w:hAnsi="Calibri"/>
          <w:i/>
          <w:iCs/>
          <w:color w:val="282828"/>
          <w:sz w:val="21"/>
          <w:szCs w:val="21"/>
        </w:rPr>
        <w:t xml:space="preserve">Transformando el aula con inteligencia artificial: Experiencias de innovación en aula</w:t>
      </w:r>
      <w:r>
        <w:rPr>
          <w:rFonts w:ascii="Calibri" w:cs="Calibri" w:eastAsia="Calibri" w:hAnsi="Calibri"/>
          <w:color w:val="282828"/>
          <w:sz w:val="21"/>
          <w:szCs w:val="21"/>
        </w:rPr>
        <w:t xml:space="preserve">. Departamento Provincial de Educación Cachapoal, Ministerio de Educación.</w:t>
      </w:r>
    </w:p>
    <w:p>
      <w:pPr>
        <w:pStyle w:val="Heading1"/>
        <w:pBdr>
          <w:bottom w:val="single" w:color="1F84EB" w:sz="12" w:space="6"/>
        </w:pBdr>
        <w:spacing w:after="200" w:before="360"/>
      </w:pPr>
      <w:r>
        <w:rPr>
          <w:rFonts w:ascii="Calibri" w:cs="Calibri" w:eastAsia="Calibri" w:hAnsi="Calibri"/>
          <w:b/>
          <w:bCs/>
          <w:color w:val="282828"/>
          <w:sz w:val="32"/>
          <w:szCs w:val="32"/>
        </w:rPr>
        <w:t xml:space="preserve">Bibliografía complementaria</w:t>
      </w:r>
    </w:p>
    <w:p>
      <w:pPr>
        <w:spacing w:after="140" w:line="300"/>
        <w:jc w:val="both"/>
      </w:pPr>
      <w:r>
        <w:rPr>
          <w:rFonts w:ascii="Calibri" w:cs="Calibri" w:eastAsia="Calibri" w:hAnsi="Calibri"/>
          <w:i/>
          <w:iCs/>
          <w:color w:val="5A5A5A"/>
          <w:sz w:val="20"/>
          <w:szCs w:val="20"/>
        </w:rPr>
        <w:t xml:space="preserve">Obras consultadas para la elaboración de este manual que no son citadas de manera directa en el texto, y que amplían los temas tratados.</w:t>
      </w:r>
    </w:p>
    <w:p>
      <w:pPr>
        <w:spacing w:after="140" w:line="300"/>
        <w:ind w:left="480" w:hanging="480"/>
      </w:pPr>
      <w:r>
        <w:rPr>
          <w:rFonts w:ascii="Calibri" w:cs="Calibri" w:eastAsia="Calibri" w:hAnsi="Calibri"/>
          <w:color w:val="282828"/>
          <w:sz w:val="21"/>
          <w:szCs w:val="21"/>
        </w:rPr>
        <w:t xml:space="preserve">Adıgüzel, T., Kaya, M. H., &amp; Bulut, M. A. (2026). La inteligencia artificial y el liderazgo educativo: Un análisis bibliométrico (2004–2024) y revisión de políticas globales. </w:t>
      </w:r>
      <w:r>
        <w:rPr>
          <w:rFonts w:ascii="Calibri" w:cs="Calibri" w:eastAsia="Calibri" w:hAnsi="Calibri"/>
          <w:i/>
          <w:iCs/>
          <w:color w:val="282828"/>
          <w:sz w:val="21"/>
          <w:szCs w:val="21"/>
        </w:rPr>
        <w:t xml:space="preserve">Revista Española de Pedagogía, 84</w:t>
      </w:r>
      <w:r>
        <w:rPr>
          <w:rFonts w:ascii="Calibri" w:cs="Calibri" w:eastAsia="Calibri" w:hAnsi="Calibri"/>
          <w:color w:val="282828"/>
          <w:sz w:val="21"/>
          <w:szCs w:val="21"/>
        </w:rPr>
        <w:t xml:space="preserve">(294), 225–249. https://doi.org/10.9781/rep.2026.6351</w:t>
      </w:r>
    </w:p>
    <w:p>
      <w:pPr>
        <w:spacing w:after="140" w:line="300"/>
        <w:ind w:left="480" w:hanging="480"/>
      </w:pPr>
      <w:r>
        <w:rPr>
          <w:rFonts w:ascii="Calibri" w:cs="Calibri" w:eastAsia="Calibri" w:hAnsi="Calibri"/>
          <w:color w:val="282828"/>
          <w:sz w:val="21"/>
          <w:szCs w:val="21"/>
        </w:rPr>
        <w:t xml:space="preserve">Agencia de Calidad de la Educación. (2023). </w:t>
      </w:r>
      <w:r>
        <w:rPr>
          <w:rFonts w:ascii="Calibri" w:cs="Calibri" w:eastAsia="Calibri" w:hAnsi="Calibri"/>
          <w:i/>
          <w:iCs/>
          <w:color w:val="282828"/>
          <w:sz w:val="21"/>
          <w:szCs w:val="21"/>
        </w:rPr>
        <w:t xml:space="preserve">Definiendo lineamientos pedagógicos para la implementación efectiva del currículum</w:t>
      </w:r>
      <w:r>
        <w:rPr>
          <w:rFonts w:ascii="Calibri" w:cs="Calibri" w:eastAsia="Calibri" w:hAnsi="Calibri"/>
          <w:color w:val="282828"/>
          <w:sz w:val="21"/>
          <w:szCs w:val="21"/>
        </w:rPr>
        <w:t xml:space="preserve"> [Taller para director, equipo técnico-pedagógico y docentes]. Agencia de Calidad de la Educación.</w:t>
      </w:r>
    </w:p>
    <w:p>
      <w:pPr>
        <w:spacing w:after="140" w:line="300"/>
        <w:ind w:left="480" w:hanging="480"/>
      </w:pPr>
      <w:r>
        <w:rPr>
          <w:rFonts w:ascii="Calibri" w:cs="Calibri" w:eastAsia="Calibri" w:hAnsi="Calibri"/>
          <w:color w:val="282828"/>
          <w:sz w:val="21"/>
          <w:szCs w:val="21"/>
        </w:rPr>
        <w:t xml:space="preserve">Ávila Vergara, V., Pájaro Zapardiel, L. D., &amp; Varas Riquelme, M. (2024). </w:t>
      </w:r>
      <w:r>
        <w:rPr>
          <w:rFonts w:ascii="Calibri" w:cs="Calibri" w:eastAsia="Calibri" w:hAnsi="Calibri"/>
          <w:i/>
          <w:iCs/>
          <w:color w:val="282828"/>
          <w:sz w:val="21"/>
          <w:szCs w:val="21"/>
        </w:rPr>
        <w:t xml:space="preserve">Catálogo de prompts</w:t>
      </w:r>
      <w:r>
        <w:rPr>
          <w:rFonts w:ascii="Calibri" w:cs="Calibri" w:eastAsia="Calibri" w:hAnsi="Calibri"/>
          <w:color w:val="282828"/>
          <w:sz w:val="21"/>
          <w:szCs w:val="21"/>
        </w:rPr>
        <w:t xml:space="preserve">. Broward International University.</w:t>
      </w:r>
    </w:p>
    <w:p>
      <w:pPr>
        <w:spacing w:after="140" w:line="300"/>
        <w:ind w:left="480" w:hanging="480"/>
      </w:pPr>
      <w:r>
        <w:rPr>
          <w:rFonts w:ascii="Calibri" w:cs="Calibri" w:eastAsia="Calibri" w:hAnsi="Calibri"/>
          <w:color w:val="282828"/>
          <w:sz w:val="21"/>
          <w:szCs w:val="21"/>
        </w:rPr>
        <w:t xml:space="preserve">Bustamante Bula, R., &amp; Camacho Bonilla, A. (2024). Inteligencia artificial (IA) en las escuelas: una revisión sistemática (2019-2023). </w:t>
      </w:r>
      <w:r>
        <w:rPr>
          <w:rFonts w:ascii="Calibri" w:cs="Calibri" w:eastAsia="Calibri" w:hAnsi="Calibri"/>
          <w:i/>
          <w:iCs/>
          <w:color w:val="282828"/>
          <w:sz w:val="21"/>
          <w:szCs w:val="21"/>
        </w:rPr>
        <w:t xml:space="preserve">Enunciación, 29</w:t>
      </w:r>
      <w:r>
        <w:rPr>
          <w:rFonts w:ascii="Calibri" w:cs="Calibri" w:eastAsia="Calibri" w:hAnsi="Calibri"/>
          <w:color w:val="282828"/>
          <w:sz w:val="21"/>
          <w:szCs w:val="21"/>
        </w:rPr>
        <w:t xml:space="preserve">(1), 62–82. https://doi.org/10.14483/22486798.22039</w:t>
      </w:r>
    </w:p>
    <w:p>
      <w:pPr>
        <w:spacing w:after="140" w:line="300"/>
        <w:ind w:left="480" w:hanging="480"/>
      </w:pPr>
      <w:r>
        <w:rPr>
          <w:rFonts w:ascii="Calibri" w:cs="Calibri" w:eastAsia="Calibri" w:hAnsi="Calibri"/>
          <w:color w:val="282828"/>
          <w:sz w:val="21"/>
          <w:szCs w:val="21"/>
        </w:rPr>
        <w:t xml:space="preserve">CAF – Banco de Desarrollo de América Latina y el Caribe. (2024). </w:t>
      </w:r>
      <w:r>
        <w:rPr>
          <w:rFonts w:ascii="Calibri" w:cs="Calibri" w:eastAsia="Calibri" w:hAnsi="Calibri"/>
          <w:i/>
          <w:iCs/>
          <w:color w:val="282828"/>
          <w:sz w:val="21"/>
          <w:szCs w:val="21"/>
        </w:rPr>
        <w:t xml:space="preserve">Oportunidades de innovación pedagógica con asistencia de inteligencia artificial (IA)</w:t>
      </w:r>
      <w:r>
        <w:rPr>
          <w:rFonts w:ascii="Calibri" w:cs="Calibri" w:eastAsia="Calibri" w:hAnsi="Calibri"/>
          <w:color w:val="282828"/>
          <w:sz w:val="21"/>
          <w:szCs w:val="21"/>
        </w:rPr>
        <w:t xml:space="preserve">. CAF.</w:t>
      </w:r>
    </w:p>
    <w:p>
      <w:pPr>
        <w:spacing w:after="140" w:line="300"/>
        <w:ind w:left="480" w:hanging="480"/>
      </w:pPr>
      <w:r>
        <w:rPr>
          <w:rFonts w:ascii="Calibri" w:cs="Calibri" w:eastAsia="Calibri" w:hAnsi="Calibri"/>
          <w:color w:val="282828"/>
          <w:sz w:val="21"/>
          <w:szCs w:val="21"/>
        </w:rPr>
        <w:t xml:space="preserve"/>
      </w:r>
      <w:r>
        <w:rPr>
          <w:rFonts w:ascii="Calibri" w:cs="Calibri" w:eastAsia="Calibri" w:hAnsi="Calibri"/>
          <w:i/>
          <w:iCs/>
          <w:color w:val="282828"/>
          <w:sz w:val="21"/>
          <w:szCs w:val="21"/>
        </w:rPr>
        <w:t xml:space="preserve">Guía cómo redactar y ajustar prompts efectivos</w:t>
      </w:r>
      <w:r>
        <w:rPr>
          <w:rFonts w:ascii="Calibri" w:cs="Calibri" w:eastAsia="Calibri" w:hAnsi="Calibri"/>
          <w:color w:val="282828"/>
          <w:sz w:val="21"/>
          <w:szCs w:val="21"/>
        </w:rPr>
        <w:t xml:space="preserve">. (s.f.). [Material de formación N.º 9]. Documento de trabajo sin autoría consignada, recibido como parte del material del curso.</w:t>
      </w:r>
    </w:p>
    <w:p>
      <w:pPr>
        <w:spacing w:after="140" w:line="300"/>
        <w:ind w:left="480" w:hanging="480"/>
      </w:pPr>
      <w:r>
        <w:rPr>
          <w:rFonts w:ascii="Calibri" w:cs="Calibri" w:eastAsia="Calibri" w:hAnsi="Calibri"/>
          <w:color w:val="282828"/>
          <w:sz w:val="21"/>
          <w:szCs w:val="21"/>
        </w:rPr>
        <w:t xml:space="preserve">Ley N.º 21.040. </w:t>
      </w:r>
      <w:r>
        <w:rPr>
          <w:rFonts w:ascii="Calibri" w:cs="Calibri" w:eastAsia="Calibri" w:hAnsi="Calibri"/>
          <w:i/>
          <w:iCs/>
          <w:color w:val="282828"/>
          <w:sz w:val="21"/>
          <w:szCs w:val="21"/>
        </w:rPr>
        <w:t xml:space="preserve">Crea el Sistema de Educación Pública</w:t>
      </w:r>
      <w:r>
        <w:rPr>
          <w:rFonts w:ascii="Calibri" w:cs="Calibri" w:eastAsia="Calibri" w:hAnsi="Calibri"/>
          <w:color w:val="282828"/>
          <w:sz w:val="21"/>
          <w:szCs w:val="21"/>
        </w:rPr>
        <w:t xml:space="preserve">. Diario Oficial de la República de Chile, 24 de noviembre de 2017. https://www.bcn.cl/leychile/navegar?idNorma=1111237</w:t>
      </w:r>
    </w:p>
    <w:p>
      <w:pPr>
        <w:spacing w:after="140" w:line="300"/>
        <w:ind w:left="480" w:hanging="480"/>
      </w:pPr>
      <w:r>
        <w:rPr>
          <w:rFonts w:ascii="Calibri" w:cs="Calibri" w:eastAsia="Calibri" w:hAnsi="Calibri"/>
          <w:color w:val="282828"/>
          <w:sz w:val="21"/>
          <w:szCs w:val="21"/>
        </w:rPr>
        <w:t xml:space="preserve">Ministerio de Ciencia, Tecnología, Conocimiento e Innovación. (2021). </w:t>
      </w:r>
      <w:r>
        <w:rPr>
          <w:rFonts w:ascii="Calibri" w:cs="Calibri" w:eastAsia="Calibri" w:hAnsi="Calibri"/>
          <w:i/>
          <w:iCs/>
          <w:color w:val="282828"/>
          <w:sz w:val="21"/>
          <w:szCs w:val="21"/>
        </w:rPr>
        <w:t xml:space="preserve">Política Nacional de Inteligencia Artificial</w:t>
      </w:r>
      <w:r>
        <w:rPr>
          <w:rFonts w:ascii="Calibri" w:cs="Calibri" w:eastAsia="Calibri" w:hAnsi="Calibri"/>
          <w:color w:val="282828"/>
          <w:sz w:val="21"/>
          <w:szCs w:val="21"/>
        </w:rPr>
        <w:t xml:space="preserve">. Gobierno de Chile.</w:t>
      </w:r>
    </w:p>
    <w:p>
      <w:pPr>
        <w:spacing w:after="140" w:line="300"/>
        <w:ind w:left="480" w:hanging="480"/>
      </w:pPr>
      <w:r>
        <w:rPr>
          <w:rFonts w:ascii="Calibri" w:cs="Calibri" w:eastAsia="Calibri" w:hAnsi="Calibri"/>
          <w:color w:val="282828"/>
          <w:sz w:val="21"/>
          <w:szCs w:val="21"/>
        </w:rPr>
        <w:t xml:space="preserve">Ministerio de Educación de Chile. (2023). </w:t>
      </w:r>
      <w:r>
        <w:rPr>
          <w:rFonts w:ascii="Calibri" w:cs="Calibri" w:eastAsia="Calibri" w:hAnsi="Calibri"/>
          <w:i/>
          <w:iCs/>
          <w:color w:val="282828"/>
          <w:sz w:val="21"/>
          <w:szCs w:val="21"/>
        </w:rPr>
        <w:t xml:space="preserve">Guía para docentes: Cómo usar ChatGPT para potenciar el aprendizaje activo</w:t>
      </w:r>
      <w:r>
        <w:rPr>
          <w:rFonts w:ascii="Calibri" w:cs="Calibri" w:eastAsia="Calibri" w:hAnsi="Calibri"/>
          <w:color w:val="282828"/>
          <w:sz w:val="21"/>
          <w:szCs w:val="21"/>
        </w:rPr>
        <w:t xml:space="preserve">. Centro de Innovación, Mineduc.</w:t>
      </w:r>
    </w:p>
    <w:p>
      <w:pPr>
        <w:spacing w:after="140" w:line="300"/>
        <w:ind w:left="480" w:hanging="480"/>
      </w:pPr>
      <w:r>
        <w:rPr>
          <w:rFonts w:ascii="Calibri" w:cs="Calibri" w:eastAsia="Calibri" w:hAnsi="Calibri"/>
          <w:color w:val="282828"/>
          <w:sz w:val="21"/>
          <w:szCs w:val="21"/>
        </w:rPr>
        <w:t xml:space="preserve">Secretaría de Gobierno Digital. (s.f.). </w:t>
      </w:r>
      <w:r>
        <w:rPr>
          <w:rFonts w:ascii="Calibri" w:cs="Calibri" w:eastAsia="Calibri" w:hAnsi="Calibri"/>
          <w:i/>
          <w:iCs/>
          <w:color w:val="282828"/>
          <w:sz w:val="21"/>
          <w:szCs w:val="21"/>
        </w:rPr>
        <w:t xml:space="preserve">Guía práctica para facilitar la implementación de la nueva Ley de Protección de Datos Personales en la Administración</w:t>
      </w:r>
      <w:r>
        <w:rPr>
          <w:rFonts w:ascii="Calibri" w:cs="Calibri" w:eastAsia="Calibri" w:hAnsi="Calibri"/>
          <w:color w:val="282828"/>
          <w:sz w:val="21"/>
          <w:szCs w:val="21"/>
        </w:rPr>
        <w:t xml:space="preserve">. Ministerio de Hacienda, Gobierno de Chile. https://wikiguias.digital.gob.cl/datos-personales/guia-practica-implementacion-nueva-ley-datos-personales</w:t>
      </w:r>
    </w:p>
    <w:p>
      <w:pPr>
        <w:spacing w:after="140" w:line="300"/>
        <w:ind w:left="480" w:hanging="480"/>
      </w:pPr>
      <w:r>
        <w:rPr>
          <w:rFonts w:ascii="Calibri" w:cs="Calibri" w:eastAsia="Calibri" w:hAnsi="Calibri"/>
          <w:color w:val="282828"/>
          <w:sz w:val="21"/>
          <w:szCs w:val="21"/>
        </w:rPr>
        <w:t xml:space="preserve">UNESCO. (2023). </w:t>
      </w:r>
      <w:r>
        <w:rPr>
          <w:rFonts w:ascii="Calibri" w:cs="Calibri" w:eastAsia="Calibri" w:hAnsi="Calibri"/>
          <w:i/>
          <w:iCs/>
          <w:color w:val="282828"/>
          <w:sz w:val="21"/>
          <w:szCs w:val="21"/>
        </w:rPr>
        <w:t xml:space="preserve">Guidance for generative AI in education and research</w:t>
      </w:r>
      <w:r>
        <w:rPr>
          <w:rFonts w:ascii="Calibri" w:cs="Calibri" w:eastAsia="Calibri" w:hAnsi="Calibri"/>
          <w:color w:val="282828"/>
          <w:sz w:val="21"/>
          <w:szCs w:val="21"/>
        </w:rPr>
        <w:t xml:space="preserve">. UNESCO. https://unesdoc.unesco.org/ark:/48223/pf0000392040</w:t>
      </w:r>
    </w:p>
    <w:p>
      <w:pPr>
        <w:spacing w:after="140" w:line="300"/>
        <w:ind w:left="480" w:hanging="480"/>
      </w:pPr>
      <w:r>
        <w:rPr>
          <w:rFonts w:ascii="Calibri" w:cs="Calibri" w:eastAsia="Calibri" w:hAnsi="Calibri"/>
          <w:color w:val="282828"/>
          <w:sz w:val="21"/>
          <w:szCs w:val="21"/>
        </w:rPr>
        <w:t xml:space="preserve">UNITEC. (2024). </w:t>
      </w:r>
      <w:r>
        <w:rPr>
          <w:rFonts w:ascii="Calibri" w:cs="Calibri" w:eastAsia="Calibri" w:hAnsi="Calibri"/>
          <w:i/>
          <w:iCs/>
          <w:color w:val="282828"/>
          <w:sz w:val="21"/>
          <w:szCs w:val="21"/>
        </w:rPr>
        <w:t xml:space="preserve">200+1 prompts para educación: Guía para docentes innovadores</w:t>
      </w:r>
      <w:r>
        <w:rPr>
          <w:rFonts w:ascii="Calibri" w:cs="Calibri" w:eastAsia="Calibri" w:hAnsi="Calibri"/>
          <w:color w:val="282828"/>
          <w:sz w:val="21"/>
          <w:szCs w:val="21"/>
        </w:rPr>
        <w:t xml:space="preserve">. Universidad Tecnológica Centroamericana.</w:t>
      </w:r>
    </w:p>
    <w:p>
      <w:pPr>
        <w:spacing w:after="140" w:line="300"/>
        <w:ind w:left="480" w:hanging="480"/>
      </w:pPr>
      <w:r>
        <w:rPr>
          <w:rFonts w:ascii="Calibri" w:cs="Calibri" w:eastAsia="Calibri" w:hAnsi="Calibri"/>
          <w:color w:val="282828"/>
          <w:sz w:val="21"/>
          <w:szCs w:val="21"/>
        </w:rPr>
        <w:t xml:space="preserve"/>
      </w:r>
      <w:r>
        <w:rPr>
          <w:rFonts w:ascii="Calibri" w:cs="Calibri" w:eastAsia="Calibri" w:hAnsi="Calibri"/>
          <w:i/>
          <w:iCs/>
          <w:color w:val="282828"/>
          <w:sz w:val="21"/>
          <w:szCs w:val="21"/>
        </w:rPr>
        <w:t xml:space="preserve">Uso ético de la inteligencia artificial: Principios y criterios para directivos escolares</w:t>
      </w:r>
      <w:r>
        <w:rPr>
          <w:rFonts w:ascii="Calibri" w:cs="Calibri" w:eastAsia="Calibri" w:hAnsi="Calibri"/>
          <w:color w:val="282828"/>
          <w:sz w:val="21"/>
          <w:szCs w:val="21"/>
        </w:rPr>
        <w:t xml:space="preserve">. (s.f.). [Material de formación N.º 2]. Documento de trabajo sin autoría consignada, recibido como parte del material del curso.</w:t>
      </w:r>
    </w:p>
    <w:sectPr>
      <w:headerReference w:type="default" r:id="rId7"/>
      <w:headerReference w:type="first" r:id="rId8"/>
      <w:footerReference w:type="default" r:id="rId9"/>
      <w:footerReference w:type="first" r:id="rId10"/>
      <w:pgSz w:w="11906" w:h="16838" w:orient="portrait"/>
      <w:pgMar w:top="1080" w:right="1440" w:bottom="1080" w:left="1440"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8"/>
        <w:szCs w:val="18"/>
      </w:rPr>
      <w:t xml:space="preserve"/>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F3" w:sz="6" w:space="4"/>
      </w:pBdr>
      <w:spacing w:after="60"/>
    </w:pPr>
    <w:r>
      <w:rPr>
        <w:rFonts w:ascii="Calibri" w:cs="Calibri" w:eastAsia="Calibri" w:hAnsi="Calibri"/>
        <w:color w:val="5A5A5A"/>
        <w:sz w:val="17"/>
        <w:szCs w:val="17"/>
      </w:rPr>
      <w:t xml:space="preserve">SLEP Andalién Sur  ·  Manual 3. Herramientas de IA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rPr>
        <w:color w:val="1F84EB"/>
      </w:rPr>
    </w:lvl>
    <w:lvl w:ilvl="1" w15:tentative="1">
      <w:start w:val="1"/>
      <w:numFmt w:val="bullet"/>
      <w:lvlText w:val="–"/>
      <w:lvlJc w:val="left"/>
      <w:pPr>
        <w:ind w:left="840" w:hanging="220"/>
      </w:pPr>
      <w:rPr>
        <w:color w:val="5A5A5A"/>
      </w:rPr>
    </w:lvl>
  </w:abstractNum>
  <w:abstractNum w:abstractNumId="3" w15:restartNumberingAfterBreak="0">
    <w:multiLevelType w:val="hybridMultilevel"/>
    <w:lvl w:ilvl="0" w15:tentative="1">
      <w:start w:val="1"/>
      <w:numFmt w:val="decimal"/>
      <w:lvlText w:val="%1."/>
      <w:lvlJc w:val="left"/>
      <w:pPr>
        <w:ind w:left="460" w:hanging="260"/>
      </w:pPr>
      <w:rPr>
        <w:b/>
        <w:bCs/>
        <w:color w:val="1F84E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828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282828"/>
      <w:sz w:val="32"/>
      <w:szCs w:val="32"/>
    </w:rPr>
  </w:style>
  <w:style w:type="paragraph" w:styleId="Heading2">
    <w:name w:val="Heading 2"/>
    <w:basedOn w:val="Normal"/>
    <w:next w:val="Normal"/>
    <w:qFormat/>
    <w:rPr>
      <w:rFonts w:ascii="Calibri" w:cs="Calibri" w:eastAsia="Calibri" w:hAnsi="Calibri"/>
      <w:b/>
      <w:bCs/>
      <w:color w:val="1F84EB"/>
      <w:sz w:val="26"/>
      <w:szCs w:val="26"/>
    </w:rPr>
  </w:style>
  <w:style w:type="paragraph" w:styleId="Heading3">
    <w:name w:val="Heading 3"/>
    <w:basedOn w:val="Normal"/>
    <w:next w:val="Normal"/>
    <w:qFormat/>
    <w:rPr>
      <w:rFonts w:ascii="Calibri" w:cs="Calibri" w:eastAsia="Calibri" w:hAnsi="Calibri"/>
      <w:b/>
      <w:bCs/>
      <w:color w:val="28282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b1801139c5e6c063a2b61058ac66ac4b79ddb049.png"/><Relationship Id="rId12" Type="http://schemas.openxmlformats.org/officeDocument/2006/relationships/image" Target="media/940a5a7bceaf9bf6003f9afa104a05867618686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3. Herramientas de inteligencia artificial y sus usos en el contexto escolar chileno</dc:title>
  <dc:creator>SLEP Andalién Sur</dc:creator>
  <dc:description>Seis familias de herramientas, criterios para evaluarlas y aplicaciones concretas en establecimientos del territorio</dc:description>
  <cp:lastModifiedBy>Un-named</cp:lastModifiedBy>
  <cp:revision>1</cp:revision>
  <dcterms:created xsi:type="dcterms:W3CDTF">2026-10-14T15:35:13.509Z</dcterms:created>
  <dcterms:modified xsi:type="dcterms:W3CDTF">2026-10-14T15:35:13.509Z</dcterms:modified>
</cp:coreProperties>
</file>

<file path=docProps/custom.xml><?xml version="1.0" encoding="utf-8"?>
<Properties xmlns="http://schemas.openxmlformats.org/officeDocument/2006/custom-properties" xmlns:vt="http://schemas.openxmlformats.org/officeDocument/2006/docPropsVTypes"/>
</file>