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body>
    <w:p>
      <w:pPr>
        <w:pStyle w:val="Title"/>
      </w:pPr>
      <w:r>
        <w:t xml:space="preserve">Rapport technique</w:t>
      </w:r>
    </w:p>
    <w:p>
      <w:pPr>
        <w:pStyle w:val="Heading1"/>
      </w:pPr>
      <w:r>
        <w:t xml:space="preserve">Table des matières</w:t>
      </w:r>
    </w:p>
    <w:p>
      <w:pPr>
        <w:pStyle w:val="TOC1"/>
      </w:pPr>
      <w:r>
        <w:fldChar w:fldCharType="begin"/>
      </w:r>
      <w:r>
        <w:instrText xml:space="preserve"> TOC \o "1-2" </w:instrText>
      </w:r>
      <w:r>
        <w:fldChar w:fldCharType="separate"/>
      </w:r>
      <w:r>
        <w:t>1. Contexte ........ 2</w:t>
      </w:r>
    </w:p>
    <w:p>
      <w:pPr>
        <w:pStyle w:val="TOC1"/>
      </w:pPr>
      <w:r>
        <w:t>2. Méthode ........ 3</w:t>
      </w:r>
      <w:r>
        <w:fldChar w:fldCharType="end"/>
      </w:r>
    </w:p>
    <w:p>
      <w:pPr>
        <w:pStyle w:val="Heading1"/>
      </w:pPr>
      <w:r>
        <w:t xml:space="preserve">Contexte</w:t>
      </w:r>
    </w:p>
    <w:p>
      <w:r>
        <w:t xml:space="preserve">Le contexte décrit les enjeux de la mesure.</w:t>
      </w:r>
    </w:p>
    <w:p>
      <w:hyperlink w:anchor="methode">
        <w:r>
          <w:rPr>
            <w:rStyle w:val="Hyperlink"/>
          </w:rPr>
          <w:t>Voir la section Méthode</w:t>
        </w:r>
      </w:hyperlink>
    </w:p>
    <w:sdt>
      <w:sdtPr>
        <w:alias w:val="Valeur"/>
        <w:tag w:val="valeur"/>
      </w:sdtPr>
      <w:sdtContent>
        <w:p>
          <w:r>
            <w:t>Valeur saisie : 42 unités</w:t>
          </w:r>
        </w:p>
      </w:sdtContent>
    </w:sdt>
    <w:p>
      <w:pPr>
        <w:pStyle w:val="Heading1"/>
      </w:pPr>
      <w:bookmarkStart w:id="9" w:name="methode"/>
      <w:r>
        <w:t>Méthode</w:t>
      </w:r>
      <w:bookmarkEnd w:id="9"/>
    </w:p>
    <w:p>
      <w:r>
        <w:t xml:space="preserve">La solution de l'équation quadratique est donnée par :</w:t>
      </w:r>
    </w:p>
    <w:p>
      <m:oMathPara>
        <m:oMath>
          <m:r>
            <m:t>x=</m:t>
          </m:r>
          <m:f>
            <m:num>
              <m:r>
                <m:t>-b±√(b²-4ac)</m:t>
              </m:r>
            </m:num>
            <m:den>
              <m:r>
                <m:t>2a</m:t>
              </m:r>
            </m:den>
          </m:f>
        </m:oMath>
      </m:oMathPara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abstractNum w:abstractNumId="0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</w:abstractNum>
  <w:abstractNum w:abstractNumId="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48"/>
    </w:rPr>
  </w:style>
  <w:style w:type="paragraph" w:styleId="Heading1">
    <w:name w:val="heading 1"/>
    <w:basedOn w:val="Normal"/>
    <w:pPr>
      <w:keepNext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outlineLvl w:val="2"/>
    </w:pPr>
    <w:rPr>
      <w:b/>
      <w:sz w:val="26"/>
    </w:rPr>
  </w:style>
  <w:style w:type="paragraph" w:styleId="ListParagraph">
    <w:name w:val="List Paragraph"/>
    <w:basedOn w:val="Normal"/>
  </w:style>
  <w:style w:type="paragraph" w:styleId="TOC1">
    <w:name w:val="toc 1"/>
    <w:basedOn w:val="Normal"/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/Relationships>
</file>