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2595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SAO PAULO TRANSPORTE S 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60498417000158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R$ 938,34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R$ 26,40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R$ 168,42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R$ 1133,16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