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2b)</w:t>
      </w:r>
    </w:p>
    <w:p w:rsidR="00000000" w:rsidDel="00000000" w:rsidP="00000000" w:rsidRDefault="00000000" w:rsidRPr="00000000" w14:paraId="00000002">
      <w:pPr>
        <w:rPr/>
      </w:pPr>
      <w:r w:rsidDel="00000000" w:rsidR="00000000" w:rsidRPr="00000000">
        <w:rPr/>
        <w:drawing>
          <wp:inline distB="114300" distT="114300" distL="114300" distR="114300">
            <wp:extent cx="5562600" cy="40957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5626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pPr>
      <w:r w:rsidDel="00000000" w:rsidR="00000000" w:rsidRPr="00000000">
        <w:rPr>
          <w:rtl w:val="0"/>
        </w:rPr>
        <w:t xml:space="preserve">Blast realiza búsquedas a partir del archivo fasta entregado, buscando coincidencias con otras especies. Para buscar similitudes trabaja con segmentos de las secuencias, no las utiliza de manera completa porque sería mucho más difícil poder encontrarlas.</w:t>
      </w:r>
    </w:p>
    <w:p w:rsidR="00000000" w:rsidDel="00000000" w:rsidP="00000000" w:rsidRDefault="00000000" w:rsidRPr="00000000" w14:paraId="00000005">
      <w:pPr>
        <w:spacing w:line="276" w:lineRule="auto"/>
        <w:jc w:val="both"/>
        <w:rPr/>
      </w:pPr>
      <w:r w:rsidDel="00000000" w:rsidR="00000000" w:rsidRPr="00000000">
        <w:rPr>
          <w:rtl w:val="0"/>
        </w:rPr>
        <w:t xml:space="preserve">Los valores estadísticos son los siguientes: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5"/>
        </w:numPr>
        <w:spacing w:line="276" w:lineRule="auto"/>
        <w:ind w:left="720" w:hanging="360"/>
        <w:jc w:val="both"/>
        <w:rPr/>
      </w:pPr>
      <w:r w:rsidDel="00000000" w:rsidR="00000000" w:rsidRPr="00000000">
        <w:rPr>
          <w:i w:val="1"/>
          <w:rtl w:val="0"/>
        </w:rPr>
        <w:t xml:space="preserve">Score</w:t>
      </w:r>
      <w:r w:rsidDel="00000000" w:rsidR="00000000" w:rsidRPr="00000000">
        <w:rPr>
          <w:rtl w:val="0"/>
        </w:rPr>
        <w:t xml:space="preserve">: es un puntaje calculado a partir de las coincidencias encontradas en la secuencia y penalizadas por los huecos.</w:t>
      </w:r>
    </w:p>
    <w:p w:rsidR="00000000" w:rsidDel="00000000" w:rsidP="00000000" w:rsidRDefault="00000000" w:rsidRPr="00000000" w14:paraId="00000008">
      <w:pPr>
        <w:numPr>
          <w:ilvl w:val="0"/>
          <w:numId w:val="5"/>
        </w:numPr>
        <w:spacing w:line="276" w:lineRule="auto"/>
        <w:ind w:left="720" w:hanging="360"/>
        <w:jc w:val="both"/>
        <w:rPr/>
      </w:pPr>
      <w:r w:rsidDel="00000000" w:rsidR="00000000" w:rsidRPr="00000000">
        <w:rPr>
          <w:i w:val="1"/>
          <w:rtl w:val="0"/>
        </w:rPr>
        <w:t xml:space="preserve">Expect (o E-value)</w:t>
      </w:r>
      <w:r w:rsidDel="00000000" w:rsidR="00000000" w:rsidRPr="00000000">
        <w:rPr>
          <w:rtl w:val="0"/>
        </w:rPr>
        <w:t xml:space="preserve">: es el número de alineaciones correctas esperadas a ser encontradas por azar, es decir, que cuanto menor sea el valor, menor será la posibilidad de que la secuencia haya sido correctamente alineada por azar, y por ende tendrá más chances de ser la secuencia correcta.</w:t>
      </w:r>
    </w:p>
    <w:p w:rsidR="00000000" w:rsidDel="00000000" w:rsidP="00000000" w:rsidRDefault="00000000" w:rsidRPr="00000000" w14:paraId="00000009">
      <w:pPr>
        <w:numPr>
          <w:ilvl w:val="0"/>
          <w:numId w:val="5"/>
        </w:numPr>
        <w:spacing w:line="276" w:lineRule="auto"/>
        <w:ind w:left="720" w:hanging="360"/>
        <w:jc w:val="both"/>
        <w:rPr/>
      </w:pPr>
      <w:r w:rsidDel="00000000" w:rsidR="00000000" w:rsidRPr="00000000">
        <w:rPr>
          <w:i w:val="1"/>
          <w:rtl w:val="0"/>
        </w:rPr>
        <w:t xml:space="preserve">Identities</w:t>
      </w:r>
      <w:r w:rsidDel="00000000" w:rsidR="00000000" w:rsidRPr="00000000">
        <w:rPr>
          <w:rtl w:val="0"/>
        </w:rPr>
        <w:t xml:space="preserve">: es el mayor número de coincidencias obtenidas para un conjunto de secuencias alineadas, en el ejemplo, de una secuencia de 233 elementos de longitud, se obtuvo coincidencias en 303 elementos.</w:t>
      </w:r>
    </w:p>
    <w:p w:rsidR="00000000" w:rsidDel="00000000" w:rsidP="00000000" w:rsidRDefault="00000000" w:rsidRPr="00000000" w14:paraId="0000000A">
      <w:pPr>
        <w:numPr>
          <w:ilvl w:val="0"/>
          <w:numId w:val="5"/>
        </w:numPr>
        <w:spacing w:line="276" w:lineRule="auto"/>
        <w:ind w:left="720" w:hanging="360"/>
        <w:jc w:val="both"/>
        <w:rPr/>
      </w:pPr>
      <w:r w:rsidDel="00000000" w:rsidR="00000000" w:rsidRPr="00000000">
        <w:rPr>
          <w:i w:val="1"/>
          <w:rtl w:val="0"/>
        </w:rPr>
        <w:t xml:space="preserve">Positives</w:t>
      </w:r>
      <w:r w:rsidDel="00000000" w:rsidR="00000000" w:rsidRPr="00000000">
        <w:rPr>
          <w:rtl w:val="0"/>
        </w:rPr>
        <w:t xml:space="preserve">: este número representa la cantidad de aminoácidos que son exactamente iguales o funcionalmente similares.</w:t>
      </w:r>
    </w:p>
    <w:p w:rsidR="00000000" w:rsidDel="00000000" w:rsidP="00000000" w:rsidRDefault="00000000" w:rsidRPr="00000000" w14:paraId="0000000B">
      <w:pPr>
        <w:numPr>
          <w:ilvl w:val="0"/>
          <w:numId w:val="5"/>
        </w:numPr>
        <w:spacing w:line="276" w:lineRule="auto"/>
        <w:ind w:left="720" w:hanging="360"/>
        <w:jc w:val="both"/>
        <w:rPr/>
      </w:pPr>
      <w:r w:rsidDel="00000000" w:rsidR="00000000" w:rsidRPr="00000000">
        <w:rPr>
          <w:i w:val="1"/>
          <w:rtl w:val="0"/>
        </w:rPr>
        <w:t xml:space="preserve">Gaps</w:t>
      </w:r>
      <w:r w:rsidDel="00000000" w:rsidR="00000000" w:rsidRPr="00000000">
        <w:rPr>
          <w:rtl w:val="0"/>
        </w:rPr>
        <w:t xml:space="preserve">: </w:t>
      </w:r>
      <w:r w:rsidDel="00000000" w:rsidR="00000000" w:rsidRPr="00000000">
        <w:rPr>
          <w:sz w:val="22.00846290588379"/>
          <w:szCs w:val="22.00846290588379"/>
          <w:rtl w:val="0"/>
        </w:rPr>
        <w:t xml:space="preserve">Es el porcentaje de huecos que se produjeron al hacer el alineamiento de secuencias</w:t>
      </w:r>
    </w:p>
    <w:p w:rsidR="00000000" w:rsidDel="00000000" w:rsidP="00000000" w:rsidRDefault="00000000" w:rsidRPr="00000000" w14:paraId="0000000C">
      <w:pPr>
        <w:spacing w:line="276" w:lineRule="auto"/>
        <w:jc w:val="both"/>
        <w:rPr>
          <w:sz w:val="22.00846290588379"/>
          <w:szCs w:val="22.00846290588379"/>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drawing>
          <wp:inline distB="114300" distT="114300" distL="114300" distR="114300">
            <wp:extent cx="5581650" cy="142875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5816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jc w:val="both"/>
        <w:rPr/>
      </w:pPr>
      <w:r w:rsidDel="00000000" w:rsidR="00000000" w:rsidRPr="00000000">
        <w:rPr>
          <w:rtl w:val="0"/>
        </w:rPr>
        <w:t xml:space="preserve">A la izquierda de cada fragmento de secuencia se encuentra el orden que posee el primer elemento del fragmento de secuencia en la secuencia original de la cual proviene, mientras que a la derecha se puede ver la posición del último elemento del fragmento de secuencia en la secuencia original que la contiene. </w:t>
      </w:r>
    </w:p>
    <w:p w:rsidR="00000000" w:rsidDel="00000000" w:rsidP="00000000" w:rsidRDefault="00000000" w:rsidRPr="00000000" w14:paraId="0000000F">
      <w:pPr>
        <w:spacing w:line="276" w:lineRule="auto"/>
        <w:jc w:val="both"/>
        <w:rPr/>
      </w:pPr>
      <w:r w:rsidDel="00000000" w:rsidR="00000000" w:rsidRPr="00000000">
        <w:rPr>
          <w:i w:val="1"/>
          <w:rtl w:val="0"/>
        </w:rPr>
        <w:t xml:space="preserve">Query</w:t>
      </w:r>
      <w:r w:rsidDel="00000000" w:rsidR="00000000" w:rsidRPr="00000000">
        <w:rPr>
          <w:rtl w:val="0"/>
        </w:rPr>
        <w:t xml:space="preserve"> corresponde a la secuencia por la que se realizó la consulta, mientras que </w:t>
      </w:r>
      <w:r w:rsidDel="00000000" w:rsidR="00000000" w:rsidRPr="00000000">
        <w:rPr>
          <w:i w:val="1"/>
          <w:rtl w:val="0"/>
        </w:rPr>
        <w:t xml:space="preserve">Sbjct</w:t>
      </w:r>
      <w:r w:rsidDel="00000000" w:rsidR="00000000" w:rsidRPr="00000000">
        <w:rPr>
          <w:rtl w:val="0"/>
        </w:rPr>
        <w:t xml:space="preserve"> es la secuencia encontrada en la búsqueda. En la línea del medio pueden observarse los elementos que coinciden entre ambos fragmentos de secuencias: si son iguales entonces se escribe el elemento que tienen en común, si no lo son, ese espacio queda en blanco. En el caso de la comparación de proteínas, el signo más (+) indica que los aminoácidos no son exactamente iguales, pero sí funcionalmente equivalentes.</w:t>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sz w:val="24"/>
          <w:szCs w:val="24"/>
        </w:rPr>
      </w:pP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76"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16">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Este gen es miembro de la familia de proteínas AMPK (AMP-activated protein kinase). Las mutaciones en este gen se han asociado con el síndrome de Wolff-Parkinson-White, que es una afección en la cual existe una vía eléctrica adicional del corazón que lleva a períodos de frecuencia cardíaca rápida (taquicardia)</w:t>
        <w:br w:type="textWrapping"/>
        <w:t xml:space="preserve">Seleccionamos este gen dado que recientemente LaMarcus Aldridge, ex-jugador de la NBA, fue diagnosticado con la condición y fue forzado a retirarse de la práctica competitiva de alto rendimiento.</w:t>
      </w:r>
    </w:p>
    <w:p w:rsidR="00000000" w:rsidDel="00000000" w:rsidP="00000000" w:rsidRDefault="00000000" w:rsidRPr="00000000" w14:paraId="00000017">
      <w:pPr>
        <w:spacing w:line="276" w:lineRule="auto"/>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ab/>
        <w:t xml:space="preserve">Fuente: </w:t>
      </w:r>
      <w:hyperlink r:id="rId8">
        <w:r w:rsidDel="00000000" w:rsidR="00000000" w:rsidRPr="00000000">
          <w:rPr>
            <w:color w:val="1155cc"/>
            <w:sz w:val="24"/>
            <w:szCs w:val="24"/>
            <w:u w:val="single"/>
            <w:rtl w:val="0"/>
          </w:rPr>
          <w:t xml:space="preserve">https://www.ncbi.nlm.nih.gov/gene/51422</w:t>
        </w:r>
      </w:hyperlink>
      <w:r w:rsidDel="00000000" w:rsidR="00000000" w:rsidRPr="00000000">
        <w:rPr>
          <w:rtl w:val="0"/>
        </w:rPr>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ab/>
        <w:tab/>
        <w:t xml:space="preserve">  </w:t>
      </w:r>
      <w:hyperlink r:id="rId9">
        <w:r w:rsidDel="00000000" w:rsidR="00000000" w:rsidRPr="00000000">
          <w:rPr>
            <w:color w:val="1155cc"/>
            <w:sz w:val="24"/>
            <w:szCs w:val="24"/>
            <w:u w:val="single"/>
            <w:rtl w:val="0"/>
          </w:rPr>
          <w:t xml:space="preserve">https://medlineplus.gov/spanish/ency/article/000151.htm</w:t>
        </w:r>
      </w:hyperlink>
      <w:r w:rsidDel="00000000" w:rsidR="00000000" w:rsidRPr="00000000">
        <w:rPr>
          <w:rtl w:val="0"/>
        </w:rPr>
      </w:r>
    </w:p>
    <w:p w:rsidR="00000000" w:rsidDel="00000000" w:rsidP="00000000" w:rsidRDefault="00000000" w:rsidRPr="00000000" w14:paraId="0000001A">
      <w:pPr>
        <w:spacing w:line="276" w:lineRule="auto"/>
        <w:jc w:val="both"/>
        <w:rPr>
          <w:sz w:val="24"/>
          <w:szCs w:val="24"/>
        </w:rPr>
      </w:pPr>
      <w:r w:rsidDel="00000000" w:rsidR="00000000" w:rsidRPr="00000000">
        <w:rPr>
          <w:sz w:val="24"/>
          <w:szCs w:val="24"/>
          <w:rtl w:val="0"/>
        </w:rPr>
        <w:tab/>
        <w:tab/>
        <w:t xml:space="preserve">  </w:t>
      </w:r>
      <w:hyperlink r:id="rId10">
        <w:r w:rsidDel="00000000" w:rsidR="00000000" w:rsidRPr="00000000">
          <w:rPr>
            <w:color w:val="1155cc"/>
            <w:sz w:val="24"/>
            <w:szCs w:val="24"/>
            <w:u w:val="single"/>
            <w:rtl w:val="0"/>
          </w:rPr>
          <w:t xml:space="preserve">https://www.gigantes.com/nba/lamarcus-aldridge-retirada/</w:t>
        </w:r>
      </w:hyperlink>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En la base de datos en Ensembl, se pueden apreciar 287 genes ortólogos hallados en diversas especies del reino animal, las cuales se agrupan, según las categorías mostradas en la página, en las siguientes: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Primates</w:t>
      </w:r>
      <w:r w:rsidDel="00000000" w:rsidR="00000000" w:rsidRPr="00000000">
        <w:rPr>
          <w:rtl w:val="0"/>
        </w:rPr>
        <w:t xml:space="preserve">: humanos y sus parientes cercanos</w:t>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Roedores y especies similares</w:t>
      </w:r>
      <w:r w:rsidDel="00000000" w:rsidR="00000000" w:rsidRPr="00000000">
        <w:rPr>
          <w:rtl w:val="0"/>
        </w:rPr>
        <w:t xml:space="preserve">: roedores, lagomorfos (caso ejemplar: conejo) y escandentios (caso ejemplar: tupaya o musaraña)</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Laurasiatheria</w:t>
      </w:r>
      <w:r w:rsidDel="00000000" w:rsidR="00000000" w:rsidRPr="00000000">
        <w:rPr>
          <w:rtl w:val="0"/>
        </w:rPr>
        <w:t xml:space="preserve">: mamíferos placentarios originados en una antigua masa continental llamada Laurasia</w:t>
      </w:r>
    </w:p>
    <w:p w:rsidR="00000000" w:rsidDel="00000000" w:rsidP="00000000" w:rsidRDefault="00000000" w:rsidRPr="00000000" w14:paraId="00000021">
      <w:pPr>
        <w:numPr>
          <w:ilvl w:val="0"/>
          <w:numId w:val="1"/>
        </w:numPr>
        <w:ind w:left="720" w:hanging="360"/>
      </w:pPr>
      <w:r w:rsidDel="00000000" w:rsidR="00000000" w:rsidRPr="00000000">
        <w:rPr>
          <w:b w:val="1"/>
          <w:rtl w:val="0"/>
        </w:rPr>
        <w:t xml:space="preserve">Mamíferos placentarios: </w:t>
      </w:r>
      <w:r w:rsidDel="00000000" w:rsidR="00000000" w:rsidRPr="00000000">
        <w:rPr>
          <w:rtl w:val="0"/>
        </w:rPr>
        <w:t xml:space="preserve">diversas especies</w:t>
      </w:r>
    </w:p>
    <w:p w:rsidR="00000000" w:rsidDel="00000000" w:rsidP="00000000" w:rsidRDefault="00000000" w:rsidRPr="00000000" w14:paraId="00000022">
      <w:pPr>
        <w:numPr>
          <w:ilvl w:val="0"/>
          <w:numId w:val="1"/>
        </w:numPr>
        <w:ind w:left="720" w:hanging="360"/>
      </w:pPr>
      <w:r w:rsidDel="00000000" w:rsidR="00000000" w:rsidRPr="00000000">
        <w:rPr>
          <w:b w:val="1"/>
          <w:rtl w:val="0"/>
        </w:rPr>
        <w:t xml:space="preserve">Sauropsida</w:t>
      </w:r>
      <w:r w:rsidDel="00000000" w:rsidR="00000000" w:rsidRPr="00000000">
        <w:rPr>
          <w:rtl w:val="0"/>
        </w:rPr>
        <w:t xml:space="preserve">: reptiles y aves</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Actinopterygii: </w:t>
      </w:r>
      <w:r w:rsidDel="00000000" w:rsidR="00000000" w:rsidRPr="00000000">
        <w:rPr>
          <w:rtl w:val="0"/>
        </w:rPr>
        <w:t xml:space="preserve">clase dominante de peces vertebrados</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Se puede observar que en dicha base de datos también hay genes ortólogos en invertebrados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08.6614173228347" w:firstLine="0"/>
        <w:rPr/>
      </w:pPr>
      <w:r w:rsidDel="00000000" w:rsidR="00000000" w:rsidRPr="00000000">
        <w:rPr>
          <w:rtl w:val="0"/>
        </w:rPr>
        <w:t xml:space="preserve">Fuente: </w:t>
      </w:r>
      <w:hyperlink r:id="rId11">
        <w:r w:rsidDel="00000000" w:rsidR="00000000" w:rsidRPr="00000000">
          <w:rPr>
            <w:color w:val="1155cc"/>
            <w:u w:val="single"/>
            <w:rtl w:val="0"/>
          </w:rPr>
          <w:t xml:space="preserve">https://www.ensembl.org/Homo_sapiens/Gene/Compara_Ortholog?db=core;g=ENSG00000106617;r=7:151556124-151877125</w:t>
        </w:r>
      </w:hyperlink>
      <w:r w:rsidDel="00000000" w:rsidR="00000000" w:rsidRPr="00000000">
        <w:rPr>
          <w:rtl w:val="0"/>
        </w:rPr>
      </w:r>
    </w:p>
    <w:p w:rsidR="00000000" w:rsidDel="00000000" w:rsidP="00000000" w:rsidRDefault="00000000" w:rsidRPr="00000000" w14:paraId="00000028">
      <w:pPr>
        <w:ind w:left="708.6614173228347" w:firstLine="0"/>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En la base de datos Gene del NCBI se pueden encontrar 247 genes ortólogos exclusivos de los vertebrados, subfilo de los cordados, que pertenecen a las siguientes categorías:</w:t>
      </w:r>
    </w:p>
    <w:p w:rsidR="00000000" w:rsidDel="00000000" w:rsidP="00000000" w:rsidRDefault="00000000" w:rsidRPr="00000000" w14:paraId="0000002A">
      <w:pPr>
        <w:numPr>
          <w:ilvl w:val="0"/>
          <w:numId w:val="6"/>
        </w:numPr>
        <w:spacing w:after="0" w:afterAutospacing="0" w:before="240" w:lineRule="auto"/>
        <w:ind w:left="720" w:hanging="360"/>
        <w:rPr>
          <w:b w:val="1"/>
        </w:rPr>
      </w:pPr>
      <w:r w:rsidDel="00000000" w:rsidR="00000000" w:rsidRPr="00000000">
        <w:rPr>
          <w:b w:val="1"/>
          <w:rtl w:val="0"/>
        </w:rPr>
        <w:t xml:space="preserve">Aves</w:t>
      </w:r>
    </w:p>
    <w:p w:rsidR="00000000" w:rsidDel="00000000" w:rsidP="00000000" w:rsidRDefault="00000000" w:rsidRPr="00000000" w14:paraId="0000002B">
      <w:pPr>
        <w:numPr>
          <w:ilvl w:val="0"/>
          <w:numId w:val="6"/>
        </w:numPr>
        <w:spacing w:after="0" w:afterAutospacing="0" w:before="0" w:beforeAutospacing="0" w:lineRule="auto"/>
        <w:ind w:left="720" w:hanging="360"/>
        <w:rPr>
          <w:b w:val="1"/>
        </w:rPr>
      </w:pPr>
      <w:r w:rsidDel="00000000" w:rsidR="00000000" w:rsidRPr="00000000">
        <w:rPr>
          <w:b w:val="1"/>
          <w:rtl w:val="0"/>
        </w:rPr>
        <w:t xml:space="preserve">Reptiles y otros</w:t>
      </w:r>
    </w:p>
    <w:p w:rsidR="00000000" w:rsidDel="00000000" w:rsidP="00000000" w:rsidRDefault="00000000" w:rsidRPr="00000000" w14:paraId="0000002C">
      <w:pPr>
        <w:numPr>
          <w:ilvl w:val="0"/>
          <w:numId w:val="6"/>
        </w:numPr>
        <w:spacing w:after="0" w:afterAutospacing="0" w:before="0" w:beforeAutospacing="0" w:lineRule="auto"/>
        <w:ind w:left="720" w:hanging="360"/>
        <w:rPr>
          <w:b w:val="1"/>
        </w:rPr>
      </w:pPr>
      <w:r w:rsidDel="00000000" w:rsidR="00000000" w:rsidRPr="00000000">
        <w:rPr>
          <w:b w:val="1"/>
          <w:rtl w:val="0"/>
        </w:rPr>
        <w:t xml:space="preserve">Tortugas</w:t>
      </w:r>
    </w:p>
    <w:p w:rsidR="00000000" w:rsidDel="00000000" w:rsidP="00000000" w:rsidRDefault="00000000" w:rsidRPr="00000000" w14:paraId="0000002D">
      <w:pPr>
        <w:numPr>
          <w:ilvl w:val="0"/>
          <w:numId w:val="6"/>
        </w:numPr>
        <w:spacing w:after="0" w:afterAutospacing="0" w:before="0" w:beforeAutospacing="0" w:lineRule="auto"/>
        <w:ind w:left="720" w:hanging="360"/>
        <w:rPr>
          <w:b w:val="1"/>
        </w:rPr>
      </w:pPr>
      <w:r w:rsidDel="00000000" w:rsidR="00000000" w:rsidRPr="00000000">
        <w:rPr>
          <w:b w:val="1"/>
          <w:rtl w:val="0"/>
        </w:rPr>
        <w:t xml:space="preserve">Lagartos</w:t>
      </w:r>
    </w:p>
    <w:p w:rsidR="00000000" w:rsidDel="00000000" w:rsidP="00000000" w:rsidRDefault="00000000" w:rsidRPr="00000000" w14:paraId="0000002E">
      <w:pPr>
        <w:numPr>
          <w:ilvl w:val="0"/>
          <w:numId w:val="6"/>
        </w:numPr>
        <w:spacing w:after="0" w:afterAutospacing="0" w:before="0" w:beforeAutospacing="0" w:lineRule="auto"/>
        <w:ind w:left="720" w:hanging="360"/>
        <w:rPr>
          <w:b w:val="1"/>
        </w:rPr>
      </w:pPr>
      <w:r w:rsidDel="00000000" w:rsidR="00000000" w:rsidRPr="00000000">
        <w:rPr>
          <w:b w:val="1"/>
          <w:rtl w:val="0"/>
        </w:rPr>
        <w:t xml:space="preserve">Mamíferos</w:t>
      </w:r>
    </w:p>
    <w:p w:rsidR="00000000" w:rsidDel="00000000" w:rsidP="00000000" w:rsidRDefault="00000000" w:rsidRPr="00000000" w14:paraId="0000002F">
      <w:pPr>
        <w:numPr>
          <w:ilvl w:val="0"/>
          <w:numId w:val="6"/>
        </w:numPr>
        <w:spacing w:after="0" w:afterAutospacing="0" w:before="0" w:beforeAutospacing="0" w:lineRule="auto"/>
        <w:ind w:left="720" w:hanging="360"/>
        <w:rPr>
          <w:b w:val="1"/>
        </w:rPr>
      </w:pPr>
      <w:r w:rsidDel="00000000" w:rsidR="00000000" w:rsidRPr="00000000">
        <w:rPr>
          <w:b w:val="1"/>
          <w:rtl w:val="0"/>
        </w:rPr>
        <w:t xml:space="preserve">Anfibios</w:t>
      </w:r>
      <w:r w:rsidDel="00000000" w:rsidR="00000000" w:rsidRPr="00000000">
        <w:rPr>
          <w:rtl w:val="0"/>
        </w:rPr>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Condrictios</w:t>
      </w:r>
      <w:r w:rsidDel="00000000" w:rsidR="00000000" w:rsidRPr="00000000">
        <w:rPr>
          <w:rtl w:val="0"/>
        </w:rPr>
        <w:t xml:space="preserve">: peces con esqueleto de cartílago</w:t>
      </w:r>
    </w:p>
    <w:p w:rsidR="00000000" w:rsidDel="00000000" w:rsidP="00000000" w:rsidRDefault="00000000" w:rsidRPr="00000000" w14:paraId="00000031">
      <w:pPr>
        <w:spacing w:after="240" w:before="240" w:lineRule="auto"/>
        <w:ind w:left="708.6614173228347" w:firstLine="0"/>
        <w:rPr/>
      </w:pPr>
      <w:r w:rsidDel="00000000" w:rsidR="00000000" w:rsidRPr="00000000">
        <w:rPr>
          <w:rtl w:val="0"/>
        </w:rPr>
      </w:r>
    </w:p>
    <w:p w:rsidR="00000000" w:rsidDel="00000000" w:rsidP="00000000" w:rsidRDefault="00000000" w:rsidRPr="00000000" w14:paraId="00000032">
      <w:pPr>
        <w:spacing w:after="240" w:before="240" w:lineRule="auto"/>
        <w:ind w:left="708.6614173228347" w:firstLine="0"/>
        <w:rPr/>
      </w:pPr>
      <w:r w:rsidDel="00000000" w:rsidR="00000000" w:rsidRPr="00000000">
        <w:rPr>
          <w:rtl w:val="0"/>
        </w:rPr>
        <w:t xml:space="preserve">Fuente:</w:t>
      </w:r>
    </w:p>
    <w:p w:rsidR="00000000" w:rsidDel="00000000" w:rsidP="00000000" w:rsidRDefault="00000000" w:rsidRPr="00000000" w14:paraId="00000033">
      <w:pPr>
        <w:spacing w:after="240" w:before="240" w:lineRule="auto"/>
        <w:ind w:left="708.6614173228347" w:firstLine="0"/>
        <w:rPr/>
      </w:pPr>
      <w:hyperlink r:id="rId12">
        <w:r w:rsidDel="00000000" w:rsidR="00000000" w:rsidRPr="00000000">
          <w:rPr>
            <w:color w:val="1155cc"/>
            <w:u w:val="single"/>
            <w:rtl w:val="0"/>
          </w:rPr>
          <w:t xml:space="preserve">https://www.ncbi.nlm.nih.gov/gene/51422/ortholog/?scope=7776&amp;term=PRKAG2#genes-tab</w:t>
        </w:r>
      </w:hyperlink>
      <w:r w:rsidDel="00000000" w:rsidR="00000000" w:rsidRPr="00000000">
        <w:rPr>
          <w:rtl w:val="0"/>
        </w:rPr>
      </w:r>
    </w:p>
    <w:p w:rsidR="00000000" w:rsidDel="00000000" w:rsidP="00000000" w:rsidRDefault="00000000" w:rsidRPr="00000000" w14:paraId="00000034">
      <w:pPr>
        <w:spacing w:after="240" w:before="240" w:lineRule="auto"/>
        <w:ind w:left="708.6614173228347" w:firstLine="0"/>
        <w:rPr/>
      </w:pPr>
      <w:r w:rsidDel="00000000" w:rsidR="00000000" w:rsidRPr="00000000">
        <w:rPr>
          <w:rtl w:val="0"/>
        </w:rPr>
        <w:t xml:space="preserve">En ambas bases de datos, las especies presentadas son vertebrados, por lo que podemos inferir que el gen PRKAG2 es un gen característico de los vertebrados. </w:t>
      </w:r>
    </w:p>
    <w:p w:rsidR="00000000" w:rsidDel="00000000" w:rsidP="00000000" w:rsidRDefault="00000000" w:rsidRPr="00000000" w14:paraId="00000035">
      <w:pPr>
        <w:numPr>
          <w:ilvl w:val="0"/>
          <w:numId w:val="2"/>
        </w:numPr>
        <w:spacing w:after="240" w:before="240" w:lineRule="auto"/>
        <w:ind w:left="720" w:hanging="360"/>
        <w:rPr>
          <w:u w:val="none"/>
        </w:rPr>
      </w:pPr>
      <w:r w:rsidDel="00000000" w:rsidR="00000000" w:rsidRPr="00000000">
        <w:rPr>
          <w:rtl w:val="0"/>
        </w:rPr>
        <w:t xml:space="preserve">Encontramos en la base de datos de Ensembl que cuenta con 35 transcriptos </w:t>
      </w:r>
    </w:p>
    <w:p w:rsidR="00000000" w:rsidDel="00000000" w:rsidP="00000000" w:rsidRDefault="00000000" w:rsidRPr="00000000" w14:paraId="00000036">
      <w:pPr>
        <w:spacing w:after="240" w:before="240" w:lineRule="auto"/>
        <w:ind w:left="0" w:firstLine="0"/>
        <w:rPr>
          <w:b w:val="1"/>
        </w:rPr>
      </w:pPr>
      <w:r w:rsidDel="00000000" w:rsidR="00000000" w:rsidRPr="00000000">
        <w:rPr>
          <w:b w:val="1"/>
        </w:rPr>
        <w:drawing>
          <wp:inline distB="114300" distT="114300" distL="114300" distR="114300">
            <wp:extent cx="5731200" cy="38100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720"/>
        <w:rPr/>
      </w:pPr>
      <w:r w:rsidDel="00000000" w:rsidR="00000000" w:rsidRPr="00000000">
        <w:rPr>
          <w:rtl w:val="0"/>
        </w:rPr>
      </w:r>
    </w:p>
    <w:p w:rsidR="00000000" w:rsidDel="00000000" w:rsidP="00000000" w:rsidRDefault="00000000" w:rsidRPr="00000000" w14:paraId="00000038">
      <w:pPr>
        <w:spacing w:after="240" w:before="240" w:lineRule="auto"/>
        <w:ind w:left="0" w:firstLine="720"/>
        <w:rPr/>
      </w:pPr>
      <w:r w:rsidDel="00000000" w:rsidR="00000000" w:rsidRPr="00000000">
        <w:rPr>
          <w:rtl w:val="0"/>
        </w:rPr>
      </w:r>
    </w:p>
    <w:p w:rsidR="00000000" w:rsidDel="00000000" w:rsidP="00000000" w:rsidRDefault="00000000" w:rsidRPr="00000000" w14:paraId="00000039">
      <w:pPr>
        <w:spacing w:after="240" w:before="240" w:lineRule="auto"/>
        <w:ind w:left="0" w:firstLine="720"/>
        <w:rPr/>
      </w:pPr>
      <w:r w:rsidDel="00000000" w:rsidR="00000000" w:rsidRPr="00000000">
        <w:rPr>
          <w:rtl w:val="0"/>
        </w:rPr>
      </w:r>
    </w:p>
    <w:p w:rsidR="00000000" w:rsidDel="00000000" w:rsidP="00000000" w:rsidRDefault="00000000" w:rsidRPr="00000000" w14:paraId="0000003A">
      <w:pPr>
        <w:spacing w:after="240" w:before="240" w:lineRule="auto"/>
        <w:ind w:left="0" w:firstLine="720"/>
        <w:rPr/>
      </w:pPr>
      <w:r w:rsidDel="00000000" w:rsidR="00000000" w:rsidRPr="00000000">
        <w:rPr>
          <w:rtl w:val="0"/>
        </w:rPr>
      </w:r>
    </w:p>
    <w:p w:rsidR="00000000" w:rsidDel="00000000" w:rsidP="00000000" w:rsidRDefault="00000000" w:rsidRPr="00000000" w14:paraId="0000003B">
      <w:pPr>
        <w:spacing w:after="240" w:before="240" w:lineRule="auto"/>
        <w:ind w:left="0" w:firstLine="720"/>
        <w:rPr/>
      </w:pPr>
      <w:r w:rsidDel="00000000" w:rsidR="00000000" w:rsidRPr="00000000">
        <w:rPr>
          <w:rtl w:val="0"/>
        </w:rPr>
      </w:r>
    </w:p>
    <w:p w:rsidR="00000000" w:rsidDel="00000000" w:rsidP="00000000" w:rsidRDefault="00000000" w:rsidRPr="00000000" w14:paraId="0000003C">
      <w:pPr>
        <w:spacing w:after="240" w:before="240" w:lineRule="auto"/>
        <w:ind w:left="0" w:firstLine="720"/>
        <w:rPr/>
      </w:pPr>
      <w:r w:rsidDel="00000000" w:rsidR="00000000" w:rsidRPr="00000000">
        <w:rPr>
          <w:rtl w:val="0"/>
        </w:rPr>
      </w:r>
    </w:p>
    <w:p w:rsidR="00000000" w:rsidDel="00000000" w:rsidP="00000000" w:rsidRDefault="00000000" w:rsidRPr="00000000" w14:paraId="0000003D">
      <w:pPr>
        <w:spacing w:after="240" w:before="240" w:lineRule="auto"/>
        <w:ind w:left="0" w:firstLine="720"/>
        <w:rPr/>
      </w:pPr>
      <w:r w:rsidDel="00000000" w:rsidR="00000000" w:rsidRPr="00000000">
        <w:rPr>
          <w:rtl w:val="0"/>
        </w:rPr>
      </w:r>
    </w:p>
    <w:p w:rsidR="00000000" w:rsidDel="00000000" w:rsidP="00000000" w:rsidRDefault="00000000" w:rsidRPr="00000000" w14:paraId="0000003E">
      <w:pPr>
        <w:spacing w:after="240" w:before="240" w:lineRule="auto"/>
        <w:ind w:left="0" w:firstLine="720"/>
        <w:rPr/>
      </w:pPr>
      <w:r w:rsidDel="00000000" w:rsidR="00000000" w:rsidRPr="00000000">
        <w:rPr>
          <w:rtl w:val="0"/>
        </w:rPr>
      </w:r>
    </w:p>
    <w:p w:rsidR="00000000" w:rsidDel="00000000" w:rsidP="00000000" w:rsidRDefault="00000000" w:rsidRPr="00000000" w14:paraId="0000003F">
      <w:pPr>
        <w:spacing w:after="240" w:before="240" w:lineRule="auto"/>
        <w:ind w:left="0" w:firstLine="720"/>
        <w:rPr/>
      </w:pPr>
      <w:r w:rsidDel="00000000" w:rsidR="00000000" w:rsidRPr="00000000">
        <w:rPr>
          <w:rtl w:val="0"/>
        </w:rPr>
      </w:r>
    </w:p>
    <w:p w:rsidR="00000000" w:rsidDel="00000000" w:rsidP="00000000" w:rsidRDefault="00000000" w:rsidRPr="00000000" w14:paraId="00000040">
      <w:pPr>
        <w:spacing w:after="240" w:before="240" w:lineRule="auto"/>
        <w:ind w:left="0" w:firstLine="720"/>
        <w:rPr/>
      </w:pPr>
      <w:r w:rsidDel="00000000" w:rsidR="00000000" w:rsidRPr="00000000">
        <w:rPr>
          <w:rtl w:val="0"/>
        </w:rPr>
      </w:r>
    </w:p>
    <w:p w:rsidR="00000000" w:rsidDel="00000000" w:rsidP="00000000" w:rsidRDefault="00000000" w:rsidRPr="00000000" w14:paraId="00000041">
      <w:pPr>
        <w:spacing w:after="240" w:before="240" w:lineRule="auto"/>
        <w:ind w:left="0" w:firstLine="720"/>
        <w:rPr/>
      </w:pPr>
      <w:r w:rsidDel="00000000" w:rsidR="00000000" w:rsidRPr="00000000">
        <w:rPr>
          <w:rtl w:val="0"/>
        </w:rPr>
      </w:r>
    </w:p>
    <w:p w:rsidR="00000000" w:rsidDel="00000000" w:rsidP="00000000" w:rsidRDefault="00000000" w:rsidRPr="00000000" w14:paraId="00000042">
      <w:pPr>
        <w:spacing w:after="240" w:before="240" w:lineRule="auto"/>
        <w:ind w:left="0" w:firstLine="720"/>
        <w:rPr/>
      </w:pPr>
      <w:r w:rsidDel="00000000" w:rsidR="00000000" w:rsidRPr="00000000">
        <w:rPr>
          <w:rtl w:val="0"/>
        </w:rPr>
      </w:r>
    </w:p>
    <w:p w:rsidR="00000000" w:rsidDel="00000000" w:rsidP="00000000" w:rsidRDefault="00000000" w:rsidRPr="00000000" w14:paraId="00000043">
      <w:pPr>
        <w:spacing w:after="240" w:before="240" w:lineRule="auto"/>
        <w:ind w:left="0" w:firstLine="720"/>
        <w:rPr/>
      </w:pPr>
      <w:r w:rsidDel="00000000" w:rsidR="00000000" w:rsidRPr="00000000">
        <w:rPr>
          <w:rtl w:val="0"/>
        </w:rPr>
      </w:r>
    </w:p>
    <w:p w:rsidR="00000000" w:rsidDel="00000000" w:rsidP="00000000" w:rsidRDefault="00000000" w:rsidRPr="00000000" w14:paraId="00000044">
      <w:pPr>
        <w:spacing w:after="240" w:before="240" w:lineRule="auto"/>
        <w:ind w:left="0" w:firstLine="720"/>
        <w:rPr/>
      </w:pPr>
      <w:r w:rsidDel="00000000" w:rsidR="00000000" w:rsidRPr="00000000">
        <w:rPr>
          <w:rtl w:val="0"/>
        </w:rPr>
        <w:t xml:space="preserve">E</w:t>
      </w:r>
      <w:r w:rsidDel="00000000" w:rsidR="00000000" w:rsidRPr="00000000">
        <w:rPr>
          <w:rtl w:val="0"/>
        </w:rPr>
        <w:t xml:space="preserve">n la base de datos de NCBI este gen cuenta con 33 transcriptos, de los cuales 28 son </w:t>
      </w:r>
      <w:r w:rsidDel="00000000" w:rsidR="00000000" w:rsidRPr="00000000">
        <w:rPr>
          <w:i w:val="1"/>
          <w:rtl w:val="0"/>
        </w:rPr>
        <w:t xml:space="preserve">predicted</w:t>
      </w:r>
      <w:r w:rsidDel="00000000" w:rsidR="00000000" w:rsidRPr="00000000">
        <w:rPr>
          <w:rtl w:val="0"/>
        </w:rPr>
        <w:t xml:space="preserve">, y sólo 6 han sido revisados y verificados, ellos son:</w:t>
      </w:r>
    </w:p>
    <w:p w:rsidR="00000000" w:rsidDel="00000000" w:rsidP="00000000" w:rsidRDefault="00000000" w:rsidRPr="00000000" w14:paraId="00000045">
      <w:pPr>
        <w:numPr>
          <w:ilvl w:val="0"/>
          <w:numId w:val="3"/>
        </w:numPr>
        <w:spacing w:after="0" w:afterAutospacing="0" w:before="240" w:lineRule="auto"/>
        <w:ind w:left="1440" w:hanging="360"/>
        <w:rPr>
          <w:u w:val="none"/>
        </w:rPr>
      </w:pPr>
      <w:r w:rsidDel="00000000" w:rsidR="00000000" w:rsidRPr="00000000">
        <w:rPr>
          <w:rtl w:val="0"/>
        </w:rPr>
        <w:t xml:space="preserve">Variant e</w:t>
      </w:r>
    </w:p>
    <w:p w:rsidR="00000000" w:rsidDel="00000000" w:rsidP="00000000" w:rsidRDefault="00000000" w:rsidRPr="00000000" w14:paraId="00000046">
      <w:pPr>
        <w:numPr>
          <w:ilvl w:val="0"/>
          <w:numId w:val="3"/>
        </w:numPr>
        <w:spacing w:after="0" w:afterAutospacing="0" w:before="0" w:beforeAutospacing="0" w:lineRule="auto"/>
        <w:ind w:left="1440" w:hanging="360"/>
        <w:rPr>
          <w:u w:val="none"/>
        </w:rPr>
      </w:pPr>
      <w:r w:rsidDel="00000000" w:rsidR="00000000" w:rsidRPr="00000000">
        <w:rPr>
          <w:rtl w:val="0"/>
        </w:rPr>
        <w:t xml:space="preserve">Variant b</w:t>
      </w:r>
    </w:p>
    <w:p w:rsidR="00000000" w:rsidDel="00000000" w:rsidP="00000000" w:rsidRDefault="00000000" w:rsidRPr="00000000" w14:paraId="00000047">
      <w:pPr>
        <w:numPr>
          <w:ilvl w:val="0"/>
          <w:numId w:val="3"/>
        </w:numPr>
        <w:spacing w:after="0" w:afterAutospacing="0" w:before="0" w:beforeAutospacing="0" w:lineRule="auto"/>
        <w:ind w:left="1440" w:hanging="360"/>
        <w:rPr>
          <w:u w:val="none"/>
        </w:rPr>
      </w:pPr>
      <w:r w:rsidDel="00000000" w:rsidR="00000000" w:rsidRPr="00000000">
        <w:rPr>
          <w:rtl w:val="0"/>
        </w:rPr>
        <w:t xml:space="preserve">Variant a</w:t>
      </w:r>
    </w:p>
    <w:p w:rsidR="00000000" w:rsidDel="00000000" w:rsidP="00000000" w:rsidRDefault="00000000" w:rsidRPr="00000000" w14:paraId="00000048">
      <w:pPr>
        <w:numPr>
          <w:ilvl w:val="0"/>
          <w:numId w:val="3"/>
        </w:numPr>
        <w:spacing w:after="0" w:afterAutospacing="0" w:before="0" w:beforeAutospacing="0" w:lineRule="auto"/>
        <w:ind w:left="1440" w:hanging="360"/>
        <w:rPr>
          <w:u w:val="none"/>
        </w:rPr>
      </w:pPr>
      <w:r w:rsidDel="00000000" w:rsidR="00000000" w:rsidRPr="00000000">
        <w:rPr>
          <w:rtl w:val="0"/>
        </w:rPr>
        <w:t xml:space="preserve">Variant d</w:t>
      </w:r>
    </w:p>
    <w:p w:rsidR="00000000" w:rsidDel="00000000" w:rsidP="00000000" w:rsidRDefault="00000000" w:rsidRPr="00000000" w14:paraId="00000049">
      <w:pPr>
        <w:numPr>
          <w:ilvl w:val="0"/>
          <w:numId w:val="3"/>
        </w:numPr>
        <w:spacing w:after="0" w:afterAutospacing="0" w:before="0" w:beforeAutospacing="0" w:lineRule="auto"/>
        <w:ind w:left="1440" w:hanging="360"/>
        <w:rPr>
          <w:u w:val="none"/>
        </w:rPr>
      </w:pPr>
      <w:r w:rsidDel="00000000" w:rsidR="00000000" w:rsidRPr="00000000">
        <w:rPr>
          <w:rtl w:val="0"/>
        </w:rPr>
        <w:t xml:space="preserve">Variant f</w:t>
      </w:r>
    </w:p>
    <w:p w:rsidR="00000000" w:rsidDel="00000000" w:rsidP="00000000" w:rsidRDefault="00000000" w:rsidRPr="00000000" w14:paraId="0000004A">
      <w:pPr>
        <w:numPr>
          <w:ilvl w:val="0"/>
          <w:numId w:val="3"/>
        </w:numPr>
        <w:spacing w:after="240" w:before="0" w:beforeAutospacing="0" w:lineRule="auto"/>
        <w:ind w:left="1440" w:hanging="360"/>
        <w:rPr>
          <w:u w:val="none"/>
        </w:rPr>
      </w:pPr>
      <w:r w:rsidDel="00000000" w:rsidR="00000000" w:rsidRPr="00000000">
        <w:rPr>
          <w:rtl w:val="0"/>
        </w:rPr>
        <w:t xml:space="preserve">Variant c</w:t>
      </w:r>
    </w:p>
    <w:p w:rsidR="00000000" w:rsidDel="00000000" w:rsidP="00000000" w:rsidRDefault="00000000" w:rsidRPr="00000000" w14:paraId="0000004B">
      <w:pPr>
        <w:spacing w:after="240" w:before="240" w:lineRule="auto"/>
        <w:ind w:left="0" w:firstLine="0"/>
        <w:rPr/>
      </w:pPr>
      <w:r w:rsidDel="00000000" w:rsidR="00000000" w:rsidRPr="00000000">
        <w:rPr/>
        <w:drawing>
          <wp:inline distB="114300" distT="114300" distL="114300" distR="114300">
            <wp:extent cx="5731200" cy="47879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drawing>
          <wp:inline distB="114300" distT="114300" distL="114300" distR="114300">
            <wp:extent cx="5731200" cy="28067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firstLine="720"/>
        <w:rPr/>
      </w:pPr>
      <w:r w:rsidDel="00000000" w:rsidR="00000000" w:rsidRPr="00000000">
        <w:rPr>
          <w:rtl w:val="0"/>
        </w:rPr>
        <w:t xml:space="preserve">Fuentes: </w:t>
      </w:r>
    </w:p>
    <w:p w:rsidR="00000000" w:rsidDel="00000000" w:rsidP="00000000" w:rsidRDefault="00000000" w:rsidRPr="00000000" w14:paraId="0000004E">
      <w:pPr>
        <w:spacing w:after="240" w:before="240" w:lineRule="auto"/>
        <w:ind w:left="720" w:firstLine="0"/>
        <w:rPr/>
      </w:pPr>
      <w:hyperlink r:id="rId16">
        <w:r w:rsidDel="00000000" w:rsidR="00000000" w:rsidRPr="00000000">
          <w:rPr>
            <w:color w:val="1155cc"/>
            <w:u w:val="single"/>
            <w:rtl w:val="0"/>
          </w:rPr>
          <w:t xml:space="preserve">https://www.ncbi.nlm.nih.gov/nuccore/1890333412,1890300624,1890271246,1889702664,1889593824,1519313556,1370510321,1370510320,1370510319,1370510318,1370510317,1370510315,1370510314,1370510313,1370510312,1370510310,1370510309,1370510307,1370510305,1370510304,1370510303,1370510301,1370510300,1370510299,1034655827,1034655814,1034655810,1034655808,767947991,767947982,767947980,767947978,767947977</w:t>
        </w:r>
      </w:hyperlink>
      <w:r w:rsidDel="00000000" w:rsidR="00000000" w:rsidRPr="00000000">
        <w:rPr>
          <w:rtl w:val="0"/>
        </w:rPr>
      </w:r>
    </w:p>
    <w:p w:rsidR="00000000" w:rsidDel="00000000" w:rsidP="00000000" w:rsidRDefault="00000000" w:rsidRPr="00000000" w14:paraId="0000004F">
      <w:pPr>
        <w:spacing w:after="240" w:before="240" w:lineRule="auto"/>
        <w:ind w:left="720" w:firstLine="0"/>
        <w:rPr/>
      </w:pPr>
      <w:hyperlink r:id="rId17">
        <w:r w:rsidDel="00000000" w:rsidR="00000000" w:rsidRPr="00000000">
          <w:rPr>
            <w:color w:val="1155cc"/>
            <w:u w:val="single"/>
            <w:rtl w:val="0"/>
          </w:rPr>
          <w:t xml:space="preserve">https://www.ensembl.org/Homo_sapiens/Gene/Splice?db=core;g=ENSG00000106617;r=7:151556124-151877125</w:t>
        </w:r>
      </w:hyperlink>
      <w:r w:rsidDel="00000000" w:rsidR="00000000" w:rsidRPr="00000000">
        <w:rPr>
          <w:rtl w:val="0"/>
        </w:rPr>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En la base de datos BioGrid podemos encontrar 45 artículos sobre las interacciones del producto génico del gen PRKAG2 con otros genes.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5731200" cy="5651500"/>
            <wp:effectExtent b="0" l="0" r="0" t="0"/>
            <wp:docPr id="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731200" cy="5651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5731200" cy="8001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drawing>
          <wp:inline distB="114300" distT="114300" distL="114300" distR="114300">
            <wp:extent cx="5731200" cy="3746500"/>
            <wp:effectExtent b="0" l="0" r="0" t="0"/>
            <wp:docPr id="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firstLine="720"/>
        <w:rPr/>
      </w:pPr>
      <w:r w:rsidDel="00000000" w:rsidR="00000000" w:rsidRPr="00000000">
        <w:rPr/>
        <w:drawing>
          <wp:inline distB="114300" distT="114300" distL="114300" distR="114300">
            <wp:extent cx="5731200" cy="32004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jc w:val="both"/>
        <w:rPr/>
      </w:pPr>
      <w:r w:rsidDel="00000000" w:rsidR="00000000" w:rsidRPr="00000000">
        <w:rPr>
          <w:rtl w:val="0"/>
        </w:rPr>
        <w:t xml:space="preserve">Una interacción especial que podemos notar es la que se encuentra con el ácido acetilsalicílico (aspirina), el cual es un químico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Fuentes: </w:t>
      </w:r>
    </w:p>
    <w:p w:rsidR="00000000" w:rsidDel="00000000" w:rsidP="00000000" w:rsidRDefault="00000000" w:rsidRPr="00000000" w14:paraId="0000005C">
      <w:pPr>
        <w:ind w:firstLine="720"/>
        <w:rPr/>
      </w:pPr>
      <w:hyperlink r:id="rId23">
        <w:r w:rsidDel="00000000" w:rsidR="00000000" w:rsidRPr="00000000">
          <w:rPr>
            <w:color w:val="1155cc"/>
            <w:u w:val="single"/>
            <w:rtl w:val="0"/>
          </w:rPr>
          <w:t xml:space="preserve">https://www.ncbi.nlm.nih.gov/gene/51422#interactions</w:t>
        </w:r>
      </w:hyperlink>
      <w:r w:rsidDel="00000000" w:rsidR="00000000" w:rsidRPr="00000000">
        <w:rPr>
          <w:rtl w:val="0"/>
        </w:rPr>
      </w:r>
    </w:p>
    <w:p w:rsidR="00000000" w:rsidDel="00000000" w:rsidP="00000000" w:rsidRDefault="00000000" w:rsidRPr="00000000" w14:paraId="0000005D">
      <w:pPr>
        <w:ind w:firstLine="720"/>
        <w:rPr/>
      </w:pPr>
      <w:hyperlink r:id="rId24">
        <w:r w:rsidDel="00000000" w:rsidR="00000000" w:rsidRPr="00000000">
          <w:rPr>
            <w:color w:val="1155cc"/>
            <w:u w:val="single"/>
            <w:rtl w:val="0"/>
          </w:rPr>
          <w:t xml:space="preserve">https://thebiogrid.org/119531</w:t>
        </w:r>
      </w:hyperlink>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shd w:fill="ff9900" w:val="clear"/>
        </w:rPr>
      </w:pPr>
      <w:r w:rsidDel="00000000" w:rsidR="00000000" w:rsidRPr="00000000">
        <w:rPr>
          <w:rtl w:val="0"/>
        </w:rPr>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En la siguiente tabla se resume a qué componentes pertenece, en qué procesos participa y qué funciones posee el PRKAG2.</w:t>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Procesos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hd w:fill="d9d9d9" w:val="clear"/>
              </w:rPr>
            </w:pPr>
            <w:r w:rsidDel="00000000" w:rsidR="00000000" w:rsidRPr="00000000">
              <w:rPr>
                <w:b w:val="1"/>
                <w:rtl w:val="0"/>
              </w:rPr>
              <w:t xml:space="preserve">Funciones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Citoplasma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biosintético ATP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Unión a ADP (adenosine 5'-diphosphate)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Citosol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Activación de proteína quinasa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Unión a 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Nucleoplasma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Transporte de carnitina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proteína quinasa AMP-activada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Núcleo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Respuesta celular a la inanición de glucosa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Unión a ATP (adenosine 5'-triphosphate)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Proceso biosintético de ácido graso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inhibidora de proteína quinasa cAMP-dependiente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metabólico del glucógeno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Actividad reguladora de proteína quinasa cAMP-dependiente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Transducción de señales intracelulares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Actividad reguladora de fosforilasa quinasa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Macroautofagia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Unión a proteína quinasa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negativa de la proteína quinasa cAMP-dependiente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Actividad de activación de proteína quinasa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Regulación negativa de la proteína quinasa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Actividad de regulación de proteína quinasa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Regulación positiva de la proteína quinasa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negativa de fosforilación de peptidil-treonina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Fosforilación de proteínas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 la actividad catalítica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del proceso biosintético de ácido graso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Regulación del proceso metabólico de ácido graso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Regulación de la oxidación de ácido graso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 la importación de glucosa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del proceso glucolítico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 la macroautofagia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Regulación de la transducción de señales por mediador de clase p53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Proceso biosintético de esteroles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Fuente: </w:t>
      </w:r>
      <w:hyperlink r:id="rId25">
        <w:r w:rsidDel="00000000" w:rsidR="00000000" w:rsidRPr="00000000">
          <w:rPr>
            <w:color w:val="1155cc"/>
            <w:u w:val="single"/>
            <w:rtl w:val="0"/>
          </w:rPr>
          <w:t xml:space="preserve">https://www.ncbi.nlm.nih.gov/gene/51422#general-gene-info</w:t>
        </w:r>
      </w:hyperlink>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En la base de datos de KEGG se pueden hallar 15 diagramas asociados a las vías metabólicas en las que participa el producto génico del gen de interés, el PRKAG2.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4"/>
        </w:numPr>
        <w:ind w:left="1440" w:hanging="360"/>
      </w:pPr>
      <w:r w:rsidDel="00000000" w:rsidR="00000000" w:rsidRPr="00000000">
        <w:rPr>
          <w:rFonts w:ascii="Arial Unicode MS" w:cs="Arial Unicode MS" w:eastAsia="Arial Unicode MS" w:hAnsi="Arial Unicode MS"/>
          <w:rtl w:val="0"/>
        </w:rPr>
        <w:t xml:space="preserve">hsa04068 →  FoxO signaling pathway</w:t>
      </w:r>
    </w:p>
    <w:p w:rsidR="00000000" w:rsidDel="00000000" w:rsidP="00000000" w:rsidRDefault="00000000" w:rsidRPr="00000000" w14:paraId="000000AD">
      <w:pPr>
        <w:numPr>
          <w:ilvl w:val="0"/>
          <w:numId w:val="4"/>
        </w:numPr>
        <w:ind w:left="1440" w:hanging="360"/>
      </w:pPr>
      <w:r w:rsidDel="00000000" w:rsidR="00000000" w:rsidRPr="00000000">
        <w:rPr>
          <w:rFonts w:ascii="Arial Unicode MS" w:cs="Arial Unicode MS" w:eastAsia="Arial Unicode MS" w:hAnsi="Arial Unicode MS"/>
          <w:rtl w:val="0"/>
        </w:rPr>
        <w:t xml:space="preserve">hsa04152 →  AMPK signaling pathway</w:t>
      </w:r>
    </w:p>
    <w:p w:rsidR="00000000" w:rsidDel="00000000" w:rsidP="00000000" w:rsidRDefault="00000000" w:rsidRPr="00000000" w14:paraId="000000AE">
      <w:pPr>
        <w:numPr>
          <w:ilvl w:val="0"/>
          <w:numId w:val="4"/>
        </w:numPr>
        <w:ind w:left="1440" w:hanging="360"/>
      </w:pPr>
      <w:r w:rsidDel="00000000" w:rsidR="00000000" w:rsidRPr="00000000">
        <w:rPr>
          <w:rFonts w:ascii="Arial Unicode MS" w:cs="Arial Unicode MS" w:eastAsia="Arial Unicode MS" w:hAnsi="Arial Unicode MS"/>
          <w:rtl w:val="0"/>
        </w:rPr>
        <w:t xml:space="preserve">hsa04211 →  Longevity regulating pathway</w:t>
      </w:r>
    </w:p>
    <w:p w:rsidR="00000000" w:rsidDel="00000000" w:rsidP="00000000" w:rsidRDefault="00000000" w:rsidRPr="00000000" w14:paraId="000000AF">
      <w:pPr>
        <w:numPr>
          <w:ilvl w:val="0"/>
          <w:numId w:val="4"/>
        </w:numPr>
        <w:ind w:left="1440" w:hanging="360"/>
      </w:pPr>
      <w:r w:rsidDel="00000000" w:rsidR="00000000" w:rsidRPr="00000000">
        <w:rPr>
          <w:rFonts w:ascii="Arial Unicode MS" w:cs="Arial Unicode MS" w:eastAsia="Arial Unicode MS" w:hAnsi="Arial Unicode MS"/>
          <w:rtl w:val="0"/>
        </w:rPr>
        <w:t xml:space="preserve">hsa04213 →  Longevity regulating pathway - multiple species</w:t>
      </w:r>
    </w:p>
    <w:p w:rsidR="00000000" w:rsidDel="00000000" w:rsidP="00000000" w:rsidRDefault="00000000" w:rsidRPr="00000000" w14:paraId="000000B0">
      <w:pPr>
        <w:numPr>
          <w:ilvl w:val="0"/>
          <w:numId w:val="4"/>
        </w:numPr>
        <w:ind w:left="1440" w:hanging="360"/>
      </w:pPr>
      <w:r w:rsidDel="00000000" w:rsidR="00000000" w:rsidRPr="00000000">
        <w:rPr>
          <w:rFonts w:ascii="Arial Unicode MS" w:cs="Arial Unicode MS" w:eastAsia="Arial Unicode MS" w:hAnsi="Arial Unicode MS"/>
          <w:rtl w:val="0"/>
        </w:rPr>
        <w:t xml:space="preserve">hsa04371 →  Apelin signaling pathway</w:t>
      </w:r>
    </w:p>
    <w:p w:rsidR="00000000" w:rsidDel="00000000" w:rsidP="00000000" w:rsidRDefault="00000000" w:rsidRPr="00000000" w14:paraId="000000B1">
      <w:pPr>
        <w:numPr>
          <w:ilvl w:val="0"/>
          <w:numId w:val="4"/>
        </w:numPr>
        <w:ind w:left="1440" w:hanging="360"/>
      </w:pPr>
      <w:r w:rsidDel="00000000" w:rsidR="00000000" w:rsidRPr="00000000">
        <w:rPr>
          <w:rFonts w:ascii="Arial Unicode MS" w:cs="Arial Unicode MS" w:eastAsia="Arial Unicode MS" w:hAnsi="Arial Unicode MS"/>
          <w:rtl w:val="0"/>
        </w:rPr>
        <w:t xml:space="preserve">hsa04530 →  Tight junction</w:t>
      </w:r>
    </w:p>
    <w:p w:rsidR="00000000" w:rsidDel="00000000" w:rsidP="00000000" w:rsidRDefault="00000000" w:rsidRPr="00000000" w14:paraId="000000B2">
      <w:pPr>
        <w:numPr>
          <w:ilvl w:val="0"/>
          <w:numId w:val="4"/>
        </w:numPr>
        <w:ind w:left="1440" w:hanging="360"/>
      </w:pPr>
      <w:r w:rsidDel="00000000" w:rsidR="00000000" w:rsidRPr="00000000">
        <w:rPr>
          <w:rFonts w:ascii="Arial Unicode MS" w:cs="Arial Unicode MS" w:eastAsia="Arial Unicode MS" w:hAnsi="Arial Unicode MS"/>
          <w:rtl w:val="0"/>
        </w:rPr>
        <w:t xml:space="preserve">hsa04710 →  Circadian rhythm</w:t>
      </w:r>
    </w:p>
    <w:p w:rsidR="00000000" w:rsidDel="00000000" w:rsidP="00000000" w:rsidRDefault="00000000" w:rsidRPr="00000000" w14:paraId="000000B3">
      <w:pPr>
        <w:numPr>
          <w:ilvl w:val="0"/>
          <w:numId w:val="4"/>
        </w:numPr>
        <w:ind w:left="1440" w:hanging="360"/>
      </w:pPr>
      <w:r w:rsidDel="00000000" w:rsidR="00000000" w:rsidRPr="00000000">
        <w:rPr>
          <w:rFonts w:ascii="Arial Unicode MS" w:cs="Arial Unicode MS" w:eastAsia="Arial Unicode MS" w:hAnsi="Arial Unicode MS"/>
          <w:rtl w:val="0"/>
        </w:rPr>
        <w:t xml:space="preserve">hsa04714 →  Thermogenesis</w:t>
      </w:r>
    </w:p>
    <w:p w:rsidR="00000000" w:rsidDel="00000000" w:rsidP="00000000" w:rsidRDefault="00000000" w:rsidRPr="00000000" w14:paraId="000000B4">
      <w:pPr>
        <w:numPr>
          <w:ilvl w:val="0"/>
          <w:numId w:val="4"/>
        </w:numPr>
        <w:ind w:left="1440" w:hanging="360"/>
      </w:pPr>
      <w:r w:rsidDel="00000000" w:rsidR="00000000" w:rsidRPr="00000000">
        <w:rPr>
          <w:rFonts w:ascii="Arial Unicode MS" w:cs="Arial Unicode MS" w:eastAsia="Arial Unicode MS" w:hAnsi="Arial Unicode MS"/>
          <w:rtl w:val="0"/>
        </w:rPr>
        <w:t xml:space="preserve">hsa04910 →  Insulin signaling pathway</w:t>
      </w:r>
    </w:p>
    <w:p w:rsidR="00000000" w:rsidDel="00000000" w:rsidP="00000000" w:rsidRDefault="00000000" w:rsidRPr="00000000" w14:paraId="000000B5">
      <w:pPr>
        <w:numPr>
          <w:ilvl w:val="0"/>
          <w:numId w:val="4"/>
        </w:numPr>
        <w:ind w:left="1440" w:hanging="360"/>
      </w:pPr>
      <w:r w:rsidDel="00000000" w:rsidR="00000000" w:rsidRPr="00000000">
        <w:rPr>
          <w:rFonts w:ascii="Arial Unicode MS" w:cs="Arial Unicode MS" w:eastAsia="Arial Unicode MS" w:hAnsi="Arial Unicode MS"/>
          <w:rtl w:val="0"/>
        </w:rPr>
        <w:t xml:space="preserve">hsa04920 →  Adipocytokine signaling pathway</w:t>
      </w:r>
    </w:p>
    <w:p w:rsidR="00000000" w:rsidDel="00000000" w:rsidP="00000000" w:rsidRDefault="00000000" w:rsidRPr="00000000" w14:paraId="000000B6">
      <w:pPr>
        <w:numPr>
          <w:ilvl w:val="0"/>
          <w:numId w:val="4"/>
        </w:numPr>
        <w:ind w:left="1440" w:hanging="360"/>
      </w:pPr>
      <w:r w:rsidDel="00000000" w:rsidR="00000000" w:rsidRPr="00000000">
        <w:rPr>
          <w:rFonts w:ascii="Arial Unicode MS" w:cs="Arial Unicode MS" w:eastAsia="Arial Unicode MS" w:hAnsi="Arial Unicode MS"/>
          <w:rtl w:val="0"/>
        </w:rPr>
        <w:t xml:space="preserve">hsa04921 →  Oxytocin signaling pathway</w:t>
      </w:r>
    </w:p>
    <w:p w:rsidR="00000000" w:rsidDel="00000000" w:rsidP="00000000" w:rsidRDefault="00000000" w:rsidRPr="00000000" w14:paraId="000000B7">
      <w:pPr>
        <w:numPr>
          <w:ilvl w:val="0"/>
          <w:numId w:val="4"/>
        </w:numPr>
        <w:ind w:left="1440" w:hanging="360"/>
      </w:pPr>
      <w:r w:rsidDel="00000000" w:rsidR="00000000" w:rsidRPr="00000000">
        <w:rPr>
          <w:rFonts w:ascii="Arial Unicode MS" w:cs="Arial Unicode MS" w:eastAsia="Arial Unicode MS" w:hAnsi="Arial Unicode MS"/>
          <w:rtl w:val="0"/>
        </w:rPr>
        <w:t xml:space="preserve">hsa04922 →  Glucagon signaling pathway</w:t>
      </w:r>
    </w:p>
    <w:p w:rsidR="00000000" w:rsidDel="00000000" w:rsidP="00000000" w:rsidRDefault="00000000" w:rsidRPr="00000000" w14:paraId="000000B8">
      <w:pPr>
        <w:numPr>
          <w:ilvl w:val="0"/>
          <w:numId w:val="4"/>
        </w:numPr>
        <w:ind w:left="1440" w:hanging="360"/>
      </w:pPr>
      <w:r w:rsidDel="00000000" w:rsidR="00000000" w:rsidRPr="00000000">
        <w:rPr>
          <w:rFonts w:ascii="Arial Unicode MS" w:cs="Arial Unicode MS" w:eastAsia="Arial Unicode MS" w:hAnsi="Arial Unicode MS"/>
          <w:rtl w:val="0"/>
        </w:rPr>
        <w:t xml:space="preserve">hsa04931 →  Insulin resistance</w:t>
      </w:r>
    </w:p>
    <w:p w:rsidR="00000000" w:rsidDel="00000000" w:rsidP="00000000" w:rsidRDefault="00000000" w:rsidRPr="00000000" w14:paraId="000000B9">
      <w:pPr>
        <w:numPr>
          <w:ilvl w:val="0"/>
          <w:numId w:val="4"/>
        </w:numPr>
        <w:ind w:left="1440" w:hanging="360"/>
      </w:pPr>
      <w:r w:rsidDel="00000000" w:rsidR="00000000" w:rsidRPr="00000000">
        <w:rPr>
          <w:rFonts w:ascii="Arial Unicode MS" w:cs="Arial Unicode MS" w:eastAsia="Arial Unicode MS" w:hAnsi="Arial Unicode MS"/>
          <w:rtl w:val="0"/>
        </w:rPr>
        <w:t xml:space="preserve">hsa04932 →  Non-alcoholic fatty liver disease</w:t>
      </w:r>
    </w:p>
    <w:p w:rsidR="00000000" w:rsidDel="00000000" w:rsidP="00000000" w:rsidRDefault="00000000" w:rsidRPr="00000000" w14:paraId="000000BA">
      <w:pPr>
        <w:numPr>
          <w:ilvl w:val="0"/>
          <w:numId w:val="4"/>
        </w:numPr>
        <w:ind w:left="1440" w:hanging="360"/>
      </w:pPr>
      <w:r w:rsidDel="00000000" w:rsidR="00000000" w:rsidRPr="00000000">
        <w:rPr>
          <w:rFonts w:ascii="Arial Unicode MS" w:cs="Arial Unicode MS" w:eastAsia="Arial Unicode MS" w:hAnsi="Arial Unicode MS"/>
          <w:rtl w:val="0"/>
        </w:rPr>
        <w:t xml:space="preserve">hsa05410 →  Hypertrophic cardiomyopathy</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rPr>
          <w:shd w:fill="ff9900" w:val="clear"/>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Fuente: </w:t>
      </w:r>
    </w:p>
    <w:p w:rsidR="00000000" w:rsidDel="00000000" w:rsidP="00000000" w:rsidRDefault="00000000" w:rsidRPr="00000000" w14:paraId="000000BE">
      <w:pPr>
        <w:ind w:left="720" w:firstLine="0"/>
        <w:rPr/>
      </w:pPr>
      <w:hyperlink r:id="rId26">
        <w:r w:rsidDel="00000000" w:rsidR="00000000" w:rsidRPr="00000000">
          <w:rPr>
            <w:color w:val="1155cc"/>
            <w:u w:val="single"/>
            <w:rtl w:val="0"/>
          </w:rPr>
          <w:t xml:space="preserve">https://www.genome.jp/dbget-bin/www_bget?hsa+PRKAG2</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720" w:hanging="360"/>
        <w:jc w:val="both"/>
        <w:rPr>
          <w:u w:val="none"/>
        </w:rPr>
      </w:pPr>
      <w:r w:rsidDel="00000000" w:rsidR="00000000" w:rsidRPr="00000000">
        <w:rPr>
          <w:rtl w:val="0"/>
        </w:rPr>
        <w:t xml:space="preserve">Encontramos la variación rs121908990 que causa síndrome de Wolff-Parkinson-White y una afección del sistema de conducción cardíaca presente en la infancia y la ausencia de hipertrofia cardíaca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 el siguiente gráfico se muestra el resultado de un estudio de </w:t>
      </w:r>
      <w:r w:rsidDel="00000000" w:rsidR="00000000" w:rsidRPr="00000000">
        <w:rPr>
          <w:b w:val="1"/>
          <w:rtl w:val="0"/>
        </w:rPr>
        <w:t xml:space="preserve">ExAC</w:t>
      </w:r>
      <w:r w:rsidDel="00000000" w:rsidR="00000000" w:rsidRPr="00000000">
        <w:rPr>
          <w:rtl w:val="0"/>
        </w:rPr>
        <w:t xml:space="preserve"> sobre la posesión de esta variante en distintos grupos étnicos</w:t>
      </w:r>
    </w:p>
    <w:p w:rsidR="00000000" w:rsidDel="00000000" w:rsidP="00000000" w:rsidRDefault="00000000" w:rsidRPr="00000000" w14:paraId="000000C6">
      <w:pPr>
        <w:rPr/>
      </w:pPr>
      <w:r w:rsidDel="00000000" w:rsidR="00000000" w:rsidRPr="00000000">
        <w:rPr/>
        <w:drawing>
          <wp:inline distB="114300" distT="114300" distL="114300" distR="114300">
            <wp:extent cx="5731200" cy="2895600"/>
            <wp:effectExtent b="0" l="0" r="0" t="0"/>
            <wp:docPr id="10"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Fuente:  </w:t>
      </w:r>
      <w:hyperlink r:id="rId28">
        <w:r w:rsidDel="00000000" w:rsidR="00000000" w:rsidRPr="00000000">
          <w:rPr>
            <w:color w:val="1155cc"/>
            <w:u w:val="single"/>
            <w:rtl w:val="0"/>
          </w:rPr>
          <w:t xml:space="preserve">https://www.ncbi.nlm.nih.gov/snp/rs121908990</w:t>
        </w:r>
      </w:hyperlink>
      <w:r w:rsidDel="00000000" w:rsidR="00000000" w:rsidRPr="00000000">
        <w:rPr>
          <w:rtl w:val="0"/>
        </w:rPr>
        <w:t xml:space="preserve">  </w:t>
      </w:r>
    </w:p>
    <w:p w:rsidR="00000000" w:rsidDel="00000000" w:rsidP="00000000" w:rsidRDefault="00000000" w:rsidRPr="00000000" w14:paraId="000000C8">
      <w:pPr>
        <w:ind w:firstLine="720"/>
        <w:rPr/>
      </w:pPr>
      <w:r w:rsidDel="00000000" w:rsidR="00000000" w:rsidRPr="00000000">
        <w:rPr>
          <w:rtl w:val="0"/>
        </w:rPr>
        <w:t xml:space="preserve">  </w:t>
      </w:r>
      <w:hyperlink r:id="rId29">
        <w:r w:rsidDel="00000000" w:rsidR="00000000" w:rsidRPr="00000000">
          <w:rPr>
            <w:color w:val="1155cc"/>
            <w:u w:val="single"/>
            <w:rtl w:val="0"/>
          </w:rPr>
          <w:t xml:space="preserve">https://pubmed.ncbi.nlm.nih.gov/11748095/</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hd w:fill="ff9900" w:val="clear"/>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shd w:fill="ff9900" w:val="clear"/>
        </w:rPr>
      </w:pPr>
      <w:r w:rsidDel="00000000" w:rsidR="00000000" w:rsidRPr="00000000">
        <w:rPr>
          <w:rtl w:val="0"/>
        </w:rPr>
      </w:r>
    </w:p>
    <w:p w:rsidR="00000000" w:rsidDel="00000000" w:rsidP="00000000" w:rsidRDefault="00000000" w:rsidRPr="00000000" w14:paraId="000000CF">
      <w:pPr>
        <w:rPr>
          <w:shd w:fill="ff9900"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6.png"/><Relationship Id="rId24" Type="http://schemas.openxmlformats.org/officeDocument/2006/relationships/hyperlink" Target="https://thebiogrid.org/119531" TargetMode="External"/><Relationship Id="rId23" Type="http://schemas.openxmlformats.org/officeDocument/2006/relationships/hyperlink" Target="https://www.ncbi.nlm.nih.gov/gene/51422#intera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lineplus.gov/spanish/ency/article/000151.htm" TargetMode="External"/><Relationship Id="rId26" Type="http://schemas.openxmlformats.org/officeDocument/2006/relationships/hyperlink" Target="https://www.genome.jp/dbget-bin/www_bget?hsa+PRKAG2" TargetMode="External"/><Relationship Id="rId25" Type="http://schemas.openxmlformats.org/officeDocument/2006/relationships/hyperlink" Target="https://www.ncbi.nlm.nih.gov/gene/51422#general-gene-info" TargetMode="External"/><Relationship Id="rId28" Type="http://schemas.openxmlformats.org/officeDocument/2006/relationships/hyperlink" Target="https://www.ncbi.nlm.nih.gov/snp/rs121908990" TargetMode="External"/><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hyperlink" Target="https://pubmed.ncbi.nlm.nih.gov/11748095/" TargetMode="External"/><Relationship Id="rId7" Type="http://schemas.openxmlformats.org/officeDocument/2006/relationships/image" Target="media/image9.png"/><Relationship Id="rId8" Type="http://schemas.openxmlformats.org/officeDocument/2006/relationships/hyperlink" Target="https://www.ncbi.nlm.nih.gov/gene/51422" TargetMode="External"/><Relationship Id="rId11" Type="http://schemas.openxmlformats.org/officeDocument/2006/relationships/hyperlink" Target="https://www.ensembl.org/Homo_sapiens/Gene/Compara_Ortholog?db=core;g=ENSG00000106617;r=7:151556124-151877125" TargetMode="External"/><Relationship Id="rId10" Type="http://schemas.openxmlformats.org/officeDocument/2006/relationships/hyperlink" Target="https://www.gigantes.com/nba/lamarcus-aldridge-retirada/" TargetMode="External"/><Relationship Id="rId13" Type="http://schemas.openxmlformats.org/officeDocument/2006/relationships/image" Target="media/image3.png"/><Relationship Id="rId12" Type="http://schemas.openxmlformats.org/officeDocument/2006/relationships/hyperlink" Target="https://www.ncbi.nlm.nih.gov/gene/51422/ortholog/?scope=7776&amp;term=PRKAG2#genes-tab"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www.ensembl.org/Homo_sapiens/Gene/Splice?db=core;g=ENSG00000106617;r=7:151556124-151877125" TargetMode="External"/><Relationship Id="rId16" Type="http://schemas.openxmlformats.org/officeDocument/2006/relationships/hyperlink" Target="https://www.ncbi.nlm.nih.gov/nuccore/1890333412,1890300624,1890271246,1889702664,1889593824,1519313556,1370510321,1370510320,1370510319,1370510318,1370510317,1370510315,1370510314,1370510313,1370510312,1370510310,1370510309,1370510307,1370510305,1370510304,1370510303,1370510301,1370510300,1370510299,1034655827,1034655814,1034655810,1034655808,767947991,767947982,767947980,767947978,767947977" TargetMode="External"/><Relationship Id="rId19" Type="http://schemas.openxmlformats.org/officeDocument/2006/relationships/image" Target="media/image1.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