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Sistema de Apoyo a los Puntos Limpios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Presentacion de estadisticas de ahorro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Version &lt;1.0&gt;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7" w:type="default"/>
              <w:footerReference r:id="rId8" w:type="default"/>
              <w:pgSz w:h="15840" w:w="12240"/>
              <w:pgMar w:bottom="1440" w:top="1440" w:left="1440" w:right="1440" w:header="720" w:footer="72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Revision History</w:t>
          </w:r>
        </w:p>
      </w:sdtContent>
    </w:sdt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Date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Version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Description</w:t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Author</w:t>
                </w:r>
              </w:p>
            </w:sdtContent>
          </w:sdt>
        </w:tc>
      </w:tr>
      <w:t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30/04/2019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Creacion del documento</w:t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1350"/>
                  </w:tabs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06/06/2019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1.1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agregaron nuevos criterios de aceptacion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Table of Contents</w:t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43"/>
          </w:sdtPr>
          <w:sdtContent>
            <w:p w:rsidR="00000000" w:rsidDel="00000000" w:rsidP="00000000" w:rsidRDefault="00000000" w:rsidRPr="00000000" w14:paraId="0000002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1.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Description</w:t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"_heading=h.30j0zll"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4"/>
          </w:sdtPr>
          <w:sdtContent>
            <w:p w:rsidR="00000000" w:rsidDel="00000000" w:rsidP="00000000" w:rsidRDefault="00000000" w:rsidRPr="00000000" w14:paraId="0000002D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2.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Acceptance Criteria</w:t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"_heading=h.1fob9te"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br w:type="pag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Presentacion de estadisticas de ahorro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hanging="72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pStyle w:val="Heading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  <w:t xml:space="preserve">Description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ind w:left="720"/>
            <w:rPr/>
          </w:pPr>
          <w:r w:rsidDel="00000000" w:rsidR="00000000" w:rsidRPr="00000000">
            <w:rPr>
              <w:sz w:val="22"/>
              <w:szCs w:val="22"/>
              <w:rtl w:val="0"/>
            </w:rPr>
            <w:t xml:space="preserve">Como usuario quiero acceder a la seccion “Ahorro” para vizualisar estadisticas respecto al ahorro economico producto del material reciclado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pStyle w:val="Heading1"/>
            <w:widowControl w:val="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Acceptance Criteria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numPr>
              <w:ilvl w:val="0"/>
              <w:numId w:val="1"/>
            </w:numPr>
            <w:ind w:left="1440" w:hanging="360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Verificar que las estadisticas se encuentren actualizadas.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numPr>
              <w:ilvl w:val="0"/>
              <w:numId w:val="1"/>
            </w:numPr>
            <w:ind w:left="1440" w:hanging="360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Verificar el posible acceso a la sección “Ahorro”.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numPr>
              <w:ilvl w:val="0"/>
              <w:numId w:val="1"/>
            </w:numPr>
            <w:ind w:left="1440" w:hanging="360"/>
            <w:rPr>
              <w:sz w:val="22"/>
              <w:szCs w:val="22"/>
              <w:u w:val="no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Verificar que la estadistica de Ahorro concuerde sobre dicho material a reciclar.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ind w:left="1440" w:firstLine="0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ind w:left="1440"/>
            <w:rPr>
              <w:sz w:val="22"/>
              <w:szCs w:val="22"/>
            </w:rPr>
          </w:pPr>
          <w:bookmarkStart w:colFirst="0" w:colLast="0" w:name="_heading=h.3znysh7" w:id="3"/>
          <w:bookmarkEnd w:id="3"/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0"/>
    </w:sdtPr>
    <w:sdtContent>
      <w:p w:rsidR="00000000" w:rsidDel="00000000" w:rsidP="00000000" w:rsidRDefault="00000000" w:rsidRPr="00000000" w14:paraId="0000003D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1"/>
          </w:sdtPr>
          <w:sdtContent>
            <w:p w:rsidR="00000000" w:rsidDel="00000000" w:rsidP="00000000" w:rsidRDefault="00000000" w:rsidRPr="00000000" w14:paraId="0000003E">
              <w:pPr>
                <w:ind w:right="360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  <w:t xml:space="preserve">Confidential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2"/>
          </w:sdtPr>
          <w:sdtContent>
            <w:p w:rsidR="00000000" w:rsidDel="00000000" w:rsidP="00000000" w:rsidRDefault="00000000" w:rsidRPr="00000000" w14:paraId="0000003F">
              <w:pPr>
                <w:jc w:val="center"/>
                <w:rPr/>
              </w:pPr>
              <w:r w:rsidDel="00000000" w:rsidR="00000000" w:rsidRPr="00000000">
                <w:rPr>
                  <w:rFonts w:ascii="Noto Sans Symbols" w:cs="Noto Sans Symbols" w:eastAsia="Noto Sans Symbols" w:hAnsi="Noto Sans Symbols"/>
                  <w:rtl w:val="0"/>
                </w:rPr>
                <w:t xml:space="preserve">©</w:t>
              </w:r>
              <w:r w:rsidDel="00000000" w:rsidR="00000000" w:rsidRPr="00000000">
                <w:rPr>
                  <w:rtl w:val="0"/>
                </w:rPr>
                <w:t xml:space="preserve">&lt;Company Name&gt;, 2019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3"/>
          </w:sdtPr>
          <w:sdtContent>
            <w:p w:rsidR="00000000" w:rsidDel="00000000" w:rsidP="00000000" w:rsidRDefault="00000000" w:rsidRPr="00000000" w14:paraId="00000040">
              <w:pPr>
                <w:jc w:val="right"/>
                <w:rPr/>
              </w:pPr>
              <w:r w:rsidDel="00000000" w:rsidR="00000000" w:rsidRPr="00000000">
                <w:rPr>
                  <w:rtl w:val="0"/>
                </w:rPr>
                <w:t xml:space="preserve">Page </w:t>
              </w:r>
              <w:r w:rsidDel="00000000" w:rsidR="00000000" w:rsidRPr="00000000">
                <w:rPr/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64"/>
    </w:sdtPr>
    <w:sdtContent>
      <w:p w:rsidR="00000000" w:rsidDel="00000000" w:rsidP="00000000" w:rsidRDefault="00000000" w:rsidRPr="00000000" w14:paraId="00000041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5"/>
    </w:sdtPr>
    <w:sdtContent>
      <w:p w:rsidR="00000000" w:rsidDel="00000000" w:rsidP="00000000" w:rsidRDefault="00000000" w:rsidRPr="00000000" w14:paraId="00000038">
        <w:pP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6"/>
    </w:sdtPr>
    <w:sdtContent>
      <w:p w:rsidR="00000000" w:rsidDel="00000000" w:rsidP="00000000" w:rsidRDefault="00000000" w:rsidRPr="00000000" w14:paraId="00000039">
        <w:pPr>
          <w:pBdr>
            <w:top w:color="000000" w:space="1" w:sz="6" w:val="single"/>
          </w:pBd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7"/>
    </w:sdtPr>
    <w:sdtContent>
      <w:p w:rsidR="00000000" w:rsidDel="00000000" w:rsidP="00000000" w:rsidRDefault="00000000" w:rsidRPr="00000000" w14:paraId="0000003A">
        <w:pPr>
          <w:pBdr>
            <w:bottom w:color="000000" w:space="1" w:sz="6" w:val="single"/>
          </w:pBdr>
          <w:jc w:val="right"/>
          <w:rPr>
            <w:rFonts w:ascii="Arial" w:cs="Arial" w:eastAsia="Arial" w:hAnsi="Arial"/>
            <w:b w:val="1"/>
            <w:sz w:val="36"/>
            <w:szCs w:val="36"/>
          </w:rPr>
        </w:pPr>
        <w:r w:rsidDel="00000000" w:rsidR="00000000" w:rsidRPr="00000000">
          <w:rPr>
            <w:rFonts w:ascii="Arial" w:cs="Arial" w:eastAsia="Arial" w:hAnsi="Arial"/>
            <w:b w:val="1"/>
            <w:sz w:val="36"/>
            <w:szCs w:val="36"/>
            <w:rtl w:val="0"/>
          </w:rPr>
          <w:t xml:space="preserve">Grupo 2</w:t>
        </w:r>
      </w:p>
    </w:sdtContent>
  </w:sdt>
  <w:sdt>
    <w:sdtPr>
      <w:tag w:val="goog_rdk_58"/>
    </w:sdtPr>
    <w:sdtContent>
      <w:p w:rsidR="00000000" w:rsidDel="00000000" w:rsidP="00000000" w:rsidRDefault="00000000" w:rsidRPr="00000000" w14:paraId="0000003B">
        <w:pPr>
          <w:pBdr>
            <w:bottom w:color="000000" w:space="1" w:sz="6" w:val="single"/>
          </w:pBdr>
          <w:jc w:val="right"/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9"/>
    </w:sdtPr>
    <w:sdtContent>
      <w:p w:rsidR="00000000" w:rsidDel="00000000" w:rsidP="00000000" w:rsidRDefault="00000000" w:rsidRPr="00000000" w14:paraId="0000003C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 w:customStyle="1">
    <w:name w:val="Título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Fnso6AggfnhaUafhcN8CXbROg==">AMUW2mWCFk7j0BkszqwFOiNYIFk4ZfPzVtemdmfK2qoy+NWc0fw5qQCBGP1VOsMB5gPf+Kg3W+kK26pQlIoyRxIxPHw/2VGVlpmT35hubZNEgWtqMP9bGN1h2I2GcvZZFNSb0Z4ty3gI0Qu9uOWxYEGw1wK3B8DTBImUicby+Mkk40EHNV55hCA=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2019-05-07T22:52:00Z</dcterms:created>
  <dc:creator>Hp</dc:creator>
</cp:coreProperties>
</file>