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Ensinamentos do projeto</w:t>
      </w:r>
    </w:p>
    <w:p>
      <w:pPr>
        <w:pStyle w:val="Normal"/>
      </w:pPr>
      <w:r>
        <w:t xml:space="preserve">Corevia Commerce Platform</w:t>
      </w:r>
    </w:p>
    <w:p>
      <w:pPr>
        <w:pStyle w:val="Normal"/>
      </w:pPr>
      <w:r>
        <w:t xml:space="preserve">As aulas detalhadas ficam em documentos Word nesta pasta. Cada aula corresponde a um arquivo de código ou configuração criado ou alterado.</w:t>
      </w:r>
    </w:p>
    <w:p>
      <w:pPr>
        <w:pStyle w:val="Heading1"/>
      </w:pPr>
      <w:r>
        <w:t xml:space="preserve">Aulas disponíveis</w:t>
      </w:r>
    </w:p>
    <w:p>
      <w:pPr>
        <w:pStyle w:val="Normal"/>
      </w:pPr>
      <w:r>
        <w:t xml:space="preserve">Produto.java.docx — mapeamento da entidade Java para a tabela produtos do PostgreSQL.</w:t>
      </w:r>
    </w:p>
    <w:p>
      <w:pPr>
        <w:pStyle w:val="Normal"/>
      </w:pPr>
      <w:r>
        <w:t xml:space="preserve">application.properties.docx — validação do esquema do banco durante a inicialização.</w:t>
      </w:r>
    </w:p>
    <w:p>
      <w:pPr>
        <w:pStyle w:val="Normal"/>
      </w:pPr>
      <w:r>
        <w:t xml:space="preserve">Ao retomar o projeto, consulte também CONTEXTO.md para localizar o ponto em que paramos.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60" w:line="276" w:lineRule="auto"/>
    </w:pPr>
  </w:style>
  <w:style w:type="paragraph" w:styleId="Title">
    <w:name w:val="Title"/>
    <w:rPr>
      <w:b/>
      <w:sz w:val="36"/>
      <w:color w:val="174A7E"/>
    </w:rPr>
    <w:pPr>
      <w:spacing w:after="240"/>
    </w:pPr>
  </w:style>
  <w:style w:type="paragraph" w:styleId="Heading1">
    <w:name w:val="heading 1"/>
    <w:basedOn w:val="Normal"/>
    <w:qFormat/>
    <w:rPr>
      <w:b/>
      <w:sz w:val="28"/>
      <w:color w:val="23669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