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Aula: </w:t>
      </w:r>
      <w:r>
        <w:rPr>
          <w:rFonts w:ascii="Consolas" w:hAnsi="Consolas"/>
          <w:color w:val="174A7E"/>
        </w:rPr>
        <w:t xml:space="preserve">Produto.java</w:t>
      </w:r>
      <w:r>
        <w:t xml:space="preserve"/>
      </w:r>
    </w:p>
    <w:p>
      <w:pPr>
        <w:pStyle w:val="Normal"/>
      </w:pPr>
      <w:r>
        <w:t xml:space="preserve">Arquivo explicado: </w:t>
      </w:r>
      <w:r>
        <w:t xml:space="preserve">`comercial-api/src/main/java/com/portfolio/comercial/entity/Produto.java`</w:t>
      </w:r>
      <w:r>
        <w:t xml:space="preserve"/>
      </w:r>
    </w:p>
    <w:p>
      <w:pPr>
        <w:pStyle w:val="Heading2"/>
      </w:pPr>
      <w:r>
        <w:t xml:space="preserve">Objetivo desta alteração</w:t>
      </w:r>
    </w:p>
    <w:p>
      <w:pPr>
        <w:pStyle w:val="Normal"/>
      </w:pPr>
      <w:r>
        <w:t xml:space="preserve">Mapear a classe Java </w:t>
      </w:r>
      <w:r>
        <w:rPr>
          <w:rFonts w:ascii="Consolas" w:hAnsi="Consolas"/>
          <w:color w:val="174A7E"/>
        </w:rPr>
        <w:t xml:space="preserve">Produto</w:t>
      </w:r>
      <w:r>
        <w:t xml:space="preserve"> para a tabela que já existe no banco PostgreSQL. A estrutura foi lida da captura </w:t>
      </w:r>
      <w:r>
        <w:t xml:space="preserve">`prints/Dados da tabela.png`</w:t>
      </w:r>
      <w:r>
        <w:t xml:space="preserve">.</w:t>
      </w:r>
    </w:p>
    <w:p>
      <w:pPr>
        <w:pStyle w:val="Normal"/>
      </w:pPr>
      <w:r>
        <w:t xml:space="preserve">O banco mostra estas colunas: </w:t>
      </w:r>
      <w:r>
        <w:rPr>
          <w:rFonts w:ascii="Consolas" w:hAnsi="Consolas"/>
          <w:color w:val="174A7E"/>
        </w:rPr>
        <w:t xml:space="preserve">id</w:t>
      </w:r>
      <w:r>
        <w:t xml:space="preserve">, </w:t>
      </w:r>
      <w:r>
        <w:rPr>
          <w:rFonts w:ascii="Consolas" w:hAnsi="Consolas"/>
          <w:color w:val="174A7E"/>
        </w:rPr>
        <w:t xml:space="preserve">categoria_id</w:t>
      </w:r>
      <w:r>
        <w:t xml:space="preserve">, </w:t>
      </w:r>
      <w:r>
        <w:rPr>
          <w:rFonts w:ascii="Consolas" w:hAnsi="Consolas"/>
          <w:color w:val="174A7E"/>
        </w:rPr>
        <w:t xml:space="preserve">sku</w:t>
      </w:r>
      <w:r>
        <w:t xml:space="preserve">, </w:t>
      </w:r>
      <w:r>
        <w:rPr>
          <w:rFonts w:ascii="Consolas" w:hAnsi="Consolas"/>
          <w:color w:val="174A7E"/>
        </w:rPr>
        <w:t xml:space="preserve">nome</w:t>
      </w:r>
      <w:r>
        <w:t xml:space="preserve">, </w:t>
      </w:r>
      <w:r>
        <w:rPr>
          <w:rFonts w:ascii="Consolas" w:hAnsi="Consolas"/>
          <w:color w:val="174A7E"/>
        </w:rPr>
        <w:t xml:space="preserve">descricao</w:t>
      </w:r>
      <w:r>
        <w:t xml:space="preserve">, </w:t>
      </w:r>
      <w:r>
        <w:rPr>
          <w:rFonts w:ascii="Consolas" w:hAnsi="Consolas"/>
          <w:color w:val="174A7E"/>
        </w:rPr>
        <w:t xml:space="preserve">preco</w:t>
      </w:r>
      <w:r>
        <w:t xml:space="preserve">, </w:t>
      </w:r>
      <w:r>
        <w:rPr>
          <w:rFonts w:ascii="Consolas" w:hAnsi="Consolas"/>
          <w:color w:val="174A7E"/>
        </w:rPr>
        <w:t xml:space="preserve">estoque_atual</w:t>
      </w:r>
      <w:r>
        <w:t xml:space="preserve"> e </w:t>
      </w:r>
      <w:r>
        <w:rPr>
          <w:rFonts w:ascii="Consolas" w:hAnsi="Consolas"/>
          <w:color w:val="174A7E"/>
        </w:rPr>
        <w:t xml:space="preserve">ativo</w:t>
      </w:r>
      <w:r>
        <w:t xml:space="preserve">. Os nomes e limites abaixo foram alinhados a essa tabela.</w:t>
      </w:r>
    </w:p>
    <w:p>
      <w:pPr>
        <w:pStyle w:val="Heading2"/>
      </w:pPr>
      <w:r>
        <w:t xml:space="preserve">Código atual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package com.portfolio.comercial.entity;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java.math.BigDecimal;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jakarta.persistence.Column;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jakarta.persistence.Entity;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jakarta.persistence.GeneratedValue;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jakarta.persistence.GenerationType;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jakarta.persistence.Id;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import jakarta.persistence.Table;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@Entity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@Table(name = "produtos", schema = "portfolio_web")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public class Produto {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@Id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@GeneratedValue(strategy = GenerationType.IDENTITY)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Long id;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"categoria_id")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Long categoriaId;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"sku", length = 40)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String sku;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"nome", length = 150)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String nome;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"descricao", length = 255)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String descricao;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"preco", precision = 12, scale = 2)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BigDecimal preco;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"estoque_atual")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Integer estoqueAtual;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/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@Column(name = "ativo")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    private Boolean ativo = true;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}</w:t>
      </w:r>
    </w:p>
    <w:p>
      <w:pPr>
        <w:pStyle w:val="Heading2"/>
      </w:pPr>
      <w:r>
        <w:t xml:space="preserve">Pacote e imports</w:t>
      </w:r>
    </w:p>
    <w:p>
      <w:pPr>
        <w:pStyle w:val="Normal"/>
      </w:pPr>
      <w:r>
        <w:t xml:space="preserve"/>
      </w:r>
      <w:r>
        <w:rPr>
          <w:rFonts w:ascii="Consolas" w:hAnsi="Consolas"/>
          <w:color w:val="174A7E"/>
        </w:rPr>
        <w:t xml:space="preserve">package com.portfolio.comercial.entity;</w:t>
      </w:r>
      <w:r>
        <w:t xml:space="preserve"> coloca a classe no pacote </w:t>
      </w:r>
      <w:r>
        <w:rPr>
          <w:rFonts w:ascii="Consolas" w:hAnsi="Consolas"/>
          <w:color w:val="174A7E"/>
        </w:rPr>
        <w:t xml:space="preserve">entity</w:t>
      </w:r>
      <w:r>
        <w:t xml:space="preserve">, que organiza as classes que representam dados persistidos.</w:t>
      </w:r>
    </w:p>
    <w:p>
      <w:pPr>
        <w:pStyle w:val="Normal"/>
      </w:pPr>
      <w:r>
        <w:t xml:space="preserve"/>
      </w:r>
      <w:r>
        <w:rPr>
          <w:rFonts w:ascii="Consolas" w:hAnsi="Consolas"/>
          <w:color w:val="174A7E"/>
        </w:rPr>
        <w:t xml:space="preserve">BigDecimal</w:t>
      </w:r>
      <w:r>
        <w:t xml:space="preserve"> é uma classe Java para números decimais de precisão controlada. Ela é indicada para preços. Os imports </w:t>
      </w:r>
      <w:r>
        <w:rPr>
          <w:rFonts w:ascii="Consolas" w:hAnsi="Consolas"/>
          <w:color w:val="174A7E"/>
        </w:rPr>
        <w:t xml:space="preserve">jakarta.persistence.*</w:t>
      </w:r>
      <w:r>
        <w:t xml:space="preserve"> trazem as anotações do padrão JPA que descrevem como os campos correspondem à tabela.</w:t>
      </w:r>
    </w:p>
    <w:p>
      <w:pPr>
        <w:pStyle w:val="Heading2"/>
      </w:pPr>
      <w:r>
        <w:t xml:space="preserve">Classe e tabela</w:t>
      </w:r>
    </w:p>
    <w:p>
      <w:pPr>
        <w:pStyle w:val="Normal"/>
      </w:pPr>
      <w:r>
        <w:t xml:space="preserve"/>
      </w:r>
      <w:r>
        <w:rPr>
          <w:rFonts w:ascii="Consolas" w:hAnsi="Consolas"/>
          <w:color w:val="174A7E"/>
        </w:rPr>
        <w:t xml:space="preserve">@Entity</w:t>
      </w:r>
      <w:r>
        <w:t xml:space="preserve"> avisa ao JPA que objetos desta classe podem representar registros do banco. Um objeto </w:t>
      </w:r>
      <w:r>
        <w:rPr>
          <w:rFonts w:ascii="Consolas" w:hAnsi="Consolas"/>
          <w:color w:val="174A7E"/>
        </w:rPr>
        <w:t xml:space="preserve">Produto</w:t>
      </w:r>
      <w:r>
        <w:t xml:space="preserve"> corresponde a uma linha de produto.</w:t>
      </w:r>
    </w:p>
    <w:p>
      <w:pPr>
        <w:pStyle w:val="Normal"/>
      </w:pPr>
      <w:r>
        <w:t xml:space="preserve"/>
      </w:r>
      <w:r>
        <w:rPr>
          <w:rFonts w:ascii="Consolas" w:hAnsi="Consolas"/>
          <w:color w:val="174A7E"/>
        </w:rPr>
        <w:t xml:space="preserve">@Table(name = "produtos", schema = "portfolio_web")</w:t>
      </w:r>
      <w:r>
        <w:t xml:space="preserve"> informa a tabela e o schema. Neste banco, a referência completa é </w:t>
      </w:r>
      <w:r>
        <w:rPr>
          <w:rFonts w:ascii="Consolas" w:hAnsi="Consolas"/>
          <w:color w:val="174A7E"/>
        </w:rPr>
        <w:t xml:space="preserve">portfolio_web.produtos</w:t>
      </w:r>
      <w:r>
        <w:t xml:space="preserve">. O schema funciona como um agrupamento lógico dentro do banco.</w:t>
      </w:r>
    </w:p>
    <w:p>
      <w:pPr>
        <w:pStyle w:val="Heading2"/>
      </w:pPr>
      <w:r>
        <w:t xml:space="preserve">Chave primária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@Id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@GeneratedValue(strategy = GenerationType.IDENTITY)</w:t>
      </w:r>
    </w:p>
    <w:p>
      <w:pPr>
        <w:pStyle w:val="CodeBlock"/>
      </w:pPr>
      <w:r>
        <w:rPr>
          <w:rFonts w:ascii="Consolas" w:hAnsi="Consolas"/>
          <w:color w:val="174A7E"/>
        </w:rPr>
        <w:t xml:space="preserve">private Long id;</w:t>
      </w:r>
    </w:p>
    <w:p>
      <w:pPr>
        <w:pStyle w:val="ListParagraph"/>
      </w:pPr>
      <w:r>
        <w:t xml:space="preserve">•  </w:t>
      </w:r>
      <w:r>
        <w:rPr>
          <w:rFonts w:ascii="Consolas" w:hAnsi="Consolas"/>
          <w:color w:val="174A7E"/>
        </w:rPr>
        <w:t xml:space="preserve">@Id</w:t>
      </w:r>
      <w:r>
        <w:t xml:space="preserve"> marca o campo que identifica unicamente uma linha.</w:t>
      </w:r>
    </w:p>
    <w:p>
      <w:pPr>
        <w:pStyle w:val="ListParagraph"/>
      </w:pPr>
      <w:r>
        <w:t xml:space="preserve">•  </w:t>
      </w:r>
      <w:r>
        <w:rPr>
          <w:rFonts w:ascii="Consolas" w:hAnsi="Consolas"/>
          <w:color w:val="174A7E"/>
        </w:rPr>
        <w:t xml:space="preserve">@GeneratedValue</w:t>
      </w:r>
      <w:r>
        <w:t xml:space="preserve"> configura a geração automática desse valor.</w:t>
      </w:r>
    </w:p>
    <w:p>
      <w:pPr>
        <w:pStyle w:val="ListParagraph"/>
      </w:pPr>
      <w:r>
        <w:t xml:space="preserve">•  </w:t>
      </w:r>
      <w:r>
        <w:rPr>
          <w:rFonts w:ascii="Consolas" w:hAnsi="Consolas"/>
          <w:color w:val="174A7E"/>
        </w:rPr>
        <w:t xml:space="preserve">IDENTITY</w:t>
      </w:r>
      <w:r>
        <w:t xml:space="preserve"> pede ao banco que gere o identificador quando uma linha for inserida; o JPA depois preenche o </w:t>
      </w:r>
      <w:r>
        <w:rPr>
          <w:rFonts w:ascii="Consolas" w:hAnsi="Consolas"/>
          <w:color w:val="174A7E"/>
        </w:rPr>
        <w:t xml:space="preserve">id</w:t>
      </w:r>
      <w:r>
        <w:t xml:space="preserve"> do objeto.</w:t>
      </w:r>
    </w:p>
    <w:p>
      <w:pPr>
        <w:pStyle w:val="ListParagraph"/>
      </w:pPr>
      <w:r>
        <w:t xml:space="preserve">•  </w:t>
      </w:r>
      <w:r>
        <w:rPr>
          <w:rFonts w:ascii="Consolas" w:hAnsi="Consolas"/>
          <w:color w:val="174A7E"/>
        </w:rPr>
        <w:t xml:space="preserve">Long</w:t>
      </w:r>
      <w:r>
        <w:t xml:space="preserve"> corresponde a um número inteiro grande (</w:t>
      </w:r>
      <w:r>
        <w:rPr>
          <w:rFonts w:ascii="Consolas" w:hAnsi="Consolas"/>
          <w:color w:val="174A7E"/>
        </w:rPr>
        <w:t xml:space="preserve">bigint</w:t>
      </w:r>
      <w:r>
        <w:t xml:space="preserve">) e aceita </w:t>
      </w:r>
      <w:r>
        <w:rPr>
          <w:rFonts w:ascii="Consolas" w:hAnsi="Consolas"/>
          <w:color w:val="174A7E"/>
        </w:rPr>
        <w:t xml:space="preserve">null</w:t>
      </w:r>
      <w:r>
        <w:t xml:space="preserve"> antes da inserção. O </w:t>
      </w:r>
      <w:r>
        <w:rPr>
          <w:rFonts w:ascii="Consolas" w:hAnsi="Consolas"/>
          <w:color w:val="174A7E"/>
        </w:rPr>
        <w:t xml:space="preserve">long</w:t>
      </w:r>
      <w:r>
        <w:t xml:space="preserve"> primitivo começaria em zero.</w:t>
      </w:r>
    </w:p>
    <w:p>
      <w:pPr>
        <w:pStyle w:val="Normal"/>
      </w:pPr>
      <w:r>
        <w:t xml:space="preserve">Assim, antes de salvar um produto, seu </w:t>
      </w:r>
      <w:r>
        <w:rPr>
          <w:rFonts w:ascii="Consolas" w:hAnsi="Consolas"/>
          <w:color w:val="174A7E"/>
        </w:rPr>
        <w:t xml:space="preserve">id</w:t>
      </w:r>
      <w:r>
        <w:t xml:space="preserve"> pode ser </w:t>
      </w:r>
      <w:r>
        <w:rPr>
          <w:rFonts w:ascii="Consolas" w:hAnsi="Consolas"/>
          <w:color w:val="174A7E"/>
        </w:rPr>
        <w:t xml:space="preserve">null</w:t>
      </w:r>
      <w:r>
        <w:t xml:space="preserve">; depois da inserção, pode ser </w:t>
      </w:r>
      <w:r>
        <w:rPr>
          <w:rFonts w:ascii="Consolas" w:hAnsi="Consolas"/>
          <w:color w:val="174A7E"/>
        </w:rPr>
        <w:t xml:space="preserve">1</w:t>
      </w:r>
      <w:r>
        <w:t xml:space="preserve"> ou outro valor gerado pelo banco.</w:t>
      </w:r>
    </w:p>
    <w:p>
      <w:pPr>
        <w:pStyle w:val="Heading2"/>
      </w:pPr>
      <w:r>
        <w:t xml:space="preserve">Campos correspondentes às colunas</w:t>
      </w:r>
    </w:p>
    <w:p>
      <w:pPr>
        <w:pStyle w:val="Normal"/>
      </w:pPr>
      <w:r>
        <w:t xml:space="preserve"/>
      </w:r>
      <w:r>
        <w:rPr>
          <w:rFonts w:ascii="Consolas" w:hAnsi="Consolas"/>
          <w:color w:val="174A7E"/>
        </w:rPr>
        <w:t xml:space="preserve">@Column(name = "...")</w:t>
      </w:r>
      <w:r>
        <w:t xml:space="preserve"> informa o nome exato da coluna no banco. O campo pode ter um nome mais natural para Java, enquanto o valor de </w:t>
      </w:r>
      <w:r>
        <w:rPr>
          <w:rFonts w:ascii="Consolas" w:hAnsi="Consolas"/>
          <w:color w:val="174A7E"/>
        </w:rPr>
        <w:t xml:space="preserve">name</w:t>
      </w:r>
      <w:r>
        <w:t xml:space="preserve"> preserva o nome da tabela.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CEAF7"/>
          </w:tcPr>
          <w:p>
            <w:pPr>
              <w:pStyle w:val="TableText"/>
            </w:pPr>
            <w:r>
              <w:t xml:space="preserve">Campo Java</w:t>
            </w:r>
          </w:p>
        </w:tc>
        <w:tc>
          <w:tcPr>
            <w:tcW w:w="2400" w:type="dxa"/>
            <w:shd w:fill="DCEAF7"/>
          </w:tcPr>
          <w:p>
            <w:pPr>
              <w:pStyle w:val="TableText"/>
            </w:pPr>
            <w:r>
              <w:t xml:space="preserve">Coluna</w:t>
            </w:r>
          </w:p>
        </w:tc>
        <w:tc>
          <w:tcPr>
            <w:tcW w:w="2400" w:type="dxa"/>
            <w:shd w:fill="DCEAF7"/>
          </w:tcPr>
          <w:p>
            <w:pPr>
              <w:pStyle w:val="TableText"/>
            </w:pPr>
            <w:r>
              <w:t xml:space="preserve">Tipo exibido no banco</w:t>
            </w:r>
          </w:p>
        </w:tc>
        <w:tc>
          <w:tcPr>
            <w:tcW w:w="2400" w:type="dxa"/>
            <w:shd w:fill="DCEAF7"/>
          </w:tcPr>
          <w:p>
            <w:pPr>
              <w:pStyle w:val="TableText"/>
            </w:pPr>
            <w:r>
              <w:t xml:space="preserve">Explicação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Long categoriaId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categoria_id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bigint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Guarda o identificador da categoria. Por enquanto é só um número, sem uma classe </w:t>
            </w:r>
            <w:r>
              <w:rPr>
                <w:rFonts w:ascii="Consolas" w:hAnsi="Consolas"/>
                <w:color w:val="174A7E"/>
              </w:rPr>
              <w:t xml:space="preserve">Categoria</w:t>
            </w:r>
            <w:r>
              <w:t xml:space="preserve"> relacionada.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String sku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sku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varchar(40)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Código textual de identificação do produto; </w:t>
            </w:r>
            <w:r>
              <w:rPr>
                <w:rFonts w:ascii="Consolas" w:hAnsi="Consolas"/>
                <w:color w:val="174A7E"/>
              </w:rPr>
              <w:t xml:space="preserve">length = 40</w:t>
            </w:r>
            <w:r>
              <w:t xml:space="preserve"> registra o tamanho observado na tabela.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String nome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nome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varchar(150)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Nome textual com até 150 caracteres.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String descricao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descricao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varchar(255)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Descrição textual com até 255 caracteres.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BigDecimal preco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preco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numeric(12,2)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Preço decimal com 12 algarismos no total e duas casas decimais.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Integer estoqueAtual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estoque_atual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integer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Quantidade inteira disponível no estoque. A anotação traduz o nome camelCase do Java para o nome literal da coluna.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Boolean ativo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ativo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</w:r>
            <w:r>
              <w:rPr>
                <w:rFonts w:ascii="Consolas" w:hAnsi="Consolas"/>
                <w:color w:val="174A7E"/>
              </w:rPr>
              <w:t xml:space="preserve">boolean</w:t>
            </w: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Indica se o produto está ativo (</w:t>
            </w:r>
            <w:r>
              <w:rPr>
                <w:rFonts w:ascii="Consolas" w:hAnsi="Consolas"/>
                <w:color w:val="174A7E"/>
              </w:rPr>
              <w:t xml:space="preserve">true</w:t>
            </w:r>
            <w:r>
              <w:t xml:space="preserve">) ou inativo (</w:t>
            </w:r>
            <w:r>
              <w:rPr>
                <w:rFonts w:ascii="Consolas" w:hAnsi="Consolas"/>
                <w:color w:val="174A7E"/>
              </w:rPr>
              <w:t xml:space="preserve">false</w:t>
            </w:r>
            <w:r>
              <w:t xml:space="preserve">). Objetos Java novos começam com </w:t>
            </w:r>
            <w:r>
              <w:rPr>
                <w:rFonts w:ascii="Consolas" w:hAnsi="Consolas"/>
                <w:color w:val="174A7E"/>
              </w:rPr>
              <w:t xml:space="preserve">true</w:t>
            </w:r>
            <w:r>
              <w:t xml:space="preserve">.</w:t>
            </w:r>
          </w:p>
        </w:tc>
      </w:tr>
    </w:tbl>
    <w:p>
      <w:pPr>
        <w:pStyle w:val="Heading3"/>
      </w:pPr>
      <w:r>
        <w:t xml:space="preserve">Por que </w:t>
      </w:r>
      <w:r>
        <w:rPr>
          <w:rFonts w:ascii="Consolas" w:hAnsi="Consolas"/>
          <w:color w:val="174A7E"/>
        </w:rPr>
        <w:t xml:space="preserve">BigDecimal</w:t>
      </w:r>
      <w:r>
        <w:t xml:space="preserve"> para preço?</w:t>
      </w:r>
    </w:p>
    <w:p>
      <w:pPr>
        <w:pStyle w:val="Normal"/>
      </w:pPr>
      <w:r>
        <w:t xml:space="preserve"/>
      </w:r>
      <w:r>
        <w:rPr>
          <w:rFonts w:ascii="Consolas" w:hAnsi="Consolas"/>
          <w:color w:val="174A7E"/>
        </w:rPr>
        <w:t xml:space="preserve">float</w:t>
      </w:r>
      <w:r>
        <w:t xml:space="preserve"> e </w:t>
      </w:r>
      <w:r>
        <w:rPr>
          <w:rFonts w:ascii="Consolas" w:hAnsi="Consolas"/>
          <w:color w:val="174A7E"/>
        </w:rPr>
        <w:t xml:space="preserve">double</w:t>
      </w:r>
      <w:r>
        <w:t xml:space="preserve"> guardam números em ponto flutuante binário e podem representar alguns decimais com pequenas aproximações. </w:t>
      </w:r>
      <w:r>
        <w:rPr>
          <w:rFonts w:ascii="Consolas" w:hAnsi="Consolas"/>
          <w:color w:val="174A7E"/>
        </w:rPr>
        <w:t xml:space="preserve">BigDecimal</w:t>
      </w:r>
      <w:r>
        <w:t xml:space="preserve"> permite trabalhar com a precisão decimal usada para dinheiro. </w:t>
      </w:r>
      <w:r>
        <w:rPr>
          <w:rFonts w:ascii="Consolas" w:hAnsi="Consolas"/>
          <w:color w:val="174A7E"/>
        </w:rPr>
        <w:t xml:space="preserve">precision = 12, scale = 2</w:t>
      </w:r>
      <w:r>
        <w:t xml:space="preserve"> descreve a coluna </w:t>
      </w:r>
      <w:r>
        <w:rPr>
          <w:rFonts w:ascii="Consolas" w:hAnsi="Consolas"/>
          <w:color w:val="174A7E"/>
        </w:rPr>
        <w:t xml:space="preserve">numeric(12,2)</w:t>
      </w:r>
      <w:r>
        <w:t xml:space="preserve">; não faz arredondamento nem substitui a validação de valores recebidos pela API.</w:t>
      </w:r>
    </w:p>
    <w:p>
      <w:pPr>
        <w:pStyle w:val="Heading2"/>
      </w:pPr>
      <w:r>
        <w:t xml:space="preserve">Categoria: escolha para aprender gradualmente</w:t>
      </w:r>
    </w:p>
    <w:p>
      <w:pPr>
        <w:pStyle w:val="Normal"/>
      </w:pPr>
      <w:r>
        <w:t xml:space="preserve">Como primeira etapa, </w:t>
      </w:r>
      <w:r>
        <w:rPr>
          <w:rFonts w:ascii="Consolas" w:hAnsi="Consolas"/>
          <w:color w:val="174A7E"/>
        </w:rPr>
        <w:t xml:space="preserve">categoriaId</w:t>
      </w:r>
      <w:r>
        <w:t xml:space="preserve"> guarda o valor de </w:t>
      </w:r>
      <w:r>
        <w:rPr>
          <w:rFonts w:ascii="Consolas" w:hAnsi="Consolas"/>
          <w:color w:val="174A7E"/>
        </w:rPr>
        <w:t xml:space="preserve">categoria_id</w:t>
      </w:r>
      <w:r>
        <w:t xml:space="preserve"> diretamente. Isso alinha a entidade à coluna que já existe e mantém o modelo simples.</w:t>
      </w:r>
    </w:p>
    <w:p>
      <w:pPr>
        <w:pStyle w:val="Normal"/>
      </w:pPr>
      <w:r>
        <w:t xml:space="preserve">Depois de criarmos </w:t>
      </w:r>
      <w:r>
        <w:rPr>
          <w:rFonts w:ascii="Consolas" w:hAnsi="Consolas"/>
          <w:color w:val="174A7E"/>
        </w:rPr>
        <w:t xml:space="preserve">Categoria.java</w:t>
      </w:r>
      <w:r>
        <w:t xml:space="preserve">, podemos substituir esse campo por uma associação JPA com </w:t>
      </w:r>
      <w:r>
        <w:rPr>
          <w:rFonts w:ascii="Consolas" w:hAnsi="Consolas"/>
          <w:color w:val="174A7E"/>
        </w:rPr>
        <w:t xml:space="preserve">@ManyToOne</w:t>
      </w:r>
      <w:r>
        <w:t xml:space="preserve"> e </w:t>
      </w:r>
      <w:r>
        <w:rPr>
          <w:rFonts w:ascii="Consolas" w:hAnsi="Consolas"/>
          <w:color w:val="174A7E"/>
        </w:rPr>
        <w:t xml:space="preserve">@JoinColumn(name = "categoria_id")</w:t>
      </w:r>
      <w:r>
        <w:t xml:space="preserve">. Assim, o código poderá trabalhar com o objeto Categoria, em vez de apenas com seu número. A captura não mostra todas as regras da chave estrangeira ou se a coluna aceita </w:t>
      </w:r>
      <w:r>
        <w:rPr>
          <w:rFonts w:ascii="Consolas" w:hAnsi="Consolas"/>
          <w:color w:val="174A7E"/>
        </w:rPr>
        <w:t xml:space="preserve">NULL</w:t>
      </w:r>
      <w:r>
        <w:t xml:space="preserve">; devemos conferir essas regras antes de defini-las na aplicação.</w:t>
      </w:r>
    </w:p>
    <w:p>
      <w:pPr>
        <w:pStyle w:val="Heading2"/>
      </w:pPr>
      <w:r>
        <w:t xml:space="preserve">O que a alteração não faz</w:t>
      </w:r>
    </w:p>
    <w:p>
      <w:pPr>
        <w:pStyle w:val="ListParagraph"/>
      </w:pPr>
      <w:r>
        <w:t xml:space="preserve">•  </w:t>
      </w:r>
      <w:r>
        <w:rPr>
          <w:rFonts w:ascii="Consolas" w:hAnsi="Consolas"/>
          <w:color w:val="174A7E"/>
        </w:rPr>
        <w:t xml:space="preserve">@Column</w:t>
      </w:r>
      <w:r>
        <w:t xml:space="preserve"> descreve o mapeamento; ela não cria nem altera a tabela sozinha.</w:t>
      </w:r>
    </w:p>
    <w:p>
      <w:pPr>
        <w:pStyle w:val="ListParagraph"/>
      </w:pPr>
      <w:r>
        <w:t xml:space="preserve">•  A tabela já existe no banco local, mas ainda não há uma migration no repositório para reproduzi-la em outra máquina.</w:t>
      </w:r>
    </w:p>
    <w:p>
      <w:pPr>
        <w:pStyle w:val="ListParagraph"/>
      </w:pPr>
      <w:r>
        <w:t xml:space="preserve">•  A entidade não oferece endpoints de cadastro ou consulta. Isso virá com repository, service e controller.</w:t>
      </w:r>
    </w:p>
    <w:p>
      <w:pPr>
        <w:pStyle w:val="ListParagraph"/>
      </w:pPr>
      <w:r>
        <w:t xml:space="preserve">•  Não há validações como nome obrigatório, SKU único ou preço não negativo.</w:t>
      </w:r>
    </w:p>
    <w:p>
      <w:pPr>
        <w:pStyle w:val="ListParagraph"/>
      </w:pPr>
      <w:r>
        <w:t xml:space="preserve">•  A classe ainda não tem getters e setters. O JPA pode acessar os campos porque </w:t>
      </w:r>
      <w:r>
        <w:rPr>
          <w:rFonts w:ascii="Consolas" w:hAnsi="Consolas"/>
          <w:color w:val="174A7E"/>
        </w:rPr>
        <w:t xml:space="preserve">@Id</w:t>
      </w:r>
      <w:r>
        <w:t xml:space="preserve"> está no campo; outros componentes da aplicação precisarão de métodos de acesso ou DTOs quando forem implementados.</w:t>
      </w:r>
    </w:p>
    <w:p>
      <w:pPr>
        <w:pStyle w:val="ListParagraph"/>
      </w:pPr>
      <w:r>
        <w:t xml:space="preserve">•  A imagem da tabela não mostra a nulabilidade de todas as colunas. Por isso, o mapeamento não afirma que sejam obrigatórias.</w:t>
      </w:r>
    </w:p>
    <w:p>
      <w:pPr>
        <w:pStyle w:val="Heading2"/>
      </w:pPr>
      <w:r>
        <w:t xml:space="preserve">Como saber se a etapa foi validada</w:t>
      </w:r>
    </w:p>
    <w:p>
      <w:pPr>
        <w:pStyle w:val="Normal"/>
      </w:pPr>
      <w:r>
        <w:t xml:space="preserve">O usuário já confirmou que a aplicação iniciou e </w:t>
      </w:r>
      <w:r>
        <w:rPr>
          <w:rFonts w:ascii="Consolas" w:hAnsi="Consolas"/>
          <w:color w:val="174A7E"/>
        </w:rPr>
        <w:t xml:space="preserve">GET /hello</w:t>
      </w:r>
      <w:r>
        <w:t xml:space="preserve"> respondeu antes deste alinhamento. A aplicação ainda precisa ser iniciada novamente depois da alteração. Esse início confirma que o contexto JPA conseguiu ler o mapeamento, mas a configuração atual não está definida para validar automaticamente cada coluna física do banco. Uma operação real de leitura ou gravação de </w:t>
      </w:r>
      <w:r>
        <w:rPr>
          <w:rFonts w:ascii="Consolas" w:hAnsi="Consolas"/>
          <w:color w:val="174A7E"/>
        </w:rPr>
        <w:t xml:space="preserve">Produto</w:t>
      </w:r>
      <w:r>
        <w:t xml:space="preserve"> será necessária para exercitar essas colunas.</w:t>
      </w:r>
    </w:p>
    <w:p>
      <w:pPr>
        <w:pStyle w:val="Heading2"/>
      </w:pPr>
      <w:r>
        <w:t xml:space="preserve">Próximo assunto</w:t>
      </w:r>
    </w:p>
    <w:p>
      <w:pPr>
        <w:pStyle w:val="Normal"/>
      </w:pPr>
      <w:r>
        <w:t xml:space="preserve">Depois de confirmar que o projeto continua iniciando, o próximo passo será estudar como versionar a estrutura do banco com uma migration e criar um repository para consultar produtos.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  <w:color w:val="243247"/>
    </w:rPr>
    <w:pPr>
      <w:spacing w:after="120" w:line="276" w:lineRule="auto"/>
    </w:pPr>
  </w:style>
  <w:style w:type="paragraph" w:styleId="Heading1">
    <w:name w:val="heading 1"/>
    <w:basedOn w:val="Normal"/>
    <w:qFormat/>
    <w:rPr>
      <w:b/>
      <w:sz w:val="34"/>
      <w:color w:val="174A7E"/>
    </w:rPr>
    <w:pPr>
      <w:spacing w:before="260" w:after="140"/>
    </w:pPr>
  </w:style>
  <w:style w:type="paragraph" w:styleId="Heading2">
    <w:name w:val="heading 2"/>
    <w:basedOn w:val="Normal"/>
    <w:qFormat/>
    <w:rPr>
      <w:b/>
      <w:sz w:val="27"/>
      <w:color w:val="23669A"/>
    </w:rPr>
    <w:pPr>
      <w:spacing w:before="220" w:after="100"/>
    </w:pPr>
  </w:style>
  <w:style w:type="paragraph" w:styleId="Heading3">
    <w:name w:val="heading 3"/>
    <w:basedOn w:val="Normal"/>
    <w:qFormat/>
    <w:rPr>
      <w:b/>
      <w:sz w:val="23"/>
      <w:color w:val="23669A"/>
    </w:rPr>
  </w:style>
  <w:style w:type="paragraph" w:styleId="CodeBlock">
    <w:name w:val="Code Block"/>
    <w:basedOn w:val="Normal"/>
    <w:rPr>
      <w:rFonts w:ascii="Consolas" w:hAnsi="Consolas"/>
      <w:sz w:val="18"/>
    </w:rPr>
    <w:pPr>
      <w:shd w:fill="F1F4F8"/>
      <w:spacing w:before="0" w:after="0"/>
    </w:pPr>
  </w:style>
  <w:style w:type="paragraph" w:styleId="ListParagraph">
    <w:name w:val="List Paragraph"/>
    <w:basedOn w:val="Normal"/>
    <w:pPr>
      <w:ind w:left="360"/>
      <w:spacing w:after="60"/>
    </w:pPr>
  </w:style>
  <w:style w:type="paragraph" w:styleId="TableText">
    <w:name w:val="Table Text"/>
    <w:basedOn w:val="Normal"/>
    <w:rPr>
      <w:sz w:val="18"/>
    </w:rPr>
    <w:pPr>
      <w:spacing w:after="40" w:line="23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