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Aula: application.properties</w:t>
      </w:r>
    </w:p>
    <w:p>
      <w:pPr>
        <w:pStyle w:val="Normal"/>
      </w:pPr>
      <w:r>
        <w:rPr/>
        <w:t xml:space="preserve">Arquivo explicado: comercial-api/src/main/resources/application.properties</w:t>
      </w:r>
    </w:p>
    <w:p>
      <w:pPr>
        <w:pStyle w:val="Heading1"/>
      </w:pPr>
      <w:r>
        <w:rPr/>
        <w:t xml:space="preserve">Objetivo</w:t>
      </w:r>
    </w:p>
    <w:p>
      <w:pPr>
        <w:pStyle w:val="Normal"/>
      </w:pPr>
      <w:r>
        <w:rPr/>
        <w:t xml:space="preserve">Configurar o Hibernate para comparar o mapeamento JPA das entidades com as tabelas que já existem no PostgreSQL ao iniciar a aplicação.</w:t>
      </w:r>
    </w:p>
    <w:p>
      <w:pPr>
        <w:pStyle w:val="Heading1"/>
      </w:pPr>
      <w:r>
        <w:rPr/>
        <w:t xml:space="preserve">A linha adicionada</w:t>
      </w:r>
    </w:p>
    <w:p>
      <w:pPr>
        <w:pStyle w:val="CodeBlock"/>
      </w:pPr>
      <w:r>
        <w:rPr/>
        <w:t xml:space="preserve">spring.jpa.hibernate.ddl-auto=validate</w:t>
      </w:r>
    </w:p>
    <w:p>
      <w:pPr>
        <w:pStyle w:val="Heading1"/>
      </w:pPr>
      <w:r>
        <w:rPr/>
        <w:t xml:space="preserve">Como ler a configuração</w:t>
      </w:r>
    </w:p>
    <w:p>
      <w:pPr>
        <w:pStyle w:val="Normal"/>
      </w:pPr>
      <w:r>
        <w:rPr/>
        <w:t xml:space="preserve">spring.jpa indica as configurações de persistência JPA do Spring. hibernate identifica o provedor JPA usado neste projeto. ddl-auto escolhe como o Hibernate trata o esquema do banco ao iniciar. validate seleciona a conferência do esquema.</w:t>
      </w:r>
    </w:p>
    <w:p>
      <w:pPr>
        <w:pStyle w:val="Heading1"/>
      </w:pPr>
      <w:r>
        <w:rPr/>
        <w:t xml:space="preserve">O que validate faz</w:t>
      </w:r>
    </w:p>
    <w:p>
      <w:pPr>
        <w:pStyle w:val="Normal"/>
      </w:pPr>
      <w:r>
        <w:rPr/>
        <w:t xml:space="preserve">O Hibernate compara o que as entidades declaram com o que encontra no banco. Por exemplo, Produto declara a tabela produtos e colunas como sku, categoria_id e estoque_atual. Se uma coluna esperada estiver ausente ou tiver um tipo incompatível, a inicialização pode falhar com uma mensagem que indica o mapeamento a investigar.</w:t>
      </w:r>
    </w:p>
    <w:p>
      <w:pPr>
        <w:pStyle w:val="Normal"/>
      </w:pPr>
      <w:r>
        <w:rPr/>
        <w:t xml:space="preserve">validate não cria, apaga nem altera tabelas. Isso é adequado para conferir o esquema local com segurança. Não substitui uma migration: uma migration registra no repositório os comandos versionados que criam ou alteram o banco em outra máquina.</w:t>
      </w:r>
    </w:p>
    <w:p>
      <w:pPr>
        <w:pStyle w:val="Heading1"/>
      </w:pPr>
      <w:r>
        <w:rPr/>
        <w:t xml:space="preserve">Por que precisamos disso</w:t>
      </w:r>
    </w:p>
    <w:p>
      <w:pPr>
        <w:pStyle w:val="Normal"/>
      </w:pPr>
      <w:r>
        <w:rPr/>
        <w:t xml:space="preserve">Conectar ao PostgreSQL confirma que host, porta, banco e credenciais funcionam. Isso, sozinho, não confirma que cada tabela e coluna usada por uma entidade corresponde ao banco. A validação verifica também esse encaixe durante a inicialização.</w:t>
      </w:r>
    </w:p>
    <w:p>
      <w:pPr>
        <w:pStyle w:val="Heading1"/>
      </w:pPr>
      <w:r>
        <w:rPr/>
        <w:t xml:space="preserve">Outros modos e cuidado</w:t>
      </w:r>
    </w:p>
    <w:p>
      <w:pPr>
        <w:pStyle w:val="Normal"/>
      </w:pPr>
      <w:r>
        <w:rPr/>
        <w:t xml:space="preserve">create e update podem criar ou alterar objetos do schema automaticamente; não são usados aqui. Em ambientes compartilhados ou de produção, mudanças do banco devem ser controladas por migrations revisadas, não por atualização automática do Hibernate.</w:t>
      </w:r>
    </w:p>
    <w:p>
      <w:pPr>
        <w:pStyle w:val="Heading1"/>
      </w:pPr>
      <w:r>
        <w:rPr/>
        <w:t xml:space="preserve">Limites desta conferência</w:t>
      </w:r>
    </w:p>
    <w:p>
      <w:pPr>
        <w:pStyle w:val="Normal"/>
      </w:pPr>
      <w:r>
        <w:rPr/>
        <w:t xml:space="preserve">validate confere o mapeamento estrutural, mas não testa todas as regras de negócio nem substitui uma operação real de inserção/consulta. Também não descobre a regra de chave estrangeira só porque existe uma coluna categoria_id.</w:t>
      </w:r>
    </w:p>
    <w:p>
      <w:pPr>
        <w:pStyle w:val="Heading1"/>
      </w:pPr>
      <w:r>
        <w:rPr/>
        <w:t xml:space="preserve">Como conferir agora</w:t>
      </w:r>
    </w:p>
    <w:p>
      <w:pPr>
        <w:pStyle w:val="Normal"/>
      </w:pPr>
      <w:r>
        <w:rPr/>
        <w:t xml:space="preserve">Salve a configuração. No terminal do backend, encerre a execução com Ctrl + C e inicie novamente com .\mvnw.cmd spring-boot:run. Se aparecer Started ComercialApiApplication, a inicialização passou. Se aparecer um erro de schema, copie a mensagem completa; remova qualquer dado sensível antes de compartilhar.</w:t>
      </w:r>
    </w:p>
    <w:p>
      <w:pPr>
        <w:pStyle w:val="Heading1"/>
      </w:pPr>
      <w:r>
        <w:rPr/>
        <w:t xml:space="preserve">O que vem depois</w:t>
      </w:r>
    </w:p>
    <w:p>
      <w:pPr>
        <w:pStyle w:val="Normal"/>
      </w:pPr>
      <w:r>
        <w:rPr/>
        <w:t xml:space="preserve">Depois dessa verificação, vamos registrar a estrutura do banco por migration e aprender a consultar e salvar Produto com um repository Spring Data JPA.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40" w:line="276" w:lineRule="auto"/>
    </w:pPr>
  </w:style>
  <w:style w:type="paragraph" w:styleId="Title">
    <w:name w:val="Title"/>
    <w:rPr>
      <w:b/>
      <w:sz w:val="36"/>
      <w:color w:val="174A7E"/>
    </w:rPr>
    <w:pPr>
      <w:spacing w:after="260"/>
    </w:pPr>
  </w:style>
  <w:style w:type="paragraph" w:styleId="Heading1">
    <w:name w:val="heading 1"/>
    <w:basedOn w:val="Normal"/>
    <w:qFormat/>
    <w:rPr>
      <w:b/>
      <w:sz w:val="27"/>
      <w:color w:val="23669A"/>
    </w:rPr>
    <w:pPr>
      <w:spacing w:before="220" w:after="100"/>
    </w:pPr>
  </w:style>
  <w:style w:type="paragraph" w:styleId="CodeBlock">
    <w:name w:val="Code Block"/>
    <w:basedOn w:val="Normal"/>
    <w:rPr>
      <w:rFonts w:ascii="Consolas" w:hAnsi="Consolas"/>
      <w:sz w:val="20"/>
    </w:rPr>
    <w:pPr>
      <w:shd w:fill="F1F4F8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