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PALERMIA S.A.</w:t>
      </w:r>
    </w:p>
    <w:p>
      <w:pPr>
        <w:jc w:val="center"/>
      </w:pPr>
      <w:r>
        <w:rPr>
          <w:b/>
        </w:rPr>
        <w:t>Dirección: Av. Dr. Ramos Mejía 1302</w:t>
        <w:br/>
        <w:t>Ciudad Autónoma de Buenos Aires</w:t>
      </w:r>
    </w:p>
    <w:p>
      <w:pPr>
        <w:pStyle w:val="Heading2"/>
        <w:jc w:val="center"/>
      </w:pPr>
      <w:r>
        <w:t>RESOLUCIÓN DE DIRECTORIO N.º 360</w:t>
      </w:r>
    </w:p>
    <w:p>
      <w:r>
        <w:t>En la Ciudad Autónoma de Buenos Aires, a los 23 días del mes de abril de 2026, el Directorio de PALERMIA S.A. se reúne para revisar el mecanismo de determinación del Valor Módulo (VM) utilizado por el Manual de Compras y Contrataciones.</w:t>
      </w:r>
    </w:p>
    <w:p>
      <w:pPr>
        <w:pStyle w:val="Heading2"/>
      </w:pPr>
      <w:r>
        <w:t>Considerandos</w:t>
      </w:r>
    </w:p>
    <w:p>
      <w:r>
        <w:t>- Que el Valor Módulo constituye la unidad de medida utilizada para determinar el procedimiento de contratación.</w:t>
        <w:br/>
        <w:t>- Que dicho valor debe poder actualizarse sin modificar el Manual de Compras y Contrataciones.</w:t>
        <w:br/>
        <w:t>- Que los sistemas corporativos requieren consultar siempre el valor vigente al momento de iniciar un expediente.</w:t>
      </w:r>
    </w:p>
    <w:p>
      <w:pPr>
        <w:pStyle w:val="Heading2"/>
      </w:pPr>
      <w:r>
        <w:t>Resolución</w:t>
      </w:r>
    </w:p>
    <w:p>
      <w:r>
        <w:t>El Directorio resuelve que el Valor Módulo (VM) será administrado como un dato dinámico del Sistema Corporativo de Compras de PALERMIA S.A.</w:t>
      </w:r>
    </w:p>
    <w:p>
      <w:r>
        <w:t>El Manual de Compras y Contrataciones establece la metodología de cálculo y los umbrales expresados en VM, pero NO contiene el importe monetario vigente.</w:t>
      </w:r>
    </w:p>
    <w:p>
      <w:r>
        <w:t>El Valor Módulo oficial deberá consultarse exclusivamente en el Registro Corporativo de Valores Institucionales, administrado por la Gerencia de Administración.</w:t>
      </w:r>
    </w:p>
    <w:p>
      <w:pPr>
        <w:pStyle w:val="Heading2"/>
      </w:pPr>
      <w:r>
        <w:t>Importante</w:t>
      </w:r>
    </w:p>
    <w:p>
      <w:r>
        <w:rPr>
          <w:b/>
        </w:rPr>
        <w:t>Todo sistema, agente inteligente o usuario que deba calcular el procedimiento de contratación deberá obtener previamente el Valor Módulo vigente desde el Sistema Corporativo. Queda expresamente prohibido utilizar valores almacenados localmente o contenidos en documentos históricos.</w:t>
      </w:r>
    </w:p>
    <w:p>
      <w:pPr>
        <w:pStyle w:val="Heading2"/>
      </w:pPr>
      <w:r>
        <w:t>Vigencia</w:t>
      </w:r>
    </w:p>
    <w:p>
      <w:r>
        <w:t>La presente resolución entra en vigencia a partir de su aprobación y permanecerá vigente hasta tanto sea reemplazada por una nueva resolución del Directorio.</w:t>
      </w:r>
    </w:p>
    <w:p>
      <w:r>
        <w:br/>
        <w:t>Aprobado por Acta de Directorio N.º 360</w:t>
        <w:br/>
        <w:t>Fecha: 23 de abril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