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u w:val="single"/>
        </w:rPr>
      </w:pPr>
      <w:r w:rsidDel="00000000" w:rsidR="00000000" w:rsidRPr="00000000">
        <w:rPr/>
        <w:drawing>
          <wp:inline distB="114300" distT="114300" distL="114300" distR="114300">
            <wp:extent cx="1493107" cy="1147763"/>
            <wp:effectExtent b="0" l="0" r="0" t="0"/>
            <wp:docPr id="2" name="image3.png"/>
            <a:graphic>
              <a:graphicData uri="http://schemas.openxmlformats.org/drawingml/2006/picture">
                <pic:pic>
                  <pic:nvPicPr>
                    <pic:cNvPr id="0" name="image3.png"/>
                    <pic:cNvPicPr preferRelativeResize="0"/>
                  </pic:nvPicPr>
                  <pic:blipFill>
                    <a:blip r:embed="rId7"/>
                    <a:srcRect b="14858" l="7670" r="8225" t="20001"/>
                    <a:stretch>
                      <a:fillRect/>
                    </a:stretch>
                  </pic:blipFill>
                  <pic:spPr>
                    <a:xfrm>
                      <a:off x="0" y="0"/>
                      <a:ext cx="1493107" cy="114776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b w:val="1"/>
          <w:bCs w:val="1"/>
          <w:sz w:val="32"/>
          <w:szCs w:val="32"/>
          <w:rtl w:val="0"/>
        </w:rPr>
        <w:t xml:space="preserve">UNIVERSITY OF PUTHISASTRA</w:t>
      </w:r>
      <w:r w:rsidDel="00000000" w:rsidR="00000000" w:rsidRPr="00000000">
        <w:rPr>
          <w:rtl w:val="0"/>
        </w:rPr>
      </w:r>
    </w:p>
    <w:p w:rsidR="00000000" w:rsidDel="00000000" w:rsidP="00000000" w:rsidRDefault="00000000" w:rsidRPr="00000000" w14:paraId="00000003">
      <w:pPr>
        <w:spacing w:after="40" w:lineRule="auto"/>
        <w:jc w:val="center"/>
        <w:rPr/>
      </w:pPr>
      <w:r w:rsidDel="00000000" w:rsidR="00000000" w:rsidRPr="00000000">
        <w:rPr>
          <w:b w:val="1"/>
          <w:bCs w:val="1"/>
          <w:rtl w:val="0"/>
        </w:rPr>
        <w:t xml:space="preserve">FACULTY OF SCIENCE AND TECHNOLOGY</w:t>
      </w:r>
      <w:r w:rsidDel="00000000" w:rsidR="00000000" w:rsidRPr="00000000">
        <w:rPr>
          <w:rtl w:val="0"/>
        </w:rPr>
      </w:r>
    </w:p>
    <w:p w:rsidR="00000000" w:rsidDel="00000000" w:rsidP="00000000" w:rsidRDefault="00000000" w:rsidRPr="00000000" w14:paraId="00000004">
      <w:pPr>
        <w:spacing w:after="320" w:lineRule="auto"/>
        <w:jc w:val="center"/>
        <w:rPr>
          <w:sz w:val="22"/>
          <w:szCs w:val="22"/>
        </w:rPr>
      </w:pPr>
      <w:r w:rsidDel="00000000" w:rsidR="00000000" w:rsidRPr="00000000">
        <w:rPr>
          <w:sz w:val="22"/>
          <w:szCs w:val="22"/>
          <w:rtl w:val="0"/>
        </w:rPr>
        <w:t xml:space="preserve">DEPARTMENT OF SCIENCE AND TECHNOLOGY</w:t>
      </w:r>
    </w:p>
    <w:p w:rsidR="00000000" w:rsidDel="00000000" w:rsidP="00000000" w:rsidRDefault="00000000" w:rsidRPr="00000000" w14:paraId="00000005">
      <w:pPr>
        <w:pBdr>
          <w:top w:color="1f3864" w:space="0" w:sz="8" w:val="single"/>
        </w:pBdr>
        <w:spacing w:after="300" w:lineRule="auto"/>
        <w:rPr/>
      </w:pPr>
      <w:r w:rsidDel="00000000" w:rsidR="00000000" w:rsidRPr="00000000">
        <w:rPr>
          <w:rtl w:val="0"/>
        </w:rPr>
      </w:r>
    </w:p>
    <w:p w:rsidR="00000000" w:rsidDel="00000000" w:rsidP="00000000" w:rsidRDefault="00000000" w:rsidRPr="00000000" w14:paraId="00000006">
      <w:pPr>
        <w:spacing w:after="300" w:lineRule="auto"/>
        <w:jc w:val="center"/>
        <w:rPr>
          <w:b w:val="1"/>
          <w:bCs w:val="1"/>
          <w:sz w:val="30"/>
          <w:szCs w:val="30"/>
        </w:rPr>
      </w:pPr>
      <w:r w:rsidDel="00000000" w:rsidR="00000000" w:rsidRPr="00000000">
        <w:rPr>
          <w:b w:val="1"/>
          <w:bCs w:val="1"/>
          <w:sz w:val="30"/>
          <w:szCs w:val="30"/>
          <w:rtl w:val="0"/>
        </w:rPr>
        <w:t xml:space="preserve">EVALUATING THE EFFECTIVENESS OF TERRAFORM AND GITHUB ACTIONS FOR AWS INFRASTRUCTURE AUTOMATION</w:t>
      </w:r>
    </w:p>
    <w:p w:rsidR="00000000" w:rsidDel="00000000" w:rsidP="00000000" w:rsidRDefault="00000000" w:rsidRPr="00000000" w14:paraId="00000007">
      <w:pPr>
        <w:pBdr>
          <w:top w:color="1f3864" w:space="0" w:sz="8" w:val="single"/>
        </w:pBdr>
        <w:spacing w:after="320" w:lineRule="auto"/>
        <w:jc w:val="center"/>
        <w:rPr/>
      </w:pPr>
      <w:r w:rsidDel="00000000" w:rsidR="00000000" w:rsidRPr="00000000">
        <w:rPr>
          <w:rtl w:val="0"/>
        </w:rPr>
      </w:r>
    </w:p>
    <w:p w:rsidR="00000000" w:rsidDel="00000000" w:rsidP="00000000" w:rsidRDefault="00000000" w:rsidRPr="00000000" w14:paraId="00000008">
      <w:pPr>
        <w:spacing w:after="100" w:lineRule="auto"/>
        <w:jc w:val="center"/>
        <w:rPr/>
      </w:pPr>
      <w:r w:rsidDel="00000000" w:rsidR="00000000" w:rsidRPr="00000000">
        <w:rPr>
          <w:rtl w:val="0"/>
        </w:rPr>
        <w:t xml:space="preserve">A Dissertation Submitted to the Faculty of Science and Technology, University of Puthisastra, in Partial Fulfilment of the Requirements for the Degree of</w:t>
      </w:r>
    </w:p>
    <w:p w:rsidR="00000000" w:rsidDel="00000000" w:rsidP="00000000" w:rsidRDefault="00000000" w:rsidRPr="00000000" w14:paraId="00000009">
      <w:pPr>
        <w:spacing w:after="400" w:lineRule="auto"/>
        <w:jc w:val="center"/>
        <w:rPr/>
      </w:pPr>
      <w:r w:rsidDel="00000000" w:rsidR="00000000" w:rsidRPr="00000000">
        <w:rPr>
          <w:b w:val="1"/>
          <w:bCs w:val="1"/>
          <w:sz w:val="26"/>
          <w:szCs w:val="26"/>
          <w:rtl w:val="0"/>
        </w:rPr>
        <w:t xml:space="preserve">MASTER OF SCIENCE IN INFORMATION TECHNOLOGY</w:t>
      </w:r>
      <w:r w:rsidDel="00000000" w:rsidR="00000000" w:rsidRPr="00000000">
        <w:rPr>
          <w:rtl w:val="0"/>
        </w:rPr>
      </w:r>
    </w:p>
    <w:p w:rsidR="00000000" w:rsidDel="00000000" w:rsidP="00000000" w:rsidRDefault="00000000" w:rsidRPr="00000000" w14:paraId="0000000A">
      <w:pPr>
        <w:spacing w:after="40" w:lineRule="auto"/>
        <w:jc w:val="center"/>
        <w:rPr/>
      </w:pPr>
      <w:r w:rsidDel="00000000" w:rsidR="00000000" w:rsidRPr="00000000">
        <w:rPr>
          <w:b w:val="1"/>
          <w:bCs w:val="1"/>
          <w:rtl w:val="0"/>
        </w:rPr>
        <w:t xml:space="preserve">Submitted by:</w:t>
      </w:r>
      <w:r w:rsidDel="00000000" w:rsidR="00000000" w:rsidRPr="00000000">
        <w:rPr>
          <w:rtl w:val="0"/>
        </w:rPr>
      </w:r>
    </w:p>
    <w:p w:rsidR="00000000" w:rsidDel="00000000" w:rsidP="00000000" w:rsidRDefault="00000000" w:rsidRPr="00000000" w14:paraId="0000000B">
      <w:pPr>
        <w:spacing w:after="40" w:lineRule="auto"/>
        <w:jc w:val="center"/>
        <w:rPr/>
      </w:pPr>
      <w:r w:rsidDel="00000000" w:rsidR="00000000" w:rsidRPr="00000000">
        <w:rPr>
          <w:rtl w:val="0"/>
        </w:rPr>
        <w:t xml:space="preserve">KAO LEANGSENG</w:t>
      </w:r>
    </w:p>
    <w:p w:rsidR="00000000" w:rsidDel="00000000" w:rsidP="00000000" w:rsidRDefault="00000000" w:rsidRPr="00000000" w14:paraId="0000000C">
      <w:pPr>
        <w:spacing w:after="240" w:lineRule="auto"/>
        <w:jc w:val="center"/>
        <w:rPr/>
      </w:pPr>
      <w:r w:rsidDel="00000000" w:rsidR="00000000" w:rsidRPr="00000000">
        <w:rPr>
          <w:rtl w:val="0"/>
        </w:rPr>
        <w:t xml:space="preserve">Student ID: UPS240590</w:t>
      </w:r>
    </w:p>
    <w:p w:rsidR="00000000" w:rsidDel="00000000" w:rsidP="00000000" w:rsidRDefault="00000000" w:rsidRPr="00000000" w14:paraId="0000000D">
      <w:pPr>
        <w:spacing w:after="40" w:lineRule="auto"/>
        <w:jc w:val="center"/>
        <w:rPr/>
      </w:pPr>
      <w:r w:rsidDel="00000000" w:rsidR="00000000" w:rsidRPr="00000000">
        <w:rPr>
          <w:b w:val="1"/>
          <w:bCs w:val="1"/>
          <w:rtl w:val="0"/>
        </w:rPr>
        <w:t xml:space="preserve">Supervised by:</w:t>
      </w:r>
      <w:r w:rsidDel="00000000" w:rsidR="00000000" w:rsidRPr="00000000">
        <w:rPr>
          <w:rtl w:val="0"/>
        </w:rPr>
      </w:r>
    </w:p>
    <w:p w:rsidR="00000000" w:rsidDel="00000000" w:rsidP="00000000" w:rsidRDefault="00000000" w:rsidRPr="00000000" w14:paraId="0000000E">
      <w:pPr>
        <w:spacing w:after="400" w:lineRule="auto"/>
        <w:jc w:val="center"/>
        <w:rPr/>
      </w:pPr>
      <w:r w:rsidDel="00000000" w:rsidR="00000000" w:rsidRPr="00000000">
        <w:rPr>
          <w:rtl w:val="0"/>
        </w:rPr>
        <w:t xml:space="preserve">Dr. CHEN SOVANN</w:t>
      </w:r>
    </w:p>
    <w:p w:rsidR="00000000" w:rsidDel="00000000" w:rsidP="00000000" w:rsidRDefault="00000000" w:rsidRPr="00000000" w14:paraId="0000000F">
      <w:pPr>
        <w:spacing w:after="0" w:lineRule="auto"/>
        <w:jc w:val="center"/>
        <w:rPr/>
      </w:pPr>
      <w:r w:rsidDel="00000000" w:rsidR="00000000" w:rsidRPr="00000000">
        <w:rPr>
          <w:rtl w:val="0"/>
        </w:rPr>
        <w:t xml:space="preserve">AUGUST 2026</w:t>
      </w:r>
    </w:p>
    <w:p w:rsidR="00000000" w:rsidDel="00000000" w:rsidP="00000000" w:rsidRDefault="00000000" w:rsidRPr="00000000" w14:paraId="00000010">
      <w:pPr>
        <w:spacing w:after="0" w:lineRule="auto"/>
        <w:jc w:val="center"/>
        <w:rPr/>
        <w:sectPr>
          <w:pgSz w:h="15840" w:w="12240" w:orient="portrait"/>
          <w:pgMar w:bottom="1440" w:top="1440" w:left="2160" w:right="1440" w:header="720" w:footer="720"/>
          <w:pgNumType w:start="1"/>
        </w:sectPr>
      </w:pPr>
      <w:r w:rsidDel="00000000" w:rsidR="00000000" w:rsidRPr="00000000">
        <w:rPr>
          <w:rtl w:val="0"/>
        </w:rPr>
        <w:t xml:space="preserve">Phnom Penh, Cambodia</w:t>
      </w:r>
    </w:p>
    <w:p w:rsidR="00000000" w:rsidDel="00000000" w:rsidP="00000000" w:rsidRDefault="00000000" w:rsidRPr="00000000" w14:paraId="00000011">
      <w:pPr>
        <w:pStyle w:val="Heading1"/>
        <w:rPr/>
      </w:pPr>
      <w:r w:rsidDel="00000000" w:rsidR="00000000" w:rsidRPr="00000000">
        <w:rPr>
          <w:rtl w:val="0"/>
        </w:rPr>
        <w:t xml:space="preserve">DECLARATION OF ORIGINALITY</w:t>
      </w:r>
    </w:p>
    <w:p w:rsidR="00000000" w:rsidDel="00000000" w:rsidP="00000000" w:rsidRDefault="00000000" w:rsidRPr="00000000" w14:paraId="00000012">
      <w:pPr>
        <w:rPr/>
      </w:pPr>
      <w:r w:rsidDel="00000000" w:rsidR="00000000" w:rsidRPr="00000000">
        <w:rPr>
          <w:rtl w:val="0"/>
        </w:rPr>
        <w:t xml:space="preserve">I, KAO LEANGSENG, Student ID UPS240590, hereby declare that this dissertation entitled “Infrastructure as Code for a Containerised AWS Architecture: Implementing and Evaluating Terraform within a Github Actions CI/CD Pipeline” is my own original work, produced under the supervision of Dr. CHEN SOVANN. It has not been submitted, in whole or in part, for any other degree or qualification at the University of Puthisastra or at any other institution.</w:t>
      </w:r>
    </w:p>
    <w:p w:rsidR="00000000" w:rsidDel="00000000" w:rsidP="00000000" w:rsidRDefault="00000000" w:rsidRPr="00000000" w14:paraId="00000013">
      <w:pPr>
        <w:rPr/>
      </w:pPr>
      <w:r w:rsidDel="00000000" w:rsidR="00000000" w:rsidRPr="00000000">
        <w:rPr>
          <w:rtl w:val="0"/>
        </w:rPr>
        <w:t xml:space="preserve">All sources of information, ideas, data and prior scholarship used in this dissertation have been acknowledged in the text and listed in full in the reference list, in accordance with the seventh edition of the Publication Manual of the American Psychological Association. I confirm that I have complied with the University of Puthisastra policy on academic integrity, and I accept that any breach of that policy, including plagiarism, falsification of data or unacknowledged use of generative artificial intelligence tools, may result in disciplinary action.</w:t>
      </w:r>
    </w:p>
    <w:p w:rsidR="00000000" w:rsidDel="00000000" w:rsidP="00000000" w:rsidRDefault="00000000" w:rsidRPr="00000000" w14:paraId="00000014">
      <w:pPr>
        <w:spacing w:after="0" w:lineRule="auto"/>
        <w:rPr/>
      </w:pPr>
      <w:r w:rsidDel="00000000" w:rsidR="00000000" w:rsidRPr="00000000">
        <w:rPr>
          <w:rtl w:val="0"/>
        </w:rPr>
      </w:r>
    </w:p>
    <w:p w:rsidR="00000000" w:rsidDel="00000000" w:rsidP="00000000" w:rsidRDefault="00000000" w:rsidRPr="00000000" w14:paraId="00000015">
      <w:pPr>
        <w:spacing w:after="0" w:lineRule="auto"/>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Signature: ______________________                    Date: 22 August, 2026</w:t>
      </w:r>
    </w:p>
    <w:p w:rsidR="00000000" w:rsidDel="00000000" w:rsidP="00000000" w:rsidRDefault="00000000" w:rsidRPr="00000000" w14:paraId="00000017">
      <w:pPr>
        <w:rPr/>
      </w:pPr>
      <w:r w:rsidDel="00000000" w:rsidR="00000000" w:rsidRPr="00000000">
        <w:rPr>
          <w:rtl w:val="0"/>
        </w:rPr>
        <w:t xml:space="preserve">Name: KAO LEANGSENG</w:t>
      </w:r>
    </w:p>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rPr/>
      </w:pPr>
      <w:r w:rsidDel="00000000" w:rsidR="00000000" w:rsidRPr="00000000">
        <w:rPr>
          <w:rtl w:val="0"/>
        </w:rPr>
        <w:t xml:space="preserve">SUPERVISOR’S APPROVAL</w:t>
      </w:r>
    </w:p>
    <w:p w:rsidR="00000000" w:rsidDel="00000000" w:rsidP="00000000" w:rsidRDefault="00000000" w:rsidRPr="00000000" w14:paraId="0000001A">
      <w:pPr>
        <w:rPr/>
      </w:pPr>
      <w:r w:rsidDel="00000000" w:rsidR="00000000" w:rsidRPr="00000000">
        <w:rPr>
          <w:rtl w:val="0"/>
        </w:rPr>
        <w:t xml:space="preserve">This is to certify that the dissertation entitled “Infrastructure as Code for a Containerised AWS Architecture: Implementing and Evaluating Terraform within a Github Actions CI/CD Pipeline”, submitted by KAO LEANGSENG (ID: UPS240590) to the Faculty of Science and Technology, University of Puthisastra, has been prepared under my supervision. I confirm that the work meets the academic standards required for submission in partial fulfilment of the requirements for the degree of Master, and I recommend it for examination.</w:t>
      </w:r>
    </w:p>
    <w:p w:rsidR="00000000" w:rsidDel="00000000" w:rsidP="00000000" w:rsidRDefault="00000000" w:rsidRPr="00000000" w14:paraId="0000001B">
      <w:pPr>
        <w:spacing w:after="0" w:lineRule="auto"/>
        <w:rPr/>
      </w:pPr>
      <w:r w:rsidDel="00000000" w:rsidR="00000000" w:rsidRPr="00000000">
        <w:rPr>
          <w:rtl w:val="0"/>
        </w:rPr>
      </w:r>
    </w:p>
    <w:p w:rsidR="00000000" w:rsidDel="00000000" w:rsidP="00000000" w:rsidRDefault="00000000" w:rsidRPr="00000000" w14:paraId="0000001C">
      <w:pPr>
        <w:spacing w:after="0" w:lineRule="auto"/>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Signature: ______________________                    Date: 22 August, 2026</w:t>
      </w:r>
    </w:p>
    <w:p w:rsidR="00000000" w:rsidDel="00000000" w:rsidP="00000000" w:rsidRDefault="00000000" w:rsidRPr="00000000" w14:paraId="0000001E">
      <w:pPr>
        <w:rPr/>
      </w:pPr>
      <w:r w:rsidDel="00000000" w:rsidR="00000000" w:rsidRPr="00000000">
        <w:rPr>
          <w:rtl w:val="0"/>
        </w:rPr>
        <w:t xml:space="preserve">Supervisor: Dr. CHEN SOVANN</w:t>
      </w:r>
    </w:p>
    <w:p w:rsidR="00000000" w:rsidDel="00000000" w:rsidP="00000000" w:rsidRDefault="00000000" w:rsidRPr="00000000" w14:paraId="0000001F">
      <w:pPr>
        <w:rPr/>
      </w:pPr>
      <w:r w:rsidDel="00000000" w:rsidR="00000000" w:rsidRPr="00000000">
        <w:rPr>
          <w:rtl w:val="0"/>
        </w:rPr>
        <w:t xml:space="preserve">Faculty of Science and Technology, University of Puthisastra</w:t>
      </w:r>
    </w:p>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rPr/>
      </w:pPr>
      <w:r w:rsidDel="00000000" w:rsidR="00000000" w:rsidRPr="00000000">
        <w:rPr>
          <w:rtl w:val="0"/>
        </w:rPr>
        <w:t xml:space="preserve">ACKNOWLEDGEMENTS</w:t>
      </w:r>
    </w:p>
    <w:p w:rsidR="00000000" w:rsidDel="00000000" w:rsidP="00000000" w:rsidRDefault="00000000" w:rsidRPr="00000000" w14:paraId="00000022">
      <w:pPr>
        <w:rPr/>
      </w:pPr>
      <w:r w:rsidDel="00000000" w:rsidR="00000000" w:rsidRPr="00000000">
        <w:rPr>
          <w:rtl w:val="0"/>
        </w:rPr>
        <w:t xml:space="preserve">I want to thank my supervisor, Dr. CHEN SOVANN, whose guidance and honest feedback shaped this research at every stage. I am also grateful to the teaching and administrative staff of the Faculty of Information Technology at the University of Puthisastra for the training that made this study possible.</w:t>
      </w:r>
    </w:p>
    <w:p w:rsidR="00000000" w:rsidDel="00000000" w:rsidP="00000000" w:rsidRDefault="00000000" w:rsidRPr="00000000" w14:paraId="00000023">
      <w:pPr>
        <w:rPr/>
      </w:pPr>
      <w:r w:rsidDel="00000000" w:rsidR="00000000" w:rsidRPr="00000000">
        <w:rPr>
          <w:rtl w:val="0"/>
        </w:rPr>
        <w:t xml:space="preserve">I thank the management of the case organisation for giving me written permission to use its cloud architecture as the basis of this study, and for approving the creation of a separate sandbox account so that the work could be done without any risk to live systems. I also thank my colleagues in the infrastructure team, whose day-to-day questions about provisioning first made me notice the problem this dissertation addresses.</w:t>
      </w:r>
    </w:p>
    <w:p w:rsidR="00000000" w:rsidDel="00000000" w:rsidP="00000000" w:rsidRDefault="00000000" w:rsidRPr="00000000" w14:paraId="00000024">
      <w:pPr>
        <w:rPr/>
      </w:pPr>
      <w:r w:rsidDel="00000000" w:rsidR="00000000" w:rsidRPr="00000000">
        <w:rPr>
          <w:rtl w:val="0"/>
        </w:rPr>
        <w:t xml:space="preserve">Finally, I thank my family and friends for their patience and encouragement. Any errors that remain are my own.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rPr/>
      </w:pPr>
      <w:r w:rsidDel="00000000" w:rsidR="00000000" w:rsidRPr="00000000">
        <w:rPr>
          <w:rtl w:val="0"/>
        </w:rPr>
        <w:t xml:space="preserve">ABSTRACT</w:t>
      </w:r>
    </w:p>
    <w:p w:rsidR="00000000" w:rsidDel="00000000" w:rsidP="00000000" w:rsidRDefault="00000000" w:rsidRPr="00000000" w14:paraId="00000028">
      <w:pPr>
        <w:rPr/>
      </w:pPr>
      <w:r w:rsidDel="00000000" w:rsidR="00000000" w:rsidRPr="00000000">
        <w:rPr>
          <w:rtl w:val="0"/>
        </w:rPr>
        <w:t xml:space="preserve">Background. Infrastructure as Code (IaC) is now standard practice in cloud engineering, and Terraform is the most widely used tool for it. Many organisations, however, automate their application delivery long before they automate the infrastructure that the application runs on. The result is a split pipeline: application code is built, tested, scanned and released automatically, while the cloud environment underneath is still created and changed by hand through a web console. Existing research measures Terraform against other IaC tools, or studies IaC security and module maintenance in isolation, but does not measure what happens when Terraform is introduced into an existing CI/CD pipeline and compared against the manual work it replaces.</w:t>
      </w:r>
    </w:p>
    <w:p w:rsidR="00000000" w:rsidDel="00000000" w:rsidP="00000000" w:rsidRDefault="00000000" w:rsidRPr="00000000" w14:paraId="00000029">
      <w:pPr>
        <w:rPr/>
      </w:pPr>
      <w:r w:rsidDel="00000000" w:rsidR="00000000" w:rsidRPr="00000000">
        <w:rPr>
          <w:rtl w:val="0"/>
        </w:rPr>
        <w:t xml:space="preserve">Aim. This study builds a modular Terraform codebase for a containerised Amazon Web Services (AWS) architecture, integrates it into an existing GitHub Actions pipeline, and measures the effect on provisioning duration, configuration drift between environments, environment reproducibility and version-control coverage, using manual console provisioning as the baseline.</w:t>
      </w:r>
    </w:p>
    <w:p w:rsidR="00000000" w:rsidDel="00000000" w:rsidP="00000000" w:rsidRDefault="00000000" w:rsidRPr="00000000" w14:paraId="0000002A">
      <w:pPr>
        <w:rPr/>
      </w:pPr>
      <w:r w:rsidDel="00000000" w:rsidR="00000000" w:rsidRPr="00000000">
        <w:rPr>
          <w:rtl w:val="0"/>
        </w:rPr>
        <w:t xml:space="preserve">Methods. The study takes a pragmatist position and uses an explanatory sequential mixed methods design. In the quantitative strand, the same architecture is provisioned 30 times using Terraform through the pipeline and 10 times by hand through the AWS console, in an isolated AWS account under controlled conditions, with timings captured automatically by shell scripts. Drift is measured by counting divergent resource attributes across three environments, and reproducibility by repeated destroy-and-rebuild cycles. Data will be analysed using descriptive statistics, Welch's t-test or the Mann–Whitney U test, Fisher's exact test and Cohen's d. In the qualitative strand, a structured implementation log recording every problem, decision and error during module development and pipeline integration will be analysed using reflexive thematic analysis. The two strands are integrated in a joint display at the interpretation stage.</w:t>
      </w:r>
    </w:p>
    <w:p w:rsidR="00000000" w:rsidDel="00000000" w:rsidP="00000000" w:rsidRDefault="00000000" w:rsidRPr="00000000" w14:paraId="0000002B">
      <w:pPr>
        <w:rPr/>
      </w:pPr>
      <w:r w:rsidDel="00000000" w:rsidR="00000000" w:rsidRPr="00000000">
        <w:rPr>
          <w:rtl w:val="0"/>
        </w:rPr>
        <w:t xml:space="preserve">Expected contribution. The study is expected to produce a reusable Terraform module structure and pipeline configuration for a documented AWS architecture, measured evidence of the change in provisioning duration, drift and reproducibility, and a thematic account of the practical barriers that arise when an existing hand-built environment is moved onto IaC. It also supplies the first evidence of this kind from a Cambodian organisational setting. Chapters 1 to 3 are presented here; findings and discussion follow in Chapters 4 and 5.</w:t>
      </w:r>
    </w:p>
    <w:p w:rsidR="00000000" w:rsidDel="00000000" w:rsidP="00000000" w:rsidRDefault="00000000" w:rsidRPr="00000000" w14:paraId="0000002C">
      <w:pPr>
        <w:rPr/>
      </w:pPr>
      <w:r w:rsidDel="00000000" w:rsidR="00000000" w:rsidRPr="00000000">
        <w:rPr>
          <w:b w:val="1"/>
          <w:bCs w:val="1"/>
          <w:rtl w:val="0"/>
        </w:rPr>
        <w:t xml:space="preserve">Keywords</w:t>
      </w:r>
      <w:r w:rsidDel="00000000" w:rsidR="00000000" w:rsidRPr="00000000">
        <w:rPr>
          <w:rtl w:val="0"/>
        </w:rPr>
        <w:t xml:space="preserve">: Infrastructure as Code; Terraform; GitHub Actions; continuous integration and continuous delivery; Amazon Web Services; configuration drift; mixed methods; Cambodia</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rPr/>
      </w:pPr>
      <w:r w:rsidDel="00000000" w:rsidR="00000000" w:rsidRPr="00000000">
        <w:rPr>
          <w:rtl w:val="0"/>
        </w:rPr>
        <w:t xml:space="preserve">TABLE OF CONTENTS</w:t>
      </w:r>
    </w:p>
    <w:sdt>
      <w:sdtPr>
        <w:id w:val="-1658663611"/>
        <w:docPartObj>
          <w:docPartGallery w:val="Table of Contents"/>
          <w:docPartUnique w:val="1"/>
        </w:docPartObj>
      </w:sdtPr>
      <w:sdtContent>
        <w:p w:rsidR="00000000" w:rsidDel="00000000" w:rsidP="00000000" w:rsidRDefault="00000000" w:rsidRPr="00000000" w14:paraId="00000030">
          <w:pPr>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rPr/>
      </w:pPr>
      <w:r w:rsidDel="00000000" w:rsidR="00000000" w:rsidRPr="00000000">
        <w:rPr>
          <w:rtl w:val="0"/>
        </w:rPr>
        <w:t xml:space="preserve">LIST OF TABLES</w:t>
      </w:r>
    </w:p>
    <w:p w:rsidR="00000000" w:rsidDel="00000000" w:rsidP="00000000" w:rsidRDefault="00000000" w:rsidRPr="00000000" w14:paraId="00000034">
      <w:pPr>
        <w:rPr/>
      </w:pPr>
      <w:r w:rsidDel="00000000" w:rsidR="00000000" w:rsidRPr="00000000">
        <w:rPr>
          <w:rtl w:val="0"/>
        </w:rPr>
        <w:t xml:space="preserve">Table 1.1  Definition of Key Terms</w:t>
      </w:r>
    </w:p>
    <w:p w:rsidR="00000000" w:rsidDel="00000000" w:rsidP="00000000" w:rsidRDefault="00000000" w:rsidRPr="00000000" w14:paraId="00000035">
      <w:pPr>
        <w:rPr/>
      </w:pPr>
      <w:r w:rsidDel="00000000" w:rsidR="00000000" w:rsidRPr="00000000">
        <w:rPr>
          <w:rtl w:val="0"/>
        </w:rPr>
        <w:t xml:space="preserve">Table 2.1  Comparison of Selected Empirical Studies</w:t>
      </w:r>
    </w:p>
    <w:p w:rsidR="00000000" w:rsidDel="00000000" w:rsidP="00000000" w:rsidRDefault="00000000" w:rsidRPr="00000000" w14:paraId="00000036">
      <w:pPr>
        <w:rPr/>
      </w:pPr>
      <w:r w:rsidDel="00000000" w:rsidR="00000000" w:rsidRPr="00000000">
        <w:rPr>
          <w:rtl w:val="0"/>
        </w:rPr>
        <w:t xml:space="preserve">Table 2.2  Summary of Research Hypotheses</w:t>
      </w:r>
    </w:p>
    <w:p w:rsidR="00000000" w:rsidDel="00000000" w:rsidP="00000000" w:rsidRDefault="00000000" w:rsidRPr="00000000" w14:paraId="00000037">
      <w:pPr>
        <w:rPr/>
      </w:pPr>
      <w:r w:rsidDel="00000000" w:rsidR="00000000" w:rsidRPr="00000000">
        <w:rPr>
          <w:rtl w:val="0"/>
        </w:rPr>
        <w:t xml:space="preserve">Table 3.1  Alignment of Research Questions, Data Sources and Analysis</w:t>
      </w:r>
    </w:p>
    <w:p w:rsidR="00000000" w:rsidDel="00000000" w:rsidP="00000000" w:rsidRDefault="00000000" w:rsidRPr="00000000" w14:paraId="00000038">
      <w:pPr>
        <w:rPr/>
      </w:pPr>
      <w:r w:rsidDel="00000000" w:rsidR="00000000" w:rsidRPr="00000000">
        <w:rPr>
          <w:rtl w:val="0"/>
        </w:rPr>
        <w:t xml:space="preserve">Table 3.2  Questionnaire Constructs, Items and Sources</w:t>
      </w:r>
    </w:p>
    <w:p w:rsidR="00000000" w:rsidDel="00000000" w:rsidP="00000000" w:rsidRDefault="00000000" w:rsidRPr="00000000" w14:paraId="00000039">
      <w:pPr>
        <w:rPr/>
      </w:pPr>
      <w:r w:rsidDel="00000000" w:rsidR="00000000" w:rsidRPr="00000000">
        <w:rPr>
          <w:rtl w:val="0"/>
        </w:rPr>
        <w:t xml:space="preserve">Table 3.3  Sample Size Determination</w:t>
      </w:r>
    </w:p>
    <w:p w:rsidR="00000000" w:rsidDel="00000000" w:rsidP="00000000" w:rsidRDefault="00000000" w:rsidRPr="00000000" w14:paraId="0000003A">
      <w:pPr>
        <w:rPr/>
      </w:pPr>
      <w:r w:rsidDel="00000000" w:rsidR="00000000" w:rsidRPr="00000000">
        <w:rPr>
          <w:rtl w:val="0"/>
        </w:rPr>
        <w:t xml:space="preserve">Table 3.4  Strategies for Establishing Trustworthiness</w:t>
      </w:r>
    </w:p>
    <w:p w:rsidR="00000000" w:rsidDel="00000000" w:rsidP="00000000" w:rsidRDefault="00000000" w:rsidRPr="00000000" w14:paraId="0000003B">
      <w:pPr>
        <w:rPr/>
      </w:pPr>
      <w:r w:rsidDel="00000000" w:rsidR="00000000" w:rsidRPr="00000000">
        <w:rPr>
          <w:rtl w:val="0"/>
        </w:rPr>
        <w:t xml:space="preserve">Table 3.5  Indicative Research Timeline</w:t>
      </w:r>
    </w:p>
    <w:p w:rsidR="00000000" w:rsidDel="00000000" w:rsidP="00000000" w:rsidRDefault="00000000" w:rsidRPr="00000000" w14:paraId="0000003C">
      <w:pPr>
        <w:spacing w:after="0" w:lineRule="auto"/>
        <w:rPr/>
      </w:pPr>
      <w:r w:rsidDel="00000000" w:rsidR="00000000" w:rsidRPr="00000000">
        <w:rPr>
          <w:rtl w:val="0"/>
        </w:rPr>
      </w:r>
    </w:p>
    <w:p w:rsidR="00000000" w:rsidDel="00000000" w:rsidP="00000000" w:rsidRDefault="00000000" w:rsidRPr="00000000" w14:paraId="0000003D">
      <w:pPr>
        <w:pStyle w:val="Heading1"/>
        <w:rPr/>
      </w:pPr>
      <w:r w:rsidDel="00000000" w:rsidR="00000000" w:rsidRPr="00000000">
        <w:rPr>
          <w:rtl w:val="0"/>
        </w:rPr>
        <w:t xml:space="preserve">LIST OF FIGURES</w:t>
      </w:r>
    </w:p>
    <w:p w:rsidR="00000000" w:rsidDel="00000000" w:rsidP="00000000" w:rsidRDefault="00000000" w:rsidRPr="00000000" w14:paraId="0000003E">
      <w:pPr>
        <w:rPr/>
      </w:pPr>
      <w:r w:rsidDel="00000000" w:rsidR="00000000" w:rsidRPr="00000000">
        <w:rPr>
          <w:rtl w:val="0"/>
        </w:rPr>
        <w:t xml:space="preserve">Figure 2.1  Conceptual Framework of the Study</w:t>
      </w:r>
    </w:p>
    <w:p w:rsidR="00000000" w:rsidDel="00000000" w:rsidP="00000000" w:rsidRDefault="00000000" w:rsidRPr="00000000" w14:paraId="0000003F">
      <w:pPr>
        <w:rPr/>
      </w:pPr>
      <w:r w:rsidDel="00000000" w:rsidR="00000000" w:rsidRPr="00000000">
        <w:rPr>
          <w:rtl w:val="0"/>
        </w:rPr>
        <w:t xml:space="preserve">Figure 3.1  Explanatory Sequential Mixed Methods Design</w:t>
      </w:r>
    </w:p>
    <w:p w:rsidR="00000000" w:rsidDel="00000000" w:rsidP="00000000" w:rsidRDefault="00000000" w:rsidRPr="00000000" w14:paraId="00000040">
      <w:pPr>
        <w:rPr/>
      </w:pPr>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1"/>
        <w:rPr/>
      </w:pPr>
      <w:r w:rsidDel="00000000" w:rsidR="00000000" w:rsidRPr="00000000">
        <w:rPr>
          <w:rtl w:val="0"/>
        </w:rPr>
        <w:t xml:space="preserve">LIST OF ABBREVIATIONS</w:t>
      </w:r>
    </w:p>
    <w:tbl>
      <w:tblPr>
        <w:tblStyle w:val="Table1"/>
        <w:tblW w:w="8640.0" w:type="dxa"/>
        <w:jc w:val="left"/>
        <w:tblBorders>
          <w:top w:color="000000" w:space="0" w:sz="6" w:val="single"/>
          <w:left w:color="000000" w:space="0" w:sz="0" w:val="nil"/>
          <w:bottom w:color="000000" w:space="0" w:sz="6" w:val="single"/>
          <w:right w:color="000000" w:space="0" w:sz="0" w:val="nil"/>
          <w:insideH w:color="bfbfbf" w:space="0" w:sz="4" w:val="single"/>
          <w:insideV w:color="000000" w:space="0" w:sz="0" w:val="nil"/>
        </w:tblBorders>
        <w:tblLayout w:type="fixed"/>
        <w:tblLook w:val="0000"/>
      </w:tblPr>
      <w:tblGrid>
        <w:gridCol w:w="2200"/>
        <w:gridCol w:w="6440"/>
        <w:tblGridChange w:id="0">
          <w:tblGrid>
            <w:gridCol w:w="2200"/>
            <w:gridCol w:w="6440"/>
          </w:tblGrid>
        </w:tblGridChange>
      </w:tblGrid>
      <w:tr>
        <w:trPr>
          <w:cantSplit w:val="0"/>
          <w:tblHeader w:val="1"/>
        </w:trPr>
        <w:tc>
          <w:tcPr>
            <w:shd w:fill="edeff3" w:val="clear"/>
            <w:tcMar>
              <w:top w:w="80.0" w:type="dxa"/>
              <w:left w:w="110.0" w:type="dxa"/>
              <w:bottom w:w="80.0" w:type="dxa"/>
              <w:right w:w="110.0" w:type="dxa"/>
            </w:tcMar>
            <w:vAlign w:val="center"/>
          </w:tcPr>
          <w:p w:rsidR="00000000" w:rsidDel="00000000" w:rsidP="00000000" w:rsidRDefault="00000000" w:rsidRPr="00000000" w14:paraId="00000042">
            <w:pPr>
              <w:spacing w:after="40" w:line="240" w:lineRule="auto"/>
              <w:jc w:val="left"/>
              <w:rPr/>
            </w:pPr>
            <w:r w:rsidDel="00000000" w:rsidR="00000000" w:rsidRPr="00000000">
              <w:rPr>
                <w:b w:val="1"/>
                <w:bCs w:val="1"/>
                <w:sz w:val="20"/>
                <w:szCs w:val="20"/>
                <w:rtl w:val="0"/>
              </w:rPr>
              <w:t xml:space="preserve">Abbreviation</w:t>
            </w:r>
            <w:r w:rsidDel="00000000" w:rsidR="00000000" w:rsidRPr="00000000">
              <w:rPr>
                <w:rtl w:val="0"/>
              </w:rPr>
            </w:r>
          </w:p>
        </w:tc>
        <w:tc>
          <w:tcPr>
            <w:shd w:fill="edeff3" w:val="clear"/>
            <w:tcMar>
              <w:top w:w="80.0" w:type="dxa"/>
              <w:left w:w="110.0" w:type="dxa"/>
              <w:bottom w:w="80.0" w:type="dxa"/>
              <w:right w:w="110.0" w:type="dxa"/>
            </w:tcMar>
            <w:vAlign w:val="center"/>
          </w:tcPr>
          <w:p w:rsidR="00000000" w:rsidDel="00000000" w:rsidP="00000000" w:rsidRDefault="00000000" w:rsidRPr="00000000" w14:paraId="00000043">
            <w:pPr>
              <w:spacing w:after="40" w:line="240" w:lineRule="auto"/>
              <w:jc w:val="left"/>
              <w:rPr/>
            </w:pPr>
            <w:r w:rsidDel="00000000" w:rsidR="00000000" w:rsidRPr="00000000">
              <w:rPr>
                <w:b w:val="1"/>
                <w:bCs w:val="1"/>
                <w:sz w:val="20"/>
                <w:szCs w:val="20"/>
                <w:rtl w:val="0"/>
              </w:rPr>
              <w:t xml:space="preserve">Full Term</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44">
            <w:pPr>
              <w:spacing w:after="0" w:line="250" w:lineRule="auto"/>
              <w:jc w:val="left"/>
              <w:rPr>
                <w:sz w:val="20"/>
                <w:szCs w:val="20"/>
              </w:rPr>
            </w:pPr>
            <w:r w:rsidDel="00000000" w:rsidR="00000000" w:rsidRPr="00000000">
              <w:rPr>
                <w:sz w:val="20"/>
                <w:szCs w:val="20"/>
                <w:rtl w:val="0"/>
              </w:rPr>
              <w:t xml:space="preserve">ALB</w:t>
            </w:r>
          </w:p>
        </w:tc>
        <w:tc>
          <w:tcPr>
            <w:tcMar>
              <w:top w:w="70.0" w:type="dxa"/>
              <w:left w:w="110.0" w:type="dxa"/>
              <w:bottom w:w="70.0" w:type="dxa"/>
              <w:right w:w="110.0" w:type="dxa"/>
            </w:tcMar>
          </w:tcPr>
          <w:p w:rsidR="00000000" w:rsidDel="00000000" w:rsidP="00000000" w:rsidRDefault="00000000" w:rsidRPr="00000000" w14:paraId="00000045">
            <w:pPr>
              <w:spacing w:after="0" w:line="250" w:lineRule="auto"/>
              <w:jc w:val="left"/>
              <w:rPr>
                <w:sz w:val="20"/>
                <w:szCs w:val="20"/>
              </w:rPr>
            </w:pPr>
            <w:r w:rsidDel="00000000" w:rsidR="00000000" w:rsidRPr="00000000">
              <w:rPr>
                <w:sz w:val="20"/>
                <w:szCs w:val="20"/>
                <w:rtl w:val="0"/>
              </w:rPr>
              <w:t xml:space="preserve">Application Load Balancer</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46">
            <w:pPr>
              <w:spacing w:after="0" w:line="250" w:lineRule="auto"/>
              <w:jc w:val="left"/>
              <w:rPr>
                <w:sz w:val="20"/>
                <w:szCs w:val="20"/>
              </w:rPr>
            </w:pPr>
            <w:r w:rsidDel="00000000" w:rsidR="00000000" w:rsidRPr="00000000">
              <w:rPr>
                <w:sz w:val="20"/>
                <w:szCs w:val="20"/>
                <w:rtl w:val="0"/>
              </w:rPr>
              <w:t xml:space="preserve">APA</w:t>
            </w:r>
          </w:p>
        </w:tc>
        <w:tc>
          <w:tcPr>
            <w:tcMar>
              <w:top w:w="70.0" w:type="dxa"/>
              <w:left w:w="110.0" w:type="dxa"/>
              <w:bottom w:w="70.0" w:type="dxa"/>
              <w:right w:w="110.0" w:type="dxa"/>
            </w:tcMar>
          </w:tcPr>
          <w:p w:rsidR="00000000" w:rsidDel="00000000" w:rsidP="00000000" w:rsidRDefault="00000000" w:rsidRPr="00000000" w14:paraId="00000047">
            <w:pPr>
              <w:spacing w:after="0" w:line="250" w:lineRule="auto"/>
              <w:jc w:val="left"/>
              <w:rPr>
                <w:sz w:val="20"/>
                <w:szCs w:val="20"/>
              </w:rPr>
            </w:pPr>
            <w:r w:rsidDel="00000000" w:rsidR="00000000" w:rsidRPr="00000000">
              <w:rPr>
                <w:sz w:val="20"/>
                <w:szCs w:val="20"/>
                <w:rtl w:val="0"/>
              </w:rPr>
              <w:t xml:space="preserve">American Psychological Association</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48">
            <w:pPr>
              <w:spacing w:after="0" w:line="250" w:lineRule="auto"/>
              <w:jc w:val="left"/>
              <w:rPr>
                <w:sz w:val="20"/>
                <w:szCs w:val="20"/>
              </w:rPr>
            </w:pPr>
            <w:r w:rsidDel="00000000" w:rsidR="00000000" w:rsidRPr="00000000">
              <w:rPr>
                <w:sz w:val="20"/>
                <w:szCs w:val="20"/>
                <w:rtl w:val="0"/>
              </w:rPr>
              <w:t xml:space="preserve">API</w:t>
            </w:r>
          </w:p>
        </w:tc>
        <w:tc>
          <w:tcPr>
            <w:tcMar>
              <w:top w:w="70.0" w:type="dxa"/>
              <w:left w:w="110.0" w:type="dxa"/>
              <w:bottom w:w="70.0" w:type="dxa"/>
              <w:right w:w="110.0" w:type="dxa"/>
            </w:tcMar>
          </w:tcPr>
          <w:p w:rsidR="00000000" w:rsidDel="00000000" w:rsidP="00000000" w:rsidRDefault="00000000" w:rsidRPr="00000000" w14:paraId="00000049">
            <w:pPr>
              <w:spacing w:after="0" w:line="250" w:lineRule="auto"/>
              <w:jc w:val="left"/>
              <w:rPr>
                <w:sz w:val="20"/>
                <w:szCs w:val="20"/>
              </w:rPr>
            </w:pPr>
            <w:r w:rsidDel="00000000" w:rsidR="00000000" w:rsidRPr="00000000">
              <w:rPr>
                <w:sz w:val="20"/>
                <w:szCs w:val="20"/>
                <w:rtl w:val="0"/>
              </w:rPr>
              <w:t xml:space="preserve">Application Programming Interface</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4A">
            <w:pPr>
              <w:spacing w:after="0" w:line="250" w:lineRule="auto"/>
              <w:jc w:val="left"/>
              <w:rPr>
                <w:sz w:val="20"/>
                <w:szCs w:val="20"/>
              </w:rPr>
            </w:pPr>
            <w:r w:rsidDel="00000000" w:rsidR="00000000" w:rsidRPr="00000000">
              <w:rPr>
                <w:sz w:val="20"/>
                <w:szCs w:val="20"/>
                <w:rtl w:val="0"/>
              </w:rPr>
              <w:t xml:space="preserve">AWS</w:t>
            </w:r>
          </w:p>
        </w:tc>
        <w:tc>
          <w:tcPr>
            <w:tcMar>
              <w:top w:w="70.0" w:type="dxa"/>
              <w:left w:w="110.0" w:type="dxa"/>
              <w:bottom w:w="70.0" w:type="dxa"/>
              <w:right w:w="110.0" w:type="dxa"/>
            </w:tcMar>
          </w:tcPr>
          <w:p w:rsidR="00000000" w:rsidDel="00000000" w:rsidP="00000000" w:rsidRDefault="00000000" w:rsidRPr="00000000" w14:paraId="0000004B">
            <w:pPr>
              <w:spacing w:after="0" w:line="250" w:lineRule="auto"/>
              <w:jc w:val="left"/>
              <w:rPr>
                <w:sz w:val="20"/>
                <w:szCs w:val="20"/>
              </w:rPr>
            </w:pPr>
            <w:r w:rsidDel="00000000" w:rsidR="00000000" w:rsidRPr="00000000">
              <w:rPr>
                <w:sz w:val="20"/>
                <w:szCs w:val="20"/>
                <w:rtl w:val="0"/>
              </w:rPr>
              <w:t xml:space="preserve">Amazon Web Services</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4C">
            <w:pPr>
              <w:spacing w:after="0" w:line="250" w:lineRule="auto"/>
              <w:jc w:val="left"/>
              <w:rPr>
                <w:sz w:val="20"/>
                <w:szCs w:val="20"/>
              </w:rPr>
            </w:pPr>
            <w:r w:rsidDel="00000000" w:rsidR="00000000" w:rsidRPr="00000000">
              <w:rPr>
                <w:sz w:val="20"/>
                <w:szCs w:val="20"/>
                <w:rtl w:val="0"/>
              </w:rPr>
              <w:t xml:space="preserve">AZ</w:t>
            </w:r>
          </w:p>
        </w:tc>
        <w:tc>
          <w:tcPr>
            <w:tcMar>
              <w:top w:w="70.0" w:type="dxa"/>
              <w:left w:w="110.0" w:type="dxa"/>
              <w:bottom w:w="70.0" w:type="dxa"/>
              <w:right w:w="110.0" w:type="dxa"/>
            </w:tcMar>
          </w:tcPr>
          <w:p w:rsidR="00000000" w:rsidDel="00000000" w:rsidP="00000000" w:rsidRDefault="00000000" w:rsidRPr="00000000" w14:paraId="0000004D">
            <w:pPr>
              <w:spacing w:after="0" w:line="250" w:lineRule="auto"/>
              <w:jc w:val="left"/>
              <w:rPr>
                <w:sz w:val="20"/>
                <w:szCs w:val="20"/>
              </w:rPr>
            </w:pPr>
            <w:r w:rsidDel="00000000" w:rsidR="00000000" w:rsidRPr="00000000">
              <w:rPr>
                <w:sz w:val="20"/>
                <w:szCs w:val="20"/>
                <w:rtl w:val="0"/>
              </w:rPr>
              <w:t xml:space="preserve">Availability Zone</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4E">
            <w:pPr>
              <w:spacing w:after="0" w:line="250" w:lineRule="auto"/>
              <w:jc w:val="left"/>
              <w:rPr>
                <w:sz w:val="20"/>
                <w:szCs w:val="20"/>
              </w:rPr>
            </w:pPr>
            <w:r w:rsidDel="00000000" w:rsidR="00000000" w:rsidRPr="00000000">
              <w:rPr>
                <w:sz w:val="20"/>
                <w:szCs w:val="20"/>
                <w:rtl w:val="0"/>
              </w:rPr>
              <w:t xml:space="preserve">CI/CD</w:t>
            </w:r>
          </w:p>
        </w:tc>
        <w:tc>
          <w:tcPr>
            <w:tcMar>
              <w:top w:w="70.0" w:type="dxa"/>
              <w:left w:w="110.0" w:type="dxa"/>
              <w:bottom w:w="70.0" w:type="dxa"/>
              <w:right w:w="110.0" w:type="dxa"/>
            </w:tcMar>
          </w:tcPr>
          <w:p w:rsidR="00000000" w:rsidDel="00000000" w:rsidP="00000000" w:rsidRDefault="00000000" w:rsidRPr="00000000" w14:paraId="0000004F">
            <w:pPr>
              <w:spacing w:after="0" w:line="250" w:lineRule="auto"/>
              <w:jc w:val="left"/>
              <w:rPr>
                <w:sz w:val="20"/>
                <w:szCs w:val="20"/>
              </w:rPr>
            </w:pPr>
            <w:r w:rsidDel="00000000" w:rsidR="00000000" w:rsidRPr="00000000">
              <w:rPr>
                <w:sz w:val="20"/>
                <w:szCs w:val="20"/>
                <w:rtl w:val="0"/>
              </w:rPr>
              <w:t xml:space="preserve">Continuous Integration and Continuous Delivery</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50">
            <w:pPr>
              <w:spacing w:after="0" w:line="250" w:lineRule="auto"/>
              <w:jc w:val="left"/>
              <w:rPr>
                <w:sz w:val="20"/>
                <w:szCs w:val="20"/>
              </w:rPr>
            </w:pPr>
            <w:r w:rsidDel="00000000" w:rsidR="00000000" w:rsidRPr="00000000">
              <w:rPr>
                <w:sz w:val="20"/>
                <w:szCs w:val="20"/>
                <w:rtl w:val="0"/>
              </w:rPr>
              <w:t xml:space="preserve">CIS</w:t>
            </w:r>
          </w:p>
        </w:tc>
        <w:tc>
          <w:tcPr>
            <w:tcMar>
              <w:top w:w="70.0" w:type="dxa"/>
              <w:left w:w="110.0" w:type="dxa"/>
              <w:bottom w:w="70.0" w:type="dxa"/>
              <w:right w:w="110.0" w:type="dxa"/>
            </w:tcMar>
          </w:tcPr>
          <w:p w:rsidR="00000000" w:rsidDel="00000000" w:rsidP="00000000" w:rsidRDefault="00000000" w:rsidRPr="00000000" w14:paraId="00000051">
            <w:pPr>
              <w:spacing w:after="0" w:line="250" w:lineRule="auto"/>
              <w:jc w:val="left"/>
              <w:rPr>
                <w:sz w:val="20"/>
                <w:szCs w:val="20"/>
              </w:rPr>
            </w:pPr>
            <w:r w:rsidDel="00000000" w:rsidR="00000000" w:rsidRPr="00000000">
              <w:rPr>
                <w:sz w:val="20"/>
                <w:szCs w:val="20"/>
                <w:rtl w:val="0"/>
              </w:rPr>
              <w:t xml:space="preserve">Center for Internet Security</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52">
            <w:pPr>
              <w:spacing w:after="0" w:line="250" w:lineRule="auto"/>
              <w:jc w:val="left"/>
              <w:rPr>
                <w:sz w:val="20"/>
                <w:szCs w:val="20"/>
              </w:rPr>
            </w:pPr>
            <w:r w:rsidDel="00000000" w:rsidR="00000000" w:rsidRPr="00000000">
              <w:rPr>
                <w:sz w:val="20"/>
                <w:szCs w:val="20"/>
                <w:rtl w:val="0"/>
              </w:rPr>
              <w:t xml:space="preserve">DOI</w:t>
            </w:r>
          </w:p>
        </w:tc>
        <w:tc>
          <w:tcPr>
            <w:tcMar>
              <w:top w:w="70.0" w:type="dxa"/>
              <w:left w:w="110.0" w:type="dxa"/>
              <w:bottom w:w="70.0" w:type="dxa"/>
              <w:right w:w="110.0" w:type="dxa"/>
            </w:tcMar>
          </w:tcPr>
          <w:p w:rsidR="00000000" w:rsidDel="00000000" w:rsidP="00000000" w:rsidRDefault="00000000" w:rsidRPr="00000000" w14:paraId="00000053">
            <w:pPr>
              <w:spacing w:after="0" w:line="250" w:lineRule="auto"/>
              <w:jc w:val="left"/>
              <w:rPr>
                <w:sz w:val="20"/>
                <w:szCs w:val="20"/>
              </w:rPr>
            </w:pPr>
            <w:r w:rsidDel="00000000" w:rsidR="00000000" w:rsidRPr="00000000">
              <w:rPr>
                <w:sz w:val="20"/>
                <w:szCs w:val="20"/>
                <w:rtl w:val="0"/>
              </w:rPr>
              <w:t xml:space="preserve">Digital Object Identifier</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54">
            <w:pPr>
              <w:spacing w:after="0" w:line="250" w:lineRule="auto"/>
              <w:jc w:val="left"/>
              <w:rPr>
                <w:sz w:val="20"/>
                <w:szCs w:val="20"/>
              </w:rPr>
            </w:pPr>
            <w:r w:rsidDel="00000000" w:rsidR="00000000" w:rsidRPr="00000000">
              <w:rPr>
                <w:sz w:val="20"/>
                <w:szCs w:val="20"/>
                <w:rtl w:val="0"/>
              </w:rPr>
              <w:t xml:space="preserve">DORA</w:t>
            </w:r>
          </w:p>
        </w:tc>
        <w:tc>
          <w:tcPr>
            <w:tcMar>
              <w:top w:w="70.0" w:type="dxa"/>
              <w:left w:w="110.0" w:type="dxa"/>
              <w:bottom w:w="70.0" w:type="dxa"/>
              <w:right w:w="110.0" w:type="dxa"/>
            </w:tcMar>
          </w:tcPr>
          <w:p w:rsidR="00000000" w:rsidDel="00000000" w:rsidP="00000000" w:rsidRDefault="00000000" w:rsidRPr="00000000" w14:paraId="00000055">
            <w:pPr>
              <w:spacing w:after="0" w:line="250" w:lineRule="auto"/>
              <w:jc w:val="left"/>
              <w:rPr>
                <w:sz w:val="20"/>
                <w:szCs w:val="20"/>
              </w:rPr>
            </w:pPr>
            <w:r w:rsidDel="00000000" w:rsidR="00000000" w:rsidRPr="00000000">
              <w:rPr>
                <w:sz w:val="20"/>
                <w:szCs w:val="20"/>
                <w:rtl w:val="0"/>
              </w:rPr>
              <w:t xml:space="preserve">DevOps Research and Assessment</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56">
            <w:pPr>
              <w:spacing w:after="0" w:line="250" w:lineRule="auto"/>
              <w:jc w:val="left"/>
              <w:rPr>
                <w:sz w:val="20"/>
                <w:szCs w:val="20"/>
              </w:rPr>
            </w:pPr>
            <w:r w:rsidDel="00000000" w:rsidR="00000000" w:rsidRPr="00000000">
              <w:rPr>
                <w:sz w:val="20"/>
                <w:szCs w:val="20"/>
                <w:rtl w:val="0"/>
              </w:rPr>
              <w:t xml:space="preserve">ECR</w:t>
            </w:r>
          </w:p>
        </w:tc>
        <w:tc>
          <w:tcPr>
            <w:tcMar>
              <w:top w:w="70.0" w:type="dxa"/>
              <w:left w:w="110.0" w:type="dxa"/>
              <w:bottom w:w="70.0" w:type="dxa"/>
              <w:right w:w="110.0" w:type="dxa"/>
            </w:tcMar>
          </w:tcPr>
          <w:p w:rsidR="00000000" w:rsidDel="00000000" w:rsidP="00000000" w:rsidRDefault="00000000" w:rsidRPr="00000000" w14:paraId="00000057">
            <w:pPr>
              <w:spacing w:after="0" w:line="250" w:lineRule="auto"/>
              <w:jc w:val="left"/>
              <w:rPr>
                <w:sz w:val="20"/>
                <w:szCs w:val="20"/>
              </w:rPr>
            </w:pPr>
            <w:r w:rsidDel="00000000" w:rsidR="00000000" w:rsidRPr="00000000">
              <w:rPr>
                <w:sz w:val="20"/>
                <w:szCs w:val="20"/>
                <w:rtl w:val="0"/>
              </w:rPr>
              <w:t xml:space="preserve">Elastic Container Registry</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58">
            <w:pPr>
              <w:spacing w:after="0" w:line="250" w:lineRule="auto"/>
              <w:jc w:val="left"/>
              <w:rPr>
                <w:sz w:val="20"/>
                <w:szCs w:val="20"/>
              </w:rPr>
            </w:pPr>
            <w:r w:rsidDel="00000000" w:rsidR="00000000" w:rsidRPr="00000000">
              <w:rPr>
                <w:sz w:val="20"/>
                <w:szCs w:val="20"/>
                <w:rtl w:val="0"/>
              </w:rPr>
              <w:t xml:space="preserve">ECS</w:t>
            </w:r>
          </w:p>
        </w:tc>
        <w:tc>
          <w:tcPr>
            <w:tcMar>
              <w:top w:w="70.0" w:type="dxa"/>
              <w:left w:w="110.0" w:type="dxa"/>
              <w:bottom w:w="70.0" w:type="dxa"/>
              <w:right w:w="110.0" w:type="dxa"/>
            </w:tcMar>
          </w:tcPr>
          <w:p w:rsidR="00000000" w:rsidDel="00000000" w:rsidP="00000000" w:rsidRDefault="00000000" w:rsidRPr="00000000" w14:paraId="00000059">
            <w:pPr>
              <w:spacing w:after="0" w:line="250" w:lineRule="auto"/>
              <w:jc w:val="left"/>
              <w:rPr>
                <w:sz w:val="20"/>
                <w:szCs w:val="20"/>
              </w:rPr>
            </w:pPr>
            <w:r w:rsidDel="00000000" w:rsidR="00000000" w:rsidRPr="00000000">
              <w:rPr>
                <w:sz w:val="20"/>
                <w:szCs w:val="20"/>
                <w:rtl w:val="0"/>
              </w:rPr>
              <w:t xml:space="preserve">Elastic Container Service</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5A">
            <w:pPr>
              <w:spacing w:after="0" w:line="250" w:lineRule="auto"/>
              <w:jc w:val="left"/>
              <w:rPr>
                <w:sz w:val="20"/>
                <w:szCs w:val="20"/>
              </w:rPr>
            </w:pPr>
            <w:r w:rsidDel="00000000" w:rsidR="00000000" w:rsidRPr="00000000">
              <w:rPr>
                <w:sz w:val="20"/>
                <w:szCs w:val="20"/>
                <w:rtl w:val="0"/>
              </w:rPr>
              <w:t xml:space="preserve">HCL</w:t>
            </w:r>
          </w:p>
        </w:tc>
        <w:tc>
          <w:tcPr>
            <w:tcMar>
              <w:top w:w="70.0" w:type="dxa"/>
              <w:left w:w="110.0" w:type="dxa"/>
              <w:bottom w:w="70.0" w:type="dxa"/>
              <w:right w:w="110.0" w:type="dxa"/>
            </w:tcMar>
          </w:tcPr>
          <w:p w:rsidR="00000000" w:rsidDel="00000000" w:rsidP="00000000" w:rsidRDefault="00000000" w:rsidRPr="00000000" w14:paraId="0000005B">
            <w:pPr>
              <w:spacing w:after="0" w:line="250" w:lineRule="auto"/>
              <w:jc w:val="left"/>
              <w:rPr>
                <w:sz w:val="20"/>
                <w:szCs w:val="20"/>
              </w:rPr>
            </w:pPr>
            <w:r w:rsidDel="00000000" w:rsidR="00000000" w:rsidRPr="00000000">
              <w:rPr>
                <w:sz w:val="20"/>
                <w:szCs w:val="20"/>
                <w:rtl w:val="0"/>
              </w:rPr>
              <w:t xml:space="preserve">HashiCorp Configuration Language</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5C">
            <w:pPr>
              <w:spacing w:after="0" w:line="250" w:lineRule="auto"/>
              <w:jc w:val="left"/>
              <w:rPr>
                <w:sz w:val="20"/>
                <w:szCs w:val="20"/>
              </w:rPr>
            </w:pPr>
            <w:r w:rsidDel="00000000" w:rsidR="00000000" w:rsidRPr="00000000">
              <w:rPr>
                <w:sz w:val="20"/>
                <w:szCs w:val="20"/>
                <w:rtl w:val="0"/>
              </w:rPr>
              <w:t xml:space="preserve">IaC</w:t>
            </w:r>
          </w:p>
        </w:tc>
        <w:tc>
          <w:tcPr>
            <w:tcMar>
              <w:top w:w="70.0" w:type="dxa"/>
              <w:left w:w="110.0" w:type="dxa"/>
              <w:bottom w:w="70.0" w:type="dxa"/>
              <w:right w:w="110.0" w:type="dxa"/>
            </w:tcMar>
          </w:tcPr>
          <w:p w:rsidR="00000000" w:rsidDel="00000000" w:rsidP="00000000" w:rsidRDefault="00000000" w:rsidRPr="00000000" w14:paraId="0000005D">
            <w:pPr>
              <w:spacing w:after="0" w:line="250" w:lineRule="auto"/>
              <w:jc w:val="left"/>
              <w:rPr>
                <w:sz w:val="20"/>
                <w:szCs w:val="20"/>
              </w:rPr>
            </w:pPr>
            <w:r w:rsidDel="00000000" w:rsidR="00000000" w:rsidRPr="00000000">
              <w:rPr>
                <w:sz w:val="20"/>
                <w:szCs w:val="20"/>
                <w:rtl w:val="0"/>
              </w:rPr>
              <w:t xml:space="preserve">Infrastructure as Code</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5E">
            <w:pPr>
              <w:spacing w:after="0" w:line="250" w:lineRule="auto"/>
              <w:jc w:val="left"/>
              <w:rPr>
                <w:sz w:val="20"/>
                <w:szCs w:val="20"/>
              </w:rPr>
            </w:pPr>
            <w:r w:rsidDel="00000000" w:rsidR="00000000" w:rsidRPr="00000000">
              <w:rPr>
                <w:sz w:val="20"/>
                <w:szCs w:val="20"/>
                <w:rtl w:val="0"/>
              </w:rPr>
              <w:t xml:space="preserve">IAM</w:t>
            </w:r>
          </w:p>
        </w:tc>
        <w:tc>
          <w:tcPr>
            <w:tcMar>
              <w:top w:w="70.0" w:type="dxa"/>
              <w:left w:w="110.0" w:type="dxa"/>
              <w:bottom w:w="70.0" w:type="dxa"/>
              <w:right w:w="110.0" w:type="dxa"/>
            </w:tcMar>
          </w:tcPr>
          <w:p w:rsidR="00000000" w:rsidDel="00000000" w:rsidP="00000000" w:rsidRDefault="00000000" w:rsidRPr="00000000" w14:paraId="0000005F">
            <w:pPr>
              <w:spacing w:after="0" w:line="250" w:lineRule="auto"/>
              <w:jc w:val="left"/>
              <w:rPr>
                <w:sz w:val="20"/>
                <w:szCs w:val="20"/>
              </w:rPr>
            </w:pPr>
            <w:r w:rsidDel="00000000" w:rsidR="00000000" w:rsidRPr="00000000">
              <w:rPr>
                <w:sz w:val="20"/>
                <w:szCs w:val="20"/>
                <w:rtl w:val="0"/>
              </w:rPr>
              <w:t xml:space="preserve">Identity and Access Management</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60">
            <w:pPr>
              <w:spacing w:after="0" w:line="250" w:lineRule="auto"/>
              <w:jc w:val="left"/>
              <w:rPr>
                <w:sz w:val="20"/>
                <w:szCs w:val="20"/>
              </w:rPr>
            </w:pPr>
            <w:r w:rsidDel="00000000" w:rsidR="00000000" w:rsidRPr="00000000">
              <w:rPr>
                <w:sz w:val="20"/>
                <w:szCs w:val="20"/>
                <w:rtl w:val="0"/>
              </w:rPr>
              <w:t xml:space="preserve">IGW</w:t>
            </w:r>
          </w:p>
        </w:tc>
        <w:tc>
          <w:tcPr>
            <w:tcMar>
              <w:top w:w="70.0" w:type="dxa"/>
              <w:left w:w="110.0" w:type="dxa"/>
              <w:bottom w:w="70.0" w:type="dxa"/>
              <w:right w:w="110.0" w:type="dxa"/>
            </w:tcMar>
          </w:tcPr>
          <w:p w:rsidR="00000000" w:rsidDel="00000000" w:rsidP="00000000" w:rsidRDefault="00000000" w:rsidRPr="00000000" w14:paraId="00000061">
            <w:pPr>
              <w:spacing w:after="0" w:line="250" w:lineRule="auto"/>
              <w:jc w:val="left"/>
              <w:rPr>
                <w:sz w:val="20"/>
                <w:szCs w:val="20"/>
              </w:rPr>
            </w:pPr>
            <w:r w:rsidDel="00000000" w:rsidR="00000000" w:rsidRPr="00000000">
              <w:rPr>
                <w:sz w:val="20"/>
                <w:szCs w:val="20"/>
                <w:rtl w:val="0"/>
              </w:rPr>
              <w:t xml:space="preserve">Internet Gateway</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62">
            <w:pPr>
              <w:spacing w:after="0" w:line="250" w:lineRule="auto"/>
              <w:jc w:val="left"/>
              <w:rPr>
                <w:sz w:val="20"/>
                <w:szCs w:val="20"/>
              </w:rPr>
            </w:pPr>
            <w:r w:rsidDel="00000000" w:rsidR="00000000" w:rsidRPr="00000000">
              <w:rPr>
                <w:sz w:val="20"/>
                <w:szCs w:val="20"/>
                <w:rtl w:val="0"/>
              </w:rPr>
              <w:t xml:space="preserve">IRB</w:t>
            </w:r>
          </w:p>
        </w:tc>
        <w:tc>
          <w:tcPr>
            <w:tcMar>
              <w:top w:w="70.0" w:type="dxa"/>
              <w:left w:w="110.0" w:type="dxa"/>
              <w:bottom w:w="70.0" w:type="dxa"/>
              <w:right w:w="110.0" w:type="dxa"/>
            </w:tcMar>
          </w:tcPr>
          <w:p w:rsidR="00000000" w:rsidDel="00000000" w:rsidP="00000000" w:rsidRDefault="00000000" w:rsidRPr="00000000" w14:paraId="00000063">
            <w:pPr>
              <w:spacing w:after="0" w:line="250" w:lineRule="auto"/>
              <w:jc w:val="left"/>
              <w:rPr>
                <w:sz w:val="20"/>
                <w:szCs w:val="20"/>
              </w:rPr>
            </w:pPr>
            <w:r w:rsidDel="00000000" w:rsidR="00000000" w:rsidRPr="00000000">
              <w:rPr>
                <w:sz w:val="20"/>
                <w:szCs w:val="20"/>
                <w:rtl w:val="0"/>
              </w:rPr>
              <w:t xml:space="preserve">Institutional Review Board</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64">
            <w:pPr>
              <w:spacing w:after="0" w:line="250" w:lineRule="auto"/>
              <w:jc w:val="left"/>
              <w:rPr>
                <w:sz w:val="20"/>
                <w:szCs w:val="20"/>
              </w:rPr>
            </w:pPr>
            <w:r w:rsidDel="00000000" w:rsidR="00000000" w:rsidRPr="00000000">
              <w:rPr>
                <w:sz w:val="20"/>
                <w:szCs w:val="20"/>
                <w:rtl w:val="0"/>
              </w:rPr>
              <w:t xml:space="preserve">NAT</w:t>
            </w:r>
          </w:p>
        </w:tc>
        <w:tc>
          <w:tcPr>
            <w:tcMar>
              <w:top w:w="70.0" w:type="dxa"/>
              <w:left w:w="110.0" w:type="dxa"/>
              <w:bottom w:w="70.0" w:type="dxa"/>
              <w:right w:w="110.0" w:type="dxa"/>
            </w:tcMar>
          </w:tcPr>
          <w:p w:rsidR="00000000" w:rsidDel="00000000" w:rsidP="00000000" w:rsidRDefault="00000000" w:rsidRPr="00000000" w14:paraId="00000065">
            <w:pPr>
              <w:spacing w:after="0" w:line="250" w:lineRule="auto"/>
              <w:jc w:val="left"/>
              <w:rPr>
                <w:sz w:val="20"/>
                <w:szCs w:val="20"/>
              </w:rPr>
            </w:pPr>
            <w:r w:rsidDel="00000000" w:rsidR="00000000" w:rsidRPr="00000000">
              <w:rPr>
                <w:sz w:val="20"/>
                <w:szCs w:val="20"/>
                <w:rtl w:val="0"/>
              </w:rPr>
              <w:t xml:space="preserve">Network Address Translation</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66">
            <w:pPr>
              <w:spacing w:after="0" w:line="250" w:lineRule="auto"/>
              <w:jc w:val="left"/>
              <w:rPr>
                <w:sz w:val="20"/>
                <w:szCs w:val="20"/>
              </w:rPr>
            </w:pPr>
            <w:r w:rsidDel="00000000" w:rsidR="00000000" w:rsidRPr="00000000">
              <w:rPr>
                <w:sz w:val="20"/>
                <w:szCs w:val="20"/>
                <w:rtl w:val="0"/>
              </w:rPr>
              <w:t xml:space="preserve">NBC</w:t>
            </w:r>
          </w:p>
        </w:tc>
        <w:tc>
          <w:tcPr>
            <w:tcMar>
              <w:top w:w="70.0" w:type="dxa"/>
              <w:left w:w="110.0" w:type="dxa"/>
              <w:bottom w:w="70.0" w:type="dxa"/>
              <w:right w:w="110.0" w:type="dxa"/>
            </w:tcMar>
          </w:tcPr>
          <w:p w:rsidR="00000000" w:rsidDel="00000000" w:rsidP="00000000" w:rsidRDefault="00000000" w:rsidRPr="00000000" w14:paraId="00000067">
            <w:pPr>
              <w:spacing w:after="0" w:line="250" w:lineRule="auto"/>
              <w:jc w:val="left"/>
              <w:rPr>
                <w:sz w:val="20"/>
                <w:szCs w:val="20"/>
              </w:rPr>
            </w:pPr>
            <w:r w:rsidDel="00000000" w:rsidR="00000000" w:rsidRPr="00000000">
              <w:rPr>
                <w:sz w:val="20"/>
                <w:szCs w:val="20"/>
                <w:rtl w:val="0"/>
              </w:rPr>
              <w:t xml:space="preserve">National Bank of Cambodia</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68">
            <w:pPr>
              <w:spacing w:after="0" w:line="250" w:lineRule="auto"/>
              <w:jc w:val="left"/>
              <w:rPr>
                <w:sz w:val="20"/>
                <w:szCs w:val="20"/>
              </w:rPr>
            </w:pPr>
            <w:r w:rsidDel="00000000" w:rsidR="00000000" w:rsidRPr="00000000">
              <w:rPr>
                <w:sz w:val="20"/>
                <w:szCs w:val="20"/>
                <w:rtl w:val="0"/>
              </w:rPr>
              <w:t xml:space="preserve">OIDC</w:t>
            </w:r>
          </w:p>
        </w:tc>
        <w:tc>
          <w:tcPr>
            <w:tcMar>
              <w:top w:w="70.0" w:type="dxa"/>
              <w:left w:w="110.0" w:type="dxa"/>
              <w:bottom w:w="70.0" w:type="dxa"/>
              <w:right w:w="110.0" w:type="dxa"/>
            </w:tcMar>
          </w:tcPr>
          <w:p w:rsidR="00000000" w:rsidDel="00000000" w:rsidP="00000000" w:rsidRDefault="00000000" w:rsidRPr="00000000" w14:paraId="00000069">
            <w:pPr>
              <w:spacing w:after="0" w:line="250" w:lineRule="auto"/>
              <w:jc w:val="left"/>
              <w:rPr>
                <w:sz w:val="20"/>
                <w:szCs w:val="20"/>
              </w:rPr>
            </w:pPr>
            <w:r w:rsidDel="00000000" w:rsidR="00000000" w:rsidRPr="00000000">
              <w:rPr>
                <w:sz w:val="20"/>
                <w:szCs w:val="20"/>
                <w:rtl w:val="0"/>
              </w:rPr>
              <w:t xml:space="preserve">OpenID Connect</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6A">
            <w:pPr>
              <w:spacing w:after="0" w:line="250" w:lineRule="auto"/>
              <w:jc w:val="left"/>
              <w:rPr>
                <w:sz w:val="20"/>
                <w:szCs w:val="20"/>
              </w:rPr>
            </w:pPr>
            <w:r w:rsidDel="00000000" w:rsidR="00000000" w:rsidRPr="00000000">
              <w:rPr>
                <w:sz w:val="20"/>
                <w:szCs w:val="20"/>
                <w:rtl w:val="0"/>
              </w:rPr>
              <w:t xml:space="preserve">PR</w:t>
            </w:r>
          </w:p>
        </w:tc>
        <w:tc>
          <w:tcPr>
            <w:tcMar>
              <w:top w:w="70.0" w:type="dxa"/>
              <w:left w:w="110.0" w:type="dxa"/>
              <w:bottom w:w="70.0" w:type="dxa"/>
              <w:right w:w="110.0" w:type="dxa"/>
            </w:tcMar>
          </w:tcPr>
          <w:p w:rsidR="00000000" w:rsidDel="00000000" w:rsidP="00000000" w:rsidRDefault="00000000" w:rsidRPr="00000000" w14:paraId="0000006B">
            <w:pPr>
              <w:spacing w:after="0" w:line="250" w:lineRule="auto"/>
              <w:jc w:val="left"/>
              <w:rPr>
                <w:sz w:val="20"/>
                <w:szCs w:val="20"/>
              </w:rPr>
            </w:pPr>
            <w:r w:rsidDel="00000000" w:rsidR="00000000" w:rsidRPr="00000000">
              <w:rPr>
                <w:sz w:val="20"/>
                <w:szCs w:val="20"/>
                <w:rtl w:val="0"/>
              </w:rPr>
              <w:t xml:space="preserve">Pull Request</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6C">
            <w:pPr>
              <w:spacing w:after="0" w:line="250" w:lineRule="auto"/>
              <w:jc w:val="left"/>
              <w:rPr>
                <w:sz w:val="20"/>
                <w:szCs w:val="20"/>
              </w:rPr>
            </w:pPr>
            <w:r w:rsidDel="00000000" w:rsidR="00000000" w:rsidRPr="00000000">
              <w:rPr>
                <w:sz w:val="20"/>
                <w:szCs w:val="20"/>
                <w:rtl w:val="0"/>
              </w:rPr>
              <w:t xml:space="preserve">RDS</w:t>
            </w:r>
          </w:p>
        </w:tc>
        <w:tc>
          <w:tcPr>
            <w:tcMar>
              <w:top w:w="70.0" w:type="dxa"/>
              <w:left w:w="110.0" w:type="dxa"/>
              <w:bottom w:w="70.0" w:type="dxa"/>
              <w:right w:w="110.0" w:type="dxa"/>
            </w:tcMar>
          </w:tcPr>
          <w:p w:rsidR="00000000" w:rsidDel="00000000" w:rsidP="00000000" w:rsidRDefault="00000000" w:rsidRPr="00000000" w14:paraId="0000006D">
            <w:pPr>
              <w:spacing w:after="0" w:line="250" w:lineRule="auto"/>
              <w:jc w:val="left"/>
              <w:rPr>
                <w:sz w:val="20"/>
                <w:szCs w:val="20"/>
              </w:rPr>
            </w:pPr>
            <w:r w:rsidDel="00000000" w:rsidR="00000000" w:rsidRPr="00000000">
              <w:rPr>
                <w:sz w:val="20"/>
                <w:szCs w:val="20"/>
                <w:rtl w:val="0"/>
              </w:rPr>
              <w:t xml:space="preserve">Relational Database Service</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6E">
            <w:pPr>
              <w:spacing w:after="0" w:line="250" w:lineRule="auto"/>
              <w:jc w:val="left"/>
              <w:rPr>
                <w:sz w:val="20"/>
                <w:szCs w:val="20"/>
              </w:rPr>
            </w:pPr>
            <w:r w:rsidDel="00000000" w:rsidR="00000000" w:rsidRPr="00000000">
              <w:rPr>
                <w:sz w:val="20"/>
                <w:szCs w:val="20"/>
                <w:rtl w:val="0"/>
              </w:rPr>
              <w:t xml:space="preserve">SD</w:t>
            </w:r>
          </w:p>
        </w:tc>
        <w:tc>
          <w:tcPr>
            <w:tcMar>
              <w:top w:w="70.0" w:type="dxa"/>
              <w:left w:w="110.0" w:type="dxa"/>
              <w:bottom w:w="70.0" w:type="dxa"/>
              <w:right w:w="110.0" w:type="dxa"/>
            </w:tcMar>
          </w:tcPr>
          <w:p w:rsidR="00000000" w:rsidDel="00000000" w:rsidP="00000000" w:rsidRDefault="00000000" w:rsidRPr="00000000" w14:paraId="0000006F">
            <w:pPr>
              <w:spacing w:after="0" w:line="250" w:lineRule="auto"/>
              <w:jc w:val="left"/>
              <w:rPr>
                <w:sz w:val="20"/>
                <w:szCs w:val="20"/>
              </w:rPr>
            </w:pPr>
            <w:r w:rsidDel="00000000" w:rsidR="00000000" w:rsidRPr="00000000">
              <w:rPr>
                <w:sz w:val="20"/>
                <w:szCs w:val="20"/>
                <w:rtl w:val="0"/>
              </w:rPr>
              <w:t xml:space="preserve">Standard Deviation</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70">
            <w:pPr>
              <w:spacing w:after="0" w:line="250" w:lineRule="auto"/>
              <w:jc w:val="left"/>
              <w:rPr>
                <w:sz w:val="20"/>
                <w:szCs w:val="20"/>
              </w:rPr>
            </w:pPr>
            <w:r w:rsidDel="00000000" w:rsidR="00000000" w:rsidRPr="00000000">
              <w:rPr>
                <w:sz w:val="20"/>
                <w:szCs w:val="20"/>
                <w:rtl w:val="0"/>
              </w:rPr>
              <w:t xml:space="preserve">TLS</w:t>
            </w:r>
          </w:p>
        </w:tc>
        <w:tc>
          <w:tcPr>
            <w:tcMar>
              <w:top w:w="70.0" w:type="dxa"/>
              <w:left w:w="110.0" w:type="dxa"/>
              <w:bottom w:w="70.0" w:type="dxa"/>
              <w:right w:w="110.0" w:type="dxa"/>
            </w:tcMar>
          </w:tcPr>
          <w:p w:rsidR="00000000" w:rsidDel="00000000" w:rsidP="00000000" w:rsidRDefault="00000000" w:rsidRPr="00000000" w14:paraId="00000071">
            <w:pPr>
              <w:spacing w:after="0" w:line="250" w:lineRule="auto"/>
              <w:jc w:val="left"/>
              <w:rPr>
                <w:sz w:val="20"/>
                <w:szCs w:val="20"/>
              </w:rPr>
            </w:pPr>
            <w:r w:rsidDel="00000000" w:rsidR="00000000" w:rsidRPr="00000000">
              <w:rPr>
                <w:sz w:val="20"/>
                <w:szCs w:val="20"/>
                <w:rtl w:val="0"/>
              </w:rPr>
              <w:t xml:space="preserve">Transport Layer Security</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72">
            <w:pPr>
              <w:spacing w:after="0" w:line="250" w:lineRule="auto"/>
              <w:jc w:val="left"/>
              <w:rPr>
                <w:sz w:val="20"/>
                <w:szCs w:val="20"/>
              </w:rPr>
            </w:pPr>
            <w:r w:rsidDel="00000000" w:rsidR="00000000" w:rsidRPr="00000000">
              <w:rPr>
                <w:sz w:val="20"/>
                <w:szCs w:val="20"/>
                <w:rtl w:val="0"/>
              </w:rPr>
              <w:t xml:space="preserve">UP</w:t>
            </w:r>
          </w:p>
        </w:tc>
        <w:tc>
          <w:tcPr>
            <w:tcMar>
              <w:top w:w="70.0" w:type="dxa"/>
              <w:left w:w="110.0" w:type="dxa"/>
              <w:bottom w:w="70.0" w:type="dxa"/>
              <w:right w:w="110.0" w:type="dxa"/>
            </w:tcMar>
          </w:tcPr>
          <w:p w:rsidR="00000000" w:rsidDel="00000000" w:rsidP="00000000" w:rsidRDefault="00000000" w:rsidRPr="00000000" w14:paraId="00000073">
            <w:pPr>
              <w:spacing w:after="0" w:line="250" w:lineRule="auto"/>
              <w:jc w:val="left"/>
              <w:rPr>
                <w:sz w:val="20"/>
                <w:szCs w:val="20"/>
              </w:rPr>
            </w:pPr>
            <w:r w:rsidDel="00000000" w:rsidR="00000000" w:rsidRPr="00000000">
              <w:rPr>
                <w:sz w:val="20"/>
                <w:szCs w:val="20"/>
                <w:rtl w:val="0"/>
              </w:rPr>
              <w:t xml:space="preserve">University of Puthisastra</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74">
            <w:pPr>
              <w:spacing w:after="0" w:line="250" w:lineRule="auto"/>
              <w:jc w:val="left"/>
              <w:rPr>
                <w:sz w:val="20"/>
                <w:szCs w:val="20"/>
              </w:rPr>
            </w:pPr>
            <w:r w:rsidDel="00000000" w:rsidR="00000000" w:rsidRPr="00000000">
              <w:rPr>
                <w:sz w:val="20"/>
                <w:szCs w:val="20"/>
                <w:rtl w:val="0"/>
              </w:rPr>
              <w:t xml:space="preserve">VPC</w:t>
            </w:r>
          </w:p>
        </w:tc>
        <w:tc>
          <w:tcPr>
            <w:tcMar>
              <w:top w:w="70.0" w:type="dxa"/>
              <w:left w:w="110.0" w:type="dxa"/>
              <w:bottom w:w="70.0" w:type="dxa"/>
              <w:right w:w="110.0" w:type="dxa"/>
            </w:tcMar>
          </w:tcPr>
          <w:p w:rsidR="00000000" w:rsidDel="00000000" w:rsidP="00000000" w:rsidRDefault="00000000" w:rsidRPr="00000000" w14:paraId="00000075">
            <w:pPr>
              <w:spacing w:after="0" w:line="250" w:lineRule="auto"/>
              <w:jc w:val="left"/>
              <w:rPr>
                <w:sz w:val="20"/>
                <w:szCs w:val="20"/>
              </w:rPr>
            </w:pPr>
            <w:r w:rsidDel="00000000" w:rsidR="00000000" w:rsidRPr="00000000">
              <w:rPr>
                <w:sz w:val="20"/>
                <w:szCs w:val="20"/>
                <w:rtl w:val="0"/>
              </w:rPr>
              <w:t xml:space="preserve">Virtual Private Cloud</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76">
            <w:pPr>
              <w:spacing w:after="0" w:line="250" w:lineRule="auto"/>
              <w:jc w:val="left"/>
              <w:rPr>
                <w:sz w:val="20"/>
                <w:szCs w:val="20"/>
              </w:rPr>
            </w:pPr>
            <w:r w:rsidDel="00000000" w:rsidR="00000000" w:rsidRPr="00000000">
              <w:rPr>
                <w:sz w:val="20"/>
                <w:szCs w:val="20"/>
                <w:rtl w:val="0"/>
              </w:rPr>
              <w:t xml:space="preserve">WAF</w:t>
            </w:r>
          </w:p>
        </w:tc>
        <w:tc>
          <w:tcPr>
            <w:tcMar>
              <w:top w:w="70.0" w:type="dxa"/>
              <w:left w:w="110.0" w:type="dxa"/>
              <w:bottom w:w="70.0" w:type="dxa"/>
              <w:right w:w="110.0" w:type="dxa"/>
            </w:tcMar>
          </w:tcPr>
          <w:p w:rsidR="00000000" w:rsidDel="00000000" w:rsidP="00000000" w:rsidRDefault="00000000" w:rsidRPr="00000000" w14:paraId="00000077">
            <w:pPr>
              <w:spacing w:after="0" w:line="250" w:lineRule="auto"/>
              <w:jc w:val="left"/>
              <w:rPr>
                <w:sz w:val="20"/>
                <w:szCs w:val="20"/>
              </w:rPr>
            </w:pPr>
            <w:r w:rsidDel="00000000" w:rsidR="00000000" w:rsidRPr="00000000">
              <w:rPr>
                <w:sz w:val="20"/>
                <w:szCs w:val="20"/>
                <w:rtl w:val="0"/>
              </w:rPr>
              <w:t xml:space="preserve">Web Application Firewall</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78">
            <w:pPr>
              <w:spacing w:after="0" w:line="250" w:lineRule="auto"/>
              <w:jc w:val="left"/>
              <w:rPr>
                <w:sz w:val="20"/>
                <w:szCs w:val="20"/>
              </w:rPr>
            </w:pPr>
            <w:r w:rsidDel="00000000" w:rsidR="00000000" w:rsidRPr="00000000">
              <w:rPr>
                <w:sz w:val="20"/>
                <w:szCs w:val="20"/>
                <w:rtl w:val="0"/>
              </w:rPr>
              <w:t xml:space="preserve">YAML</w:t>
            </w:r>
          </w:p>
        </w:tc>
        <w:tc>
          <w:tcPr>
            <w:tcMar>
              <w:top w:w="70.0" w:type="dxa"/>
              <w:left w:w="110.0" w:type="dxa"/>
              <w:bottom w:w="70.0" w:type="dxa"/>
              <w:right w:w="110.0" w:type="dxa"/>
            </w:tcMar>
          </w:tcPr>
          <w:p w:rsidR="00000000" w:rsidDel="00000000" w:rsidP="00000000" w:rsidRDefault="00000000" w:rsidRPr="00000000" w14:paraId="00000079">
            <w:pPr>
              <w:spacing w:after="0" w:line="250" w:lineRule="auto"/>
              <w:jc w:val="left"/>
              <w:rPr>
                <w:sz w:val="20"/>
                <w:szCs w:val="20"/>
              </w:rPr>
            </w:pPr>
            <w:r w:rsidDel="00000000" w:rsidR="00000000" w:rsidRPr="00000000">
              <w:rPr>
                <w:sz w:val="20"/>
                <w:szCs w:val="20"/>
                <w:rtl w:val="0"/>
              </w:rPr>
              <w:t xml:space="preserve">YAML Ain't Markup Language</w:t>
            </w:r>
          </w:p>
        </w:tc>
      </w:tr>
    </w:tbl>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sectPr>
          <w:footerReference r:id="rId8" w:type="default"/>
          <w:type w:val="nextPage"/>
          <w:pgSz w:h="15840" w:w="12240" w:orient="portrait"/>
          <w:pgMar w:bottom="1440" w:top="1440" w:left="2160" w:right="1440" w:header="720" w:footer="720"/>
          <w:pgNumType w:start="1"/>
        </w:sectPr>
      </w:pPr>
      <w:r w:rsidDel="00000000" w:rsidR="00000000" w:rsidRPr="00000000">
        <w:rPr>
          <w:rtl w:val="0"/>
        </w:rPr>
      </w:r>
    </w:p>
    <w:p w:rsidR="00000000" w:rsidDel="00000000" w:rsidP="00000000" w:rsidRDefault="00000000" w:rsidRPr="00000000" w14:paraId="0000007C">
      <w:pPr>
        <w:pStyle w:val="Heading1"/>
        <w:pageBreakBefore w:val="1"/>
        <w:rPr/>
      </w:pPr>
      <w:r w:rsidDel="00000000" w:rsidR="00000000" w:rsidRPr="00000000">
        <w:rPr>
          <w:rtl w:val="0"/>
        </w:rPr>
        <w:t xml:space="preserve">CHAPTER 1: INTRODUCTION</w:t>
      </w:r>
    </w:p>
    <w:p w:rsidR="00000000" w:rsidDel="00000000" w:rsidP="00000000" w:rsidRDefault="00000000" w:rsidRPr="00000000" w14:paraId="0000007D">
      <w:pPr>
        <w:pStyle w:val="Heading2"/>
        <w:keepNext w:val="1"/>
        <w:rPr/>
      </w:pPr>
      <w:r w:rsidDel="00000000" w:rsidR="00000000" w:rsidRPr="00000000">
        <w:rPr>
          <w:rtl w:val="0"/>
        </w:rPr>
        <w:t xml:space="preserve">1.1 Background of the Study</w:t>
      </w:r>
    </w:p>
    <w:p w:rsidR="00000000" w:rsidDel="00000000" w:rsidP="00000000" w:rsidRDefault="00000000" w:rsidRPr="00000000" w14:paraId="0000007E">
      <w:pPr>
        <w:rPr/>
      </w:pPr>
      <w:r w:rsidDel="00000000" w:rsidR="00000000" w:rsidRPr="00000000">
        <w:rPr>
          <w:rtl w:val="0"/>
        </w:rPr>
        <w:t xml:space="preserve">Over the past fifteen years the way organisations build computing infrastructure has changed completely. Servers that were once ordered, racked and configured by hand are now created by an application programming interface call and destroyed minutes later. Amazon Web Services (AWS), Microsoft Azure and Google Cloud have made this the normal way to work, and with it has come a new engineering practice: Infrastructure as Code, or IaC. Instead of clicking through a web console to create a network or a database, an engineer writes a file that describes what the infrastructure should look like, keeps that file in version control, and lets a tool make reality match the file.</w:t>
      </w:r>
    </w:p>
    <w:p w:rsidR="00000000" w:rsidDel="00000000" w:rsidP="00000000" w:rsidRDefault="00000000" w:rsidRPr="00000000" w14:paraId="0000007F">
      <w:pPr>
        <w:rPr/>
      </w:pPr>
      <w:r w:rsidDel="00000000" w:rsidR="00000000" w:rsidRPr="00000000">
        <w:rPr>
          <w:rtl w:val="0"/>
        </w:rPr>
        <w:t xml:space="preserve">Terraform, released by HashiCorp in 2014, has become the most widely used tool for this work. It uses declarative language, so the engineer states the desired end state rather than the steps to reach it, and it shows a plan of what it intends to change before it changes anything. Recent experimental work found that Terraform provisioned an AWS environment in roughly 253 seconds where the AWS-native alternative needed roughly 623 seconds, and attributed Terraform's lower failure rate to its syntax validation, plan previews and state management (Regvart et al., 2026). Interview evidence confirms its position in practice: in a study of 22 experienced practitioners, GitHub Actions had become the dominant continuous integration tool, and Terraform appeared alongside it as one of the tools teams reached for (Rostami Mazrae et al., 2023).</w:t>
      </w:r>
    </w:p>
    <w:p w:rsidR="00000000" w:rsidDel="00000000" w:rsidP="00000000" w:rsidRDefault="00000000" w:rsidRPr="00000000" w14:paraId="00000080">
      <w:pPr>
        <w:rPr/>
      </w:pPr>
      <w:r w:rsidDel="00000000" w:rsidR="00000000" w:rsidRPr="00000000">
        <w:rPr>
          <w:rtl w:val="0"/>
        </w:rPr>
        <w:t xml:space="preserve">At the same time, the delivery side of software has been automated thoroughly. Continuous integration and continuous delivery (CI/CD) pipelines now compile code, run tests, scan for vulnerabilities and publish artefacts without a human touching them. GitHub Actions, launched in November 2019, became the most used CI tool on GitHub within eighteen months, mainly because it is built into the platform where the code already lives, offers a generous free tier and supports the major operating systems (Rostami Mazrae et al., 2023). Earlier work on continuous integration established what this automation is worth: across 34,544 open-source projects, those using CI released more than twice as often as those that did not, and the same projects released more frequently after adopting CI than before (Hilton et al., 2016).</w:t>
      </w:r>
    </w:p>
    <w:p w:rsidR="00000000" w:rsidDel="00000000" w:rsidP="00000000" w:rsidRDefault="00000000" w:rsidRPr="00000000" w14:paraId="00000081">
      <w:pPr>
        <w:rPr/>
      </w:pPr>
      <w:r w:rsidDel="00000000" w:rsidR="00000000" w:rsidRPr="00000000">
        <w:rPr>
          <w:rtl w:val="0"/>
        </w:rPr>
        <w:t xml:space="preserve">These two developments have not always arrived together. Many organisations automate the application first, because that is where the daily pressure is felt, and leave the infrastructure until later. The result is a pipeline that is automated at one end and manual at the other. Application code passes through build, test and security scanning on its way to a container registry, while the network, load balancer, container service, gateway and access policies that receive it were created by hand and are changed by hand. Nothing records who changed what, nothing keeps the development, staging and production environments the same, and nothing except an engineer's memory can rebuild an environment from scratch.</w:t>
      </w:r>
    </w:p>
    <w:p w:rsidR="00000000" w:rsidDel="00000000" w:rsidP="00000000" w:rsidRDefault="00000000" w:rsidRPr="00000000" w14:paraId="00000082">
      <w:pPr>
        <w:rPr/>
      </w:pPr>
      <w:r w:rsidDel="00000000" w:rsidR="00000000" w:rsidRPr="00000000">
        <w:rPr>
          <w:rtl w:val="0"/>
        </w:rPr>
        <w:t xml:space="preserve">This gap matters more in some sectors than others. Cambodia's banking sector has grown quickly, and financial institutions here operate under supervision from the National Bank of Cambodia, which expects controlled and auditable change management in core systems. In that setting an infrastructure change that leaves no reviewable record is not simply untidy; it is a control weakness. Yet the published evidence on IaC comes almost entirely from open-source repositories and from research groups in Europe and North America. No study known to this researcher has examined IaC adoption in a Cambodian organisation, which means local engineering teams making this decision have to rely on evidence gathered somewhere else.</w:t>
      </w:r>
    </w:p>
    <w:p w:rsidR="00000000" w:rsidDel="00000000" w:rsidP="00000000" w:rsidRDefault="00000000" w:rsidRPr="00000000" w14:paraId="00000083">
      <w:pPr>
        <w:rPr/>
      </w:pPr>
      <w:r w:rsidDel="00000000" w:rsidR="00000000" w:rsidRPr="00000000">
        <w:rPr>
          <w:rtl w:val="0"/>
        </w:rPr>
        <w:t xml:space="preserve">Against this background, the present study takes one real, documented AWS architecture, writes it as Terraform modules, puts those modules through the GitHub Actions pipeline that already delivers the application, and measures what changes. It combines controlled measurement, which establishes how large the difference is, with a structured record of the implementation itself, which explains what made the change difficult. The aim is neither to advocate for Terraform nor to dismiss manual work, but to produce evidence that an engineering team in this setting could actually use.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2"/>
        <w:keepNext w:val="1"/>
        <w:rPr/>
      </w:pPr>
      <w:r w:rsidDel="00000000" w:rsidR="00000000" w:rsidRPr="00000000">
        <w:rPr>
          <w:rtl w:val="0"/>
        </w:rPr>
        <w:t xml:space="preserve">1.2 Statement of the Research Problem</w:t>
      </w:r>
    </w:p>
    <w:p w:rsidR="00000000" w:rsidDel="00000000" w:rsidP="00000000" w:rsidRDefault="00000000" w:rsidRPr="00000000" w14:paraId="00000086">
      <w:pPr>
        <w:rPr/>
      </w:pPr>
      <w:r w:rsidDel="00000000" w:rsidR="00000000" w:rsidRPr="00000000">
        <w:rPr>
          <w:rtl w:val="0"/>
        </w:rPr>
        <w:t xml:space="preserve">The architecture examined in this study is delivered by a pipeline that handles application code well. A commit to the repository triggers an automated build, a test run and a static security scan, and the resulting container image is pushed to Amazon Elastic Container Registry, where it is scanned again for vulnerabilities. The automation stops at that point. It covers the application, not the infrastructure the application runs on.</w:t>
      </w:r>
    </w:p>
    <w:p w:rsidR="00000000" w:rsidDel="00000000" w:rsidP="00000000" w:rsidRDefault="00000000" w:rsidRPr="00000000" w14:paraId="00000087">
      <w:pPr>
        <w:rPr/>
      </w:pPr>
      <w:r w:rsidDel="00000000" w:rsidR="00000000" w:rsidRPr="00000000">
        <w:rPr>
          <w:rtl w:val="0"/>
        </w:rPr>
        <w:t xml:space="preserve">The AWS environment itself is not defined as code. The Virtual Private Cloud, the private subnets in two Availability Zones, the Internet and Network Address Translation gateways, route tables, security groups, the Application Load Balancer, the Elastic Container Service definitions and Fargate tasks, the API Gateway and its private link, the Web Application Firewall rules, the Route 53 records, the Transport Layer Security certificate bindings, the Identity and Access Management roles and policies, the monitoring alarms and the scaling policies are all created and modified through the console or the command line by hand.</w:t>
      </w:r>
    </w:p>
    <w:p w:rsidR="00000000" w:rsidDel="00000000" w:rsidP="00000000" w:rsidRDefault="00000000" w:rsidRPr="00000000" w14:paraId="00000088">
      <w:pPr>
        <w:rPr/>
      </w:pPr>
      <w:r w:rsidDel="00000000" w:rsidR="00000000" w:rsidRPr="00000000">
        <w:rPr>
          <w:rtl w:val="0"/>
        </w:rPr>
        <w:t xml:space="preserve">Three consequences follow. First, infrastructure changes are not version-controlled and not peer-reviewed, so there is no record of who changed what, when, or why. In a regulated financial institution this is a compliance problem as well as an engineering one. Second, nothing keeps development, staging and production aligned, so the three environments drift apart over time, which makes testing in a lower environment progressively less trustworthy. Third, rebuilding an environment depends on what individual engineers remember rather than on code that can simply be run again, which matters for disaster recovery, for expanding into another region, and for creating an isolated environment to test in.</w:t>
      </w:r>
    </w:p>
    <w:p w:rsidR="00000000" w:rsidDel="00000000" w:rsidP="00000000" w:rsidRDefault="00000000" w:rsidRPr="00000000" w14:paraId="00000089">
      <w:pPr>
        <w:rPr/>
      </w:pPr>
      <w:r w:rsidDel="00000000" w:rsidR="00000000" w:rsidRPr="00000000">
        <w:rPr>
          <w:rtl w:val="0"/>
        </w:rPr>
        <w:t xml:space="preserve">What is contested is not whether this is a problem but how much difference fixing it makes. One position holds that the benefit is obvious and large, and points to reported reductions in deployment time of around 50 per cent. A second position holds that the benefit is offset by new costs: state file contention, secrets management, a steep learning curve, and the ongoing maintenance of modules that go out of date. There is evidence for the second position. A study of Terraform module dependencies found that teams postpone updates and that the resulting technical lag can persist for months, leaving known vulnerabilities in live infrastructure (Begoug et al., 2025). A study of 812 open-source Terraform projects found that developers apply access-control policies fairly consistently but neglect encryption at rest, which shows that writing infrastructure as code does not by itself make it well configured (Verdet et al., 2025).</w:t>
      </w:r>
    </w:p>
    <w:p w:rsidR="00000000" w:rsidDel="00000000" w:rsidP="00000000" w:rsidRDefault="00000000" w:rsidRPr="00000000" w14:paraId="0000008A">
      <w:pPr>
        <w:rPr/>
      </w:pPr>
      <w:r w:rsidDel="00000000" w:rsidR="00000000" w:rsidRPr="00000000">
        <w:rPr>
          <w:rtl w:val="0"/>
        </w:rPr>
        <w:t xml:space="preserve">Deciding between these positions requires measurement in a specific setting, and that measurement does not exist. The problem this study addresses is therefore the absence of a designed, implemented and measured Terraform codebase, integrated into an existing GitHub Actions pipeline, for a defined containerised AWS architecture, evaluated against the manual provisioning it is intended to replace.</w:t>
      </w:r>
    </w:p>
    <w:p w:rsidR="00000000" w:rsidDel="00000000" w:rsidP="00000000" w:rsidRDefault="00000000" w:rsidRPr="00000000" w14:paraId="0000008B">
      <w:pPr>
        <w:pStyle w:val="Heading2"/>
        <w:keepNext w:val="1"/>
        <w:rPr/>
      </w:pPr>
      <w:r w:rsidDel="00000000" w:rsidR="00000000" w:rsidRPr="00000000">
        <w:rPr>
          <w:rtl w:val="0"/>
        </w:rPr>
        <w:t xml:space="preserve">1.3 Research Gap</w:t>
      </w:r>
    </w:p>
    <w:p w:rsidR="00000000" w:rsidDel="00000000" w:rsidP="00000000" w:rsidRDefault="00000000" w:rsidRPr="00000000" w14:paraId="0000008C">
      <w:pPr>
        <w:rPr/>
      </w:pPr>
      <w:r w:rsidDel="00000000" w:rsidR="00000000" w:rsidRPr="00000000">
        <w:rPr>
          <w:rtl w:val="0"/>
        </w:rPr>
        <w:t xml:space="preserve">Three gaps follow from the discussion above and are developed more fully in Chapter 2.</w:t>
      </w:r>
    </w:p>
    <w:p w:rsidR="00000000" w:rsidDel="00000000" w:rsidP="00000000" w:rsidRDefault="00000000" w:rsidRPr="00000000" w14:paraId="0000008D">
      <w:pPr>
        <w:rPr/>
      </w:pPr>
      <w:r w:rsidDel="00000000" w:rsidR="00000000" w:rsidRPr="00000000">
        <w:rPr>
          <w:rtl w:val="0"/>
        </w:rPr>
        <w:t xml:space="preserve">The empirical gap is that no published study measures Terraform against manual provisioning of the same architecture. The closest available work compares Terraform against other IaC tools, namely Pulumi and AWS CloudFormation, on an architecture very similar to the one studied here (Regvart et al., 2026). That design answers the question of which tool to choose. It does not answer the question facing an organisation that has no IaC at all, which is whether adopting any of them is worth the effort.</w:t>
      </w:r>
    </w:p>
    <w:p w:rsidR="00000000" w:rsidDel="00000000" w:rsidP="00000000" w:rsidRDefault="00000000" w:rsidRPr="00000000" w14:paraId="0000008E">
      <w:pPr>
        <w:rPr/>
      </w:pPr>
      <w:r w:rsidDel="00000000" w:rsidR="00000000" w:rsidRPr="00000000">
        <w:rPr>
          <w:rtl w:val="0"/>
        </w:rPr>
        <w:t xml:space="preserve">The theoretical gap concerns pipeline integration. Existing work treats IaC and CI/CD as separate objects of study. Terraform research examines the code, the modules and their security in isolation from any pipeline, while CI/CD research examines pipelines without asking what they provision. Yet the control benefit of IaC, meaning review, approval and audit trail, only arrives when infrastructure changes are forced through the pipeline. Running Terraform from a laptop produces a version-controlled file but no reviewed change. This study therefore treats pipeline integration depth as a distinct construct rather than an implementation detail.</w:t>
      </w:r>
    </w:p>
    <w:p w:rsidR="00000000" w:rsidDel="00000000" w:rsidP="00000000" w:rsidRDefault="00000000" w:rsidRPr="00000000" w14:paraId="0000008F">
      <w:pPr>
        <w:rPr/>
      </w:pPr>
      <w:r w:rsidDel="00000000" w:rsidR="00000000" w:rsidRPr="00000000">
        <w:rPr>
          <w:rtl w:val="0"/>
        </w:rPr>
        <w:t xml:space="preserve">The contextual gap is the complete absence of evidence from Cambodia. The reviewed literature draws on open-source repositories and on studies conducted in Europe and North America. Findings generated in those settings cannot simply be assumed to transfer to an organisation operating under different regulatory expectations, with different team sizes and different levels of prior tooling experience.</w:t>
      </w:r>
    </w:p>
    <w:p w:rsidR="00000000" w:rsidDel="00000000" w:rsidP="00000000" w:rsidRDefault="00000000" w:rsidRPr="00000000" w14:paraId="00000090">
      <w:pPr>
        <w:rPr/>
      </w:pPr>
      <w:r w:rsidDel="00000000" w:rsidR="00000000" w:rsidRPr="00000000">
        <w:rPr>
          <w:rtl w:val="0"/>
        </w:rPr>
        <w:t xml:space="preserve">This study addresses all three gaps together. It measures IaC against manual provisioning rather than against a rival tool; it models pipeline integration depth explicitly; and it does so in a Cambodian organisational setting for which no comparable evidence exists.</w:t>
      </w:r>
    </w:p>
    <w:p w:rsidR="00000000" w:rsidDel="00000000" w:rsidP="00000000" w:rsidRDefault="00000000" w:rsidRPr="00000000" w14:paraId="00000091">
      <w:pPr>
        <w:pStyle w:val="Heading2"/>
        <w:keepNext w:val="1"/>
        <w:rPr/>
      </w:pPr>
      <w:r w:rsidDel="00000000" w:rsidR="00000000" w:rsidRPr="00000000">
        <w:rPr>
          <w:rtl w:val="0"/>
        </w:rPr>
        <w:t xml:space="preserve">1.4 Research Aim</w:t>
      </w:r>
    </w:p>
    <w:p w:rsidR="00000000" w:rsidDel="00000000" w:rsidP="00000000" w:rsidRDefault="00000000" w:rsidRPr="00000000" w14:paraId="00000092">
      <w:pPr>
        <w:rPr/>
      </w:pPr>
      <w:r w:rsidDel="00000000" w:rsidR="00000000" w:rsidRPr="00000000">
        <w:rPr>
          <w:rtl w:val="0"/>
        </w:rPr>
        <w:t xml:space="preserve">The aim of this study is to design, implement and evaluate a modular Terraform codebase for a containerised AWS architecture, integrated into an existing GitHub Actions CI/CD pipeline, in order to establish how far this approach improves provisioning duration, environment consistency, reproducibility and version-control coverage compared with manual provisioning, and to explain the practical barriers encountered in making the change.</w:t>
      </w:r>
    </w:p>
    <w:p w:rsidR="00000000" w:rsidDel="00000000" w:rsidP="00000000" w:rsidRDefault="00000000" w:rsidRPr="00000000" w14:paraId="00000093">
      <w:pPr>
        <w:pStyle w:val="Heading2"/>
        <w:keepNext w:val="1"/>
        <w:rPr/>
      </w:pPr>
      <w:r w:rsidDel="00000000" w:rsidR="00000000" w:rsidRPr="00000000">
        <w:rPr>
          <w:rtl w:val="0"/>
        </w:rPr>
        <w:t xml:space="preserve">1.5 Research Objectives</w:t>
      </w:r>
    </w:p>
    <w:p w:rsidR="00000000" w:rsidDel="00000000" w:rsidP="00000000" w:rsidRDefault="00000000" w:rsidRPr="00000000" w14:paraId="00000094">
      <w:pPr>
        <w:ind w:left="360" w:firstLine="0"/>
        <w:rPr/>
      </w:pPr>
      <w:r w:rsidDel="00000000" w:rsidR="00000000" w:rsidRPr="00000000">
        <w:rPr>
          <w:rtl w:val="0"/>
        </w:rPr>
        <w:t xml:space="preserve">The study pursues the following specific objectives:</w:t>
      </w:r>
    </w:p>
    <w:p w:rsidR="00000000" w:rsidDel="00000000" w:rsidP="00000000" w:rsidRDefault="00000000" w:rsidRPr="00000000" w14:paraId="00000095">
      <w:pPr>
        <w:ind w:left="360" w:firstLine="0"/>
        <w:rPr/>
      </w:pPr>
      <w:r w:rsidDel="00000000" w:rsidR="00000000" w:rsidRPr="00000000">
        <w:rPr>
          <w:rtl w:val="0"/>
        </w:rPr>
        <w:t xml:space="preserve">1.  To document how the target architecture is currently provisioned and to identify which components are created by hand, are absent from version control, or are configured differently across the development, staging and production environments.</w:t>
      </w:r>
    </w:p>
    <w:p w:rsidR="00000000" w:rsidDel="00000000" w:rsidP="00000000" w:rsidRDefault="00000000" w:rsidRPr="00000000" w14:paraId="00000096">
      <w:pPr>
        <w:ind w:left="360" w:firstLine="0"/>
        <w:rPr/>
      </w:pPr>
      <w:r w:rsidDel="00000000" w:rsidR="00000000" w:rsidRPr="00000000">
        <w:rPr>
          <w:rtl w:val="0"/>
        </w:rPr>
        <w:t xml:space="preserve">2.  To design and build a modular Terraform codebase that provisions the full architecture, using an Amazon Simple Storage Service backend for remote state and Amazon DynamoDB for state locking, parameterised so that the same code serves all three environments.</w:t>
      </w:r>
    </w:p>
    <w:p w:rsidR="00000000" w:rsidDel="00000000" w:rsidP="00000000" w:rsidRDefault="00000000" w:rsidRPr="00000000" w14:paraId="00000097">
      <w:pPr>
        <w:ind w:left="360" w:firstLine="0"/>
        <w:rPr/>
      </w:pPr>
      <w:r w:rsidDel="00000000" w:rsidR="00000000" w:rsidRPr="00000000">
        <w:rPr>
          <w:rtl w:val="0"/>
        </w:rPr>
        <w:t xml:space="preserve">3.  To integrate Terraform into the existing GitHub Actions pipeline through configuration validation, a plan on every pull request and a gated apply on merge, running alongside the current build, test and scanning stages.</w:t>
      </w:r>
    </w:p>
    <w:p w:rsidR="00000000" w:rsidDel="00000000" w:rsidP="00000000" w:rsidRDefault="00000000" w:rsidRPr="00000000" w14:paraId="00000098">
      <w:pPr>
        <w:ind w:left="360" w:firstLine="0"/>
        <w:rPr/>
      </w:pPr>
      <w:r w:rsidDel="00000000" w:rsidR="00000000" w:rsidRPr="00000000">
        <w:rPr>
          <w:rtl w:val="0"/>
        </w:rPr>
        <w:t xml:space="preserve">4.  To measure provisioning duration, configuration drift, reproducibility and version-control coverage under the Terraform approach and under manual provisioning, and to test whether the differences are statistically significant.</w:t>
      </w:r>
    </w:p>
    <w:p w:rsidR="00000000" w:rsidDel="00000000" w:rsidP="00000000" w:rsidRDefault="00000000" w:rsidRPr="00000000" w14:paraId="00000099">
      <w:pPr>
        <w:ind w:left="360" w:firstLine="0"/>
        <w:rPr/>
      </w:pPr>
      <w:r w:rsidDel="00000000" w:rsidR="00000000" w:rsidRPr="00000000">
        <w:rPr>
          <w:rtl w:val="0"/>
        </w:rPr>
        <w:t xml:space="preserve">5.  To identify the practical barriers and enablers encountered during implementation, and to propose evidence-based recommendations for engineering teams, platform managers and technology governance functions in Cambodia.</w:t>
      </w:r>
    </w:p>
    <w:p w:rsidR="00000000" w:rsidDel="00000000" w:rsidP="00000000" w:rsidRDefault="00000000" w:rsidRPr="00000000" w14:paraId="0000009A">
      <w:pPr>
        <w:pStyle w:val="Heading2"/>
        <w:keepNext w:val="1"/>
        <w:rPr/>
      </w:pPr>
      <w:r w:rsidDel="00000000" w:rsidR="00000000" w:rsidRPr="00000000">
        <w:rPr>
          <w:rtl w:val="0"/>
        </w:rPr>
        <w:t xml:space="preserve">1.6 Research Questions and Hypotheses</w:t>
      </w:r>
    </w:p>
    <w:p w:rsidR="00000000" w:rsidDel="00000000" w:rsidP="00000000" w:rsidRDefault="00000000" w:rsidRPr="00000000" w14:paraId="0000009B">
      <w:pPr>
        <w:pStyle w:val="Heading3"/>
        <w:keepNext w:val="1"/>
        <w:rPr/>
      </w:pPr>
      <w:r w:rsidDel="00000000" w:rsidR="00000000" w:rsidRPr="00000000">
        <w:rPr>
          <w:rtl w:val="0"/>
        </w:rPr>
        <w:t xml:space="preserve">1.6.1 Research Questions</w:t>
      </w:r>
    </w:p>
    <w:p w:rsidR="00000000" w:rsidDel="00000000" w:rsidP="00000000" w:rsidRDefault="00000000" w:rsidRPr="00000000" w14:paraId="0000009C">
      <w:pPr>
        <w:rPr/>
      </w:pPr>
      <w:r w:rsidDel="00000000" w:rsidR="00000000" w:rsidRPr="00000000">
        <w:rPr>
          <w:rtl w:val="0"/>
        </w:rPr>
        <w:t xml:space="preserve">The study is guided by one overarching question: what difference does a Terraform-based, pipeline-integrated approach make to the provisioning of a containerised AWS architecture, and what makes that change difficult in practice? This is addressed through four subsidiary questions.</w:t>
      </w:r>
    </w:p>
    <w:p w:rsidR="00000000" w:rsidDel="00000000" w:rsidP="00000000" w:rsidRDefault="00000000" w:rsidRPr="00000000" w14:paraId="0000009D">
      <w:pPr>
        <w:ind w:left="720" w:firstLine="0"/>
        <w:rPr/>
      </w:pPr>
      <w:r w:rsidDel="00000000" w:rsidR="00000000" w:rsidRPr="00000000">
        <w:rPr>
          <w:rtl w:val="0"/>
        </w:rPr>
        <w:t xml:space="preserve">RQ1.  How is the target architecture currently provisioned, and what proportion of its components are under version control?</w:t>
      </w:r>
    </w:p>
    <w:p w:rsidR="00000000" w:rsidDel="00000000" w:rsidP="00000000" w:rsidRDefault="00000000" w:rsidRPr="00000000" w14:paraId="0000009E">
      <w:pPr>
        <w:ind w:left="720" w:firstLine="0"/>
        <w:rPr/>
      </w:pPr>
      <w:r w:rsidDel="00000000" w:rsidR="00000000" w:rsidRPr="00000000">
        <w:rPr>
          <w:rtl w:val="0"/>
        </w:rPr>
        <w:t xml:space="preserve">RQ2.  To what extent does Terraform-based provisioning differ from manual provisioning in provisioning duration, configuration drift, reproducibility and version-control coverage?</w:t>
      </w:r>
    </w:p>
    <w:p w:rsidR="00000000" w:rsidDel="00000000" w:rsidP="00000000" w:rsidRDefault="00000000" w:rsidRPr="00000000" w14:paraId="0000009F">
      <w:pPr>
        <w:ind w:left="720" w:firstLine="0"/>
        <w:rPr/>
      </w:pPr>
      <w:r w:rsidDel="00000000" w:rsidR="00000000" w:rsidRPr="00000000">
        <w:rPr>
          <w:rtl w:val="0"/>
        </w:rPr>
        <w:t xml:space="preserve">RQ3.  Does the depth of pipeline integration moderate the relationship between provisioning method and configuration drift?</w:t>
      </w:r>
    </w:p>
    <w:p w:rsidR="00000000" w:rsidDel="00000000" w:rsidP="00000000" w:rsidRDefault="00000000" w:rsidRPr="00000000" w14:paraId="000000A0">
      <w:pPr>
        <w:ind w:left="720" w:firstLine="0"/>
        <w:rPr/>
      </w:pPr>
      <w:r w:rsidDel="00000000" w:rsidR="00000000" w:rsidRPr="00000000">
        <w:rPr>
          <w:rtl w:val="0"/>
        </w:rPr>
        <w:t xml:space="preserve">RQ4.  What practical barriers and enablers arise when an existing, manually provisioned AWS architecture is moved onto Terraform and integrated into a CI/CD pipeline?</w:t>
      </w:r>
    </w:p>
    <w:p w:rsidR="00000000" w:rsidDel="00000000" w:rsidP="00000000" w:rsidRDefault="00000000" w:rsidRPr="00000000" w14:paraId="000000A1">
      <w:pPr>
        <w:rPr/>
      </w:pPr>
      <w:r w:rsidDel="00000000" w:rsidR="00000000" w:rsidRPr="00000000">
        <w:rPr>
          <w:rtl w:val="0"/>
        </w:rPr>
        <w:t xml:space="preserve">RQ1 to RQ3 are addressed in the quantitative strand; RQ4 is addressed in the qualitative strand and is also used to interpret the results of RQ2 and RQ3. The alignment between questions, data sources and analytical techniques is set out in Table 3.1.</w:t>
      </w:r>
    </w:p>
    <w:p w:rsidR="00000000" w:rsidDel="00000000" w:rsidP="00000000" w:rsidRDefault="00000000" w:rsidRPr="00000000" w14:paraId="000000A2">
      <w:pPr>
        <w:pStyle w:val="Heading3"/>
        <w:keepNext w:val="1"/>
        <w:rPr/>
      </w:pPr>
      <w:r w:rsidDel="00000000" w:rsidR="00000000" w:rsidRPr="00000000">
        <w:rPr>
          <w:rtl w:val="0"/>
        </w:rPr>
        <w:t xml:space="preserve">1.6.2 Hypotheses</w:t>
      </w:r>
    </w:p>
    <w:p w:rsidR="00000000" w:rsidDel="00000000" w:rsidP="00000000" w:rsidRDefault="00000000" w:rsidRPr="00000000" w14:paraId="000000A3">
      <w:pPr>
        <w:rPr/>
      </w:pPr>
      <w:r w:rsidDel="00000000" w:rsidR="00000000" w:rsidRPr="00000000">
        <w:rPr>
          <w:rtl w:val="0"/>
        </w:rPr>
        <w:t xml:space="preserve">Consistent with the framework developed in Section 2.9, the following directional hypotheses are proposed for the quantitative strand.</w:t>
      </w:r>
    </w:p>
    <w:p w:rsidR="00000000" w:rsidDel="00000000" w:rsidP="00000000" w:rsidRDefault="00000000" w:rsidRPr="00000000" w14:paraId="000000A4">
      <w:pPr>
        <w:ind w:left="720" w:firstLine="0"/>
        <w:rPr/>
      </w:pPr>
      <w:r w:rsidDel="00000000" w:rsidR="00000000" w:rsidRPr="00000000">
        <w:rPr>
          <w:rtl w:val="0"/>
        </w:rPr>
        <w:t xml:space="preserve">H1.  Terraform-based provisioning produces a significantly shorter provisioning duration than manual provisioning.</w:t>
      </w:r>
    </w:p>
    <w:p w:rsidR="00000000" w:rsidDel="00000000" w:rsidP="00000000" w:rsidRDefault="00000000" w:rsidRPr="00000000" w14:paraId="000000A5">
      <w:pPr>
        <w:ind w:left="720" w:firstLine="0"/>
        <w:rPr/>
      </w:pPr>
      <w:r w:rsidDel="00000000" w:rsidR="00000000" w:rsidRPr="00000000">
        <w:rPr>
          <w:rtl w:val="0"/>
        </w:rPr>
        <w:t xml:space="preserve">H2.  Terraform-based provisioning produces significantly lower configuration drift between environments than manual provisioning.</w:t>
      </w:r>
    </w:p>
    <w:p w:rsidR="00000000" w:rsidDel="00000000" w:rsidP="00000000" w:rsidRDefault="00000000" w:rsidRPr="00000000" w14:paraId="000000A6">
      <w:pPr>
        <w:ind w:left="720" w:firstLine="0"/>
        <w:rPr/>
      </w:pPr>
      <w:r w:rsidDel="00000000" w:rsidR="00000000" w:rsidRPr="00000000">
        <w:rPr>
          <w:rtl w:val="0"/>
        </w:rPr>
        <w:t xml:space="preserve">H3.  Terraform-based provisioning achieves a significantly higher rate of successful destroy-and-rebuild reproduction than manual provisioning.</w:t>
      </w:r>
    </w:p>
    <w:p w:rsidR="00000000" w:rsidDel="00000000" w:rsidP="00000000" w:rsidRDefault="00000000" w:rsidRPr="00000000" w14:paraId="000000A7">
      <w:pPr>
        <w:ind w:left="720" w:firstLine="0"/>
        <w:rPr/>
      </w:pPr>
      <w:r w:rsidDel="00000000" w:rsidR="00000000" w:rsidRPr="00000000">
        <w:rPr>
          <w:rtl w:val="0"/>
        </w:rPr>
        <w:t xml:space="preserve">H4.  Integrating Terraform into the GitHub Actions pipeline significantly increases the proportion of infrastructure components that are under version control and subject to peer review.</w:t>
      </w:r>
    </w:p>
    <w:p w:rsidR="00000000" w:rsidDel="00000000" w:rsidP="00000000" w:rsidRDefault="00000000" w:rsidRPr="00000000" w14:paraId="000000A8">
      <w:pPr>
        <w:ind w:left="720" w:firstLine="0"/>
        <w:rPr/>
      </w:pPr>
      <w:r w:rsidDel="00000000" w:rsidR="00000000" w:rsidRPr="00000000">
        <w:rPr>
          <w:rtl w:val="0"/>
        </w:rPr>
        <w:t xml:space="preserve">H5.  Pipeline integration depth significantly moderates the relationship between provisioning method and configuration drift, such that the reduction in drift is larger when changes must pass a gated plan and apply than when Terraform is run locally without review.</w:t>
      </w:r>
    </w:p>
    <w:p w:rsidR="00000000" w:rsidDel="00000000" w:rsidP="00000000" w:rsidRDefault="00000000" w:rsidRPr="00000000" w14:paraId="000000A9">
      <w:pPr>
        <w:rPr/>
      </w:pPr>
      <w:r w:rsidDel="00000000" w:rsidR="00000000" w:rsidRPr="00000000">
        <w:rPr>
          <w:rtl w:val="0"/>
        </w:rPr>
        <w:t xml:space="preserve">Each hypothesis is stated in the alternative form and will be tested at the conventional significance level of p &lt; .05, with effect sizes reported alongside significance values so that practical as well as statistical significance can be judged (Cohen, 1988; Field, 2018).</w:t>
      </w:r>
    </w:p>
    <w:p w:rsidR="00000000" w:rsidDel="00000000" w:rsidP="00000000" w:rsidRDefault="00000000" w:rsidRPr="00000000" w14:paraId="000000AA">
      <w:pPr>
        <w:pStyle w:val="Heading2"/>
        <w:keepNext w:val="1"/>
        <w:rPr/>
      </w:pPr>
      <w:r w:rsidDel="00000000" w:rsidR="00000000" w:rsidRPr="00000000">
        <w:rPr>
          <w:rtl w:val="0"/>
        </w:rPr>
        <w:t xml:space="preserve">1.7 Significance of the Study</w:t>
      </w:r>
    </w:p>
    <w:p w:rsidR="00000000" w:rsidDel="00000000" w:rsidP="00000000" w:rsidRDefault="00000000" w:rsidRPr="00000000" w14:paraId="000000AB">
      <w:pPr>
        <w:rPr/>
      </w:pPr>
      <w:r w:rsidDel="00000000" w:rsidR="00000000" w:rsidRPr="00000000">
        <w:rPr>
          <w:rtl w:val="0"/>
        </w:rPr>
        <w:t xml:space="preserve">Theoretically, the study contributes to the IaC literature by changing the comparison. Existing experimental work asks which IaC tool performs best; this study asks what IaC is worth compared with no IaC at all, which is the decision an organisation without it actually faces. It also treats pipeline integration depth as a construct in its own right, on the argument that the governance benefits of IaC are produced by the review gate rather than by the file format.</w:t>
      </w:r>
    </w:p>
    <w:p w:rsidR="00000000" w:rsidDel="00000000" w:rsidP="00000000" w:rsidRDefault="00000000" w:rsidRPr="00000000" w14:paraId="000000AC">
      <w:pPr>
        <w:rPr/>
      </w:pPr>
      <w:r w:rsidDel="00000000" w:rsidR="00000000" w:rsidRPr="00000000">
        <w:rPr>
          <w:rtl w:val="0"/>
        </w:rPr>
        <w:t xml:space="preserve">Practically, the findings will give engineering teams and platform managers a module structure and pipeline configuration they can reuse, together with measured figures for provisioning duration, drift and reproducibility. Because engineering time is finite, evidence about the size of the benefit and the cost of obtaining it is directly usable in planning. The qualitative strand adds the implementation detail that measurement alone cannot supply, indicating not only what improves but what is likely to go wrong on the way.</w:t>
      </w:r>
    </w:p>
    <w:p w:rsidR="00000000" w:rsidDel="00000000" w:rsidP="00000000" w:rsidRDefault="00000000" w:rsidRPr="00000000" w14:paraId="000000AD">
      <w:pPr>
        <w:rPr/>
      </w:pPr>
      <w:r w:rsidDel="00000000" w:rsidR="00000000" w:rsidRPr="00000000">
        <w:rPr>
          <w:rtl w:val="0"/>
        </w:rPr>
        <w:t xml:space="preserve">At the governance level, the study speaks to a control requirement rather than a preference. Where infrastructure changes must be auditable, the version-control coverage measure is a compliance indicator, not a convenience. Supplying Cambodian evidence on this point responds to a gap that imported studies cannot fill.</w:t>
      </w:r>
    </w:p>
    <w:p w:rsidR="00000000" w:rsidDel="00000000" w:rsidP="00000000" w:rsidRDefault="00000000" w:rsidRPr="00000000" w14:paraId="000000AE">
      <w:pPr>
        <w:rPr/>
      </w:pPr>
      <w:r w:rsidDel="00000000" w:rsidR="00000000" w:rsidRPr="00000000">
        <w:rPr>
          <w:rtl w:val="0"/>
        </w:rPr>
        <w:t xml:space="preserve">Methodologically, the study shows how an explanatory sequential mixed methods design can be applied to an engineering artefact rather than to a human population, using controlled repeated deployment for the quantitative strand and a structured implementation log for the qualitative strand. This may serve as a template for other technical dissertations in the Faculty.</w:t>
      </w:r>
    </w:p>
    <w:p w:rsidR="00000000" w:rsidDel="00000000" w:rsidP="00000000" w:rsidRDefault="00000000" w:rsidRPr="00000000" w14:paraId="000000AF">
      <w:pPr>
        <w:rPr/>
      </w:pPr>
      <w:r w:rsidDel="00000000" w:rsidR="00000000" w:rsidRPr="00000000">
        <w:rPr>
          <w:rtl w:val="0"/>
        </w:rPr>
        <w:t xml:space="preserve">For the University of Puthisastra, the study contributes to the institution's research activity in cloud and software engineering and produces a documented, reusable measurement procedure and Terraform codebase that later student projects can extend.</w:t>
      </w:r>
    </w:p>
    <w:p w:rsidR="00000000" w:rsidDel="00000000" w:rsidP="00000000" w:rsidRDefault="00000000" w:rsidRPr="00000000" w14:paraId="000000B0">
      <w:pPr>
        <w:pStyle w:val="Heading2"/>
        <w:keepNext w:val="1"/>
        <w:rPr/>
      </w:pPr>
      <w:r w:rsidDel="00000000" w:rsidR="00000000" w:rsidRPr="00000000">
        <w:rPr>
          <w:rtl w:val="0"/>
        </w:rPr>
        <w:t xml:space="preserve">1.8 Scope and Delimitations</w:t>
      </w:r>
    </w:p>
    <w:p w:rsidR="00000000" w:rsidDel="00000000" w:rsidP="00000000" w:rsidRDefault="00000000" w:rsidRPr="00000000" w14:paraId="000000B1">
      <w:pPr>
        <w:rPr/>
      </w:pPr>
      <w:r w:rsidDel="00000000" w:rsidR="00000000" w:rsidRPr="00000000">
        <w:rPr>
          <w:rtl w:val="0"/>
        </w:rPr>
        <w:t xml:space="preserve">The study is delimited in four respects. In terms of content, it covers only the components of the architecture described in Section 1.2 and only the four outcome measures specified in the conceptual framework. Other plausible outcomes of IaC adoption, such as monthly cloud cost or team onboarding time, are acknowledged but not measured, in order to keep the study feasible. Automated rollback, which was considered at an earlier stage of scoping, is excluded.</w:t>
      </w:r>
    </w:p>
    <w:p w:rsidR="00000000" w:rsidDel="00000000" w:rsidP="00000000" w:rsidRDefault="00000000" w:rsidRPr="00000000" w14:paraId="000000B2">
      <w:pPr>
        <w:rPr/>
      </w:pPr>
      <w:r w:rsidDel="00000000" w:rsidR="00000000" w:rsidRPr="00000000">
        <w:rPr>
          <w:rtl w:val="0"/>
        </w:rPr>
        <w:t xml:space="preserve">In terms of tooling, it examines Terraform only. Pulumi and AWS CloudFormation are discussed in Chapter 2 as context but are not tested, since Regvart et al. (2026) have already compared them and the research question here is a different one.</w:t>
      </w:r>
    </w:p>
    <w:p w:rsidR="00000000" w:rsidDel="00000000" w:rsidP="00000000" w:rsidRDefault="00000000" w:rsidRPr="00000000" w14:paraId="000000B3">
      <w:pPr>
        <w:rPr/>
      </w:pPr>
      <w:r w:rsidDel="00000000" w:rsidR="00000000" w:rsidRPr="00000000">
        <w:rPr>
          <w:rtl w:val="0"/>
        </w:rPr>
        <w:t xml:space="preserve">In terms of environment, all provisioning runs are performed in an isolated AWS account created for this study in a single region. No change is made to any live environment, and no production or customer data is accessed at any point.</w:t>
      </w:r>
    </w:p>
    <w:p w:rsidR="00000000" w:rsidDel="00000000" w:rsidP="00000000" w:rsidRDefault="00000000" w:rsidRPr="00000000" w14:paraId="000000B4">
      <w:pPr>
        <w:rPr/>
      </w:pPr>
      <w:r w:rsidDel="00000000" w:rsidR="00000000" w:rsidRPr="00000000">
        <w:rPr>
          <w:rtl w:val="0"/>
        </w:rPr>
        <w:t xml:space="preserve">Temporarily, the study runs for twelve weeks, and measurement is confined to that window. The design captures provisioning behaviour at one period in the tooling's life; because both Terraform and GitHub Actions change frequently, results should be read as applying to the versions recorded in Chapter 4.</w:t>
      </w:r>
    </w:p>
    <w:p w:rsidR="00000000" w:rsidDel="00000000" w:rsidP="00000000" w:rsidRDefault="00000000" w:rsidRPr="00000000" w14:paraId="000000B5">
      <w:pPr>
        <w:rPr/>
      </w:pPr>
      <w:r w:rsidDel="00000000" w:rsidR="00000000" w:rsidRPr="00000000">
        <w:rPr>
          <w:rtl w:val="0"/>
        </w:rPr>
        <w:t xml:space="preserve">These delimitations are deliberate choices made to keep the study achievable within the time available. Their implications for the interpretation of results are revisited in Section 3.12 and will be discussed again in Chapter 5.</w:t>
      </w:r>
    </w:p>
    <w:p w:rsidR="00000000" w:rsidDel="00000000" w:rsidP="00000000" w:rsidRDefault="00000000" w:rsidRPr="00000000" w14:paraId="000000B6">
      <w:pPr>
        <w:pStyle w:val="Heading2"/>
        <w:keepNext w:val="1"/>
        <w:rPr/>
      </w:pPr>
      <w:r w:rsidDel="00000000" w:rsidR="00000000" w:rsidRPr="00000000">
        <w:rPr>
          <w:rtl w:val="0"/>
        </w:rPr>
        <w:t xml:space="preserve">1.9 Definition of Key Terms</w:t>
      </w:r>
    </w:p>
    <w:p w:rsidR="00000000" w:rsidDel="00000000" w:rsidP="00000000" w:rsidRDefault="00000000" w:rsidRPr="00000000" w14:paraId="000000B7">
      <w:pPr>
        <w:rPr/>
      </w:pPr>
      <w:r w:rsidDel="00000000" w:rsidR="00000000" w:rsidRPr="00000000">
        <w:rPr>
          <w:rtl w:val="0"/>
        </w:rPr>
        <w:t xml:space="preserve">The following terms are used throughout this dissertation with the meanings given below. Conceptual definitions state what each construct means theoretically; operational definitions state how it will be measured in this study.</w:t>
      </w:r>
    </w:p>
    <w:p w:rsidR="00000000" w:rsidDel="00000000" w:rsidP="00000000" w:rsidRDefault="00000000" w:rsidRPr="00000000" w14:paraId="000000B8">
      <w:pPr>
        <w:keepNext w:val="1"/>
        <w:spacing w:after="100" w:before="200" w:line="240" w:lineRule="auto"/>
        <w:jc w:val="left"/>
        <w:rPr/>
      </w:pPr>
      <w:r w:rsidDel="00000000" w:rsidR="00000000" w:rsidRPr="00000000">
        <w:rPr>
          <w:b w:val="1"/>
          <w:bCs w:val="1"/>
          <w:rtl w:val="0"/>
        </w:rPr>
        <w:t xml:space="preserve">Table 1.1 </w:t>
      </w:r>
      <w:r w:rsidDel="00000000" w:rsidR="00000000" w:rsidRPr="00000000">
        <w:rPr>
          <w:i w:val="1"/>
          <w:iCs w:val="1"/>
          <w:rtl w:val="0"/>
        </w:rPr>
        <w:t xml:space="preserve">Definition of Key Terms</w:t>
      </w:r>
      <w:r w:rsidDel="00000000" w:rsidR="00000000" w:rsidRPr="00000000">
        <w:rPr>
          <w:rtl w:val="0"/>
        </w:rPr>
      </w:r>
    </w:p>
    <w:tbl>
      <w:tblPr>
        <w:tblStyle w:val="Table2"/>
        <w:tblW w:w="8640.0" w:type="dxa"/>
        <w:jc w:val="left"/>
        <w:tblBorders>
          <w:top w:color="000000" w:space="0" w:sz="6" w:val="single"/>
          <w:left w:color="000000" w:space="0" w:sz="0" w:val="nil"/>
          <w:bottom w:color="000000" w:space="0" w:sz="6" w:val="single"/>
          <w:right w:color="000000" w:space="0" w:sz="0" w:val="nil"/>
          <w:insideH w:color="bfbfbf" w:space="0" w:sz="4" w:val="single"/>
          <w:insideV w:color="000000" w:space="0" w:sz="0" w:val="nil"/>
        </w:tblBorders>
        <w:tblLayout w:type="fixed"/>
        <w:tblLook w:val="0000"/>
      </w:tblPr>
      <w:tblGrid>
        <w:gridCol w:w="1900"/>
        <w:gridCol w:w="3370"/>
        <w:gridCol w:w="3370"/>
        <w:tblGridChange w:id="0">
          <w:tblGrid>
            <w:gridCol w:w="1900"/>
            <w:gridCol w:w="3370"/>
            <w:gridCol w:w="3370"/>
          </w:tblGrid>
        </w:tblGridChange>
      </w:tblGrid>
      <w:tr>
        <w:trPr>
          <w:cantSplit w:val="0"/>
          <w:tblHeader w:val="1"/>
        </w:trPr>
        <w:tc>
          <w:tcPr>
            <w:shd w:fill="edeff3" w:val="clear"/>
            <w:tcMar>
              <w:top w:w="80.0" w:type="dxa"/>
              <w:left w:w="110.0" w:type="dxa"/>
              <w:bottom w:w="80.0" w:type="dxa"/>
              <w:right w:w="110.0" w:type="dxa"/>
            </w:tcMar>
            <w:vAlign w:val="center"/>
          </w:tcPr>
          <w:p w:rsidR="00000000" w:rsidDel="00000000" w:rsidP="00000000" w:rsidRDefault="00000000" w:rsidRPr="00000000" w14:paraId="000000B9">
            <w:pPr>
              <w:spacing w:after="40" w:line="240" w:lineRule="auto"/>
              <w:jc w:val="left"/>
              <w:rPr/>
            </w:pPr>
            <w:r w:rsidDel="00000000" w:rsidR="00000000" w:rsidRPr="00000000">
              <w:rPr>
                <w:b w:val="1"/>
                <w:bCs w:val="1"/>
                <w:sz w:val="20"/>
                <w:szCs w:val="20"/>
                <w:rtl w:val="0"/>
              </w:rPr>
              <w:t xml:space="preserve">Term</w:t>
            </w:r>
            <w:r w:rsidDel="00000000" w:rsidR="00000000" w:rsidRPr="00000000">
              <w:rPr>
                <w:rtl w:val="0"/>
              </w:rPr>
            </w:r>
          </w:p>
        </w:tc>
        <w:tc>
          <w:tcPr>
            <w:shd w:fill="edeff3" w:val="clear"/>
            <w:tcMar>
              <w:top w:w="80.0" w:type="dxa"/>
              <w:left w:w="110.0" w:type="dxa"/>
              <w:bottom w:w="80.0" w:type="dxa"/>
              <w:right w:w="110.0" w:type="dxa"/>
            </w:tcMar>
            <w:vAlign w:val="center"/>
          </w:tcPr>
          <w:p w:rsidR="00000000" w:rsidDel="00000000" w:rsidP="00000000" w:rsidRDefault="00000000" w:rsidRPr="00000000" w14:paraId="000000BA">
            <w:pPr>
              <w:spacing w:after="40" w:line="240" w:lineRule="auto"/>
              <w:jc w:val="left"/>
              <w:rPr/>
            </w:pPr>
            <w:r w:rsidDel="00000000" w:rsidR="00000000" w:rsidRPr="00000000">
              <w:rPr>
                <w:b w:val="1"/>
                <w:bCs w:val="1"/>
                <w:sz w:val="20"/>
                <w:szCs w:val="20"/>
                <w:rtl w:val="0"/>
              </w:rPr>
              <w:t xml:space="preserve">Conceptual Definition</w:t>
            </w:r>
            <w:r w:rsidDel="00000000" w:rsidR="00000000" w:rsidRPr="00000000">
              <w:rPr>
                <w:rtl w:val="0"/>
              </w:rPr>
            </w:r>
          </w:p>
        </w:tc>
        <w:tc>
          <w:tcPr>
            <w:shd w:fill="edeff3" w:val="clear"/>
            <w:tcMar>
              <w:top w:w="80.0" w:type="dxa"/>
              <w:left w:w="110.0" w:type="dxa"/>
              <w:bottom w:w="80.0" w:type="dxa"/>
              <w:right w:w="110.0" w:type="dxa"/>
            </w:tcMar>
            <w:vAlign w:val="center"/>
          </w:tcPr>
          <w:p w:rsidR="00000000" w:rsidDel="00000000" w:rsidP="00000000" w:rsidRDefault="00000000" w:rsidRPr="00000000" w14:paraId="000000BB">
            <w:pPr>
              <w:spacing w:after="40" w:line="240" w:lineRule="auto"/>
              <w:jc w:val="left"/>
              <w:rPr/>
            </w:pPr>
            <w:r w:rsidDel="00000000" w:rsidR="00000000" w:rsidRPr="00000000">
              <w:rPr>
                <w:b w:val="1"/>
                <w:bCs w:val="1"/>
                <w:sz w:val="20"/>
                <w:szCs w:val="20"/>
                <w:rtl w:val="0"/>
              </w:rPr>
              <w:t xml:space="preserve">Operational Definition in This Study</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BC">
            <w:pPr>
              <w:spacing w:after="0" w:line="250" w:lineRule="auto"/>
              <w:jc w:val="left"/>
              <w:rPr>
                <w:sz w:val="20"/>
                <w:szCs w:val="20"/>
              </w:rPr>
            </w:pPr>
            <w:r w:rsidDel="00000000" w:rsidR="00000000" w:rsidRPr="00000000">
              <w:rPr>
                <w:sz w:val="20"/>
                <w:szCs w:val="20"/>
                <w:rtl w:val="0"/>
              </w:rPr>
              <w:t xml:space="preserve">Infrastructure as Code</w:t>
            </w:r>
          </w:p>
        </w:tc>
        <w:tc>
          <w:tcPr>
            <w:tcMar>
              <w:top w:w="70.0" w:type="dxa"/>
              <w:left w:w="110.0" w:type="dxa"/>
              <w:bottom w:w="70.0" w:type="dxa"/>
              <w:right w:w="110.0" w:type="dxa"/>
            </w:tcMar>
          </w:tcPr>
          <w:p w:rsidR="00000000" w:rsidDel="00000000" w:rsidP="00000000" w:rsidRDefault="00000000" w:rsidRPr="00000000" w14:paraId="000000BD">
            <w:pPr>
              <w:spacing w:after="0" w:line="250" w:lineRule="auto"/>
              <w:jc w:val="left"/>
              <w:rPr>
                <w:sz w:val="20"/>
                <w:szCs w:val="20"/>
              </w:rPr>
            </w:pPr>
            <w:r w:rsidDel="00000000" w:rsidR="00000000" w:rsidRPr="00000000">
              <w:rPr>
                <w:sz w:val="20"/>
                <w:szCs w:val="20"/>
                <w:rtl w:val="0"/>
              </w:rPr>
              <w:t xml:space="preserve">The practice of defining and managing computing infrastructure through machine-readable definition files kept under version control (Guerriero et al., 2019; Kumara et al., 2021).</w:t>
            </w:r>
          </w:p>
        </w:tc>
        <w:tc>
          <w:tcPr>
            <w:tcMar>
              <w:top w:w="70.0" w:type="dxa"/>
              <w:left w:w="110.0" w:type="dxa"/>
              <w:bottom w:w="70.0" w:type="dxa"/>
              <w:right w:w="110.0" w:type="dxa"/>
            </w:tcMar>
          </w:tcPr>
          <w:p w:rsidR="00000000" w:rsidDel="00000000" w:rsidP="00000000" w:rsidRDefault="00000000" w:rsidRPr="00000000" w14:paraId="000000BE">
            <w:pPr>
              <w:spacing w:after="0" w:line="250" w:lineRule="auto"/>
              <w:jc w:val="left"/>
              <w:rPr>
                <w:sz w:val="20"/>
                <w:szCs w:val="20"/>
              </w:rPr>
            </w:pPr>
            <w:r w:rsidDel="00000000" w:rsidR="00000000" w:rsidRPr="00000000">
              <w:rPr>
                <w:sz w:val="20"/>
                <w:szCs w:val="20"/>
                <w:rtl w:val="0"/>
              </w:rPr>
              <w:t xml:space="preserve">Provisioning performed by executing Terraform configuration files stored in the project repository.</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BF">
            <w:pPr>
              <w:spacing w:after="0" w:line="250" w:lineRule="auto"/>
              <w:jc w:val="left"/>
              <w:rPr>
                <w:sz w:val="20"/>
                <w:szCs w:val="20"/>
              </w:rPr>
            </w:pPr>
            <w:r w:rsidDel="00000000" w:rsidR="00000000" w:rsidRPr="00000000">
              <w:rPr>
                <w:sz w:val="20"/>
                <w:szCs w:val="20"/>
                <w:rtl w:val="0"/>
              </w:rPr>
              <w:t xml:space="preserve">Provisioning method</w:t>
            </w:r>
          </w:p>
        </w:tc>
        <w:tc>
          <w:tcPr>
            <w:tcMar>
              <w:top w:w="70.0" w:type="dxa"/>
              <w:left w:w="110.0" w:type="dxa"/>
              <w:bottom w:w="70.0" w:type="dxa"/>
              <w:right w:w="110.0" w:type="dxa"/>
            </w:tcMar>
          </w:tcPr>
          <w:p w:rsidR="00000000" w:rsidDel="00000000" w:rsidP="00000000" w:rsidRDefault="00000000" w:rsidRPr="00000000" w14:paraId="000000C0">
            <w:pPr>
              <w:spacing w:after="0" w:line="250" w:lineRule="auto"/>
              <w:jc w:val="left"/>
              <w:rPr>
                <w:sz w:val="20"/>
                <w:szCs w:val="20"/>
              </w:rPr>
            </w:pPr>
            <w:r w:rsidDel="00000000" w:rsidR="00000000" w:rsidRPr="00000000">
              <w:rPr>
                <w:sz w:val="20"/>
                <w:szCs w:val="20"/>
                <w:rtl w:val="0"/>
              </w:rPr>
              <w:t xml:space="preserve">The means by which cloud resources are created, changed and destroyed.</w:t>
            </w:r>
          </w:p>
        </w:tc>
        <w:tc>
          <w:tcPr>
            <w:tcMar>
              <w:top w:w="70.0" w:type="dxa"/>
              <w:left w:w="110.0" w:type="dxa"/>
              <w:bottom w:w="70.0" w:type="dxa"/>
              <w:right w:w="110.0" w:type="dxa"/>
            </w:tcMar>
          </w:tcPr>
          <w:p w:rsidR="00000000" w:rsidDel="00000000" w:rsidP="00000000" w:rsidRDefault="00000000" w:rsidRPr="00000000" w14:paraId="000000C1">
            <w:pPr>
              <w:spacing w:after="0" w:line="250" w:lineRule="auto"/>
              <w:jc w:val="left"/>
              <w:rPr>
                <w:sz w:val="20"/>
                <w:szCs w:val="20"/>
              </w:rPr>
            </w:pPr>
            <w:r w:rsidDel="00000000" w:rsidR="00000000" w:rsidRPr="00000000">
              <w:rPr>
                <w:sz w:val="20"/>
                <w:szCs w:val="20"/>
                <w:rtl w:val="0"/>
              </w:rPr>
              <w:t xml:space="preserve">A binary condition with two levels: Terraform executed through the GitHub Actions pipeline, or manual creation through the AWS console.</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C2">
            <w:pPr>
              <w:spacing w:after="0" w:line="250" w:lineRule="auto"/>
              <w:jc w:val="left"/>
              <w:rPr>
                <w:sz w:val="20"/>
                <w:szCs w:val="20"/>
              </w:rPr>
            </w:pPr>
            <w:r w:rsidDel="00000000" w:rsidR="00000000" w:rsidRPr="00000000">
              <w:rPr>
                <w:sz w:val="20"/>
                <w:szCs w:val="20"/>
                <w:rtl w:val="0"/>
              </w:rPr>
              <w:t xml:space="preserve">Provisioning duration</w:t>
            </w:r>
          </w:p>
        </w:tc>
        <w:tc>
          <w:tcPr>
            <w:tcMar>
              <w:top w:w="70.0" w:type="dxa"/>
              <w:left w:w="110.0" w:type="dxa"/>
              <w:bottom w:w="70.0" w:type="dxa"/>
              <w:right w:w="110.0" w:type="dxa"/>
            </w:tcMar>
          </w:tcPr>
          <w:p w:rsidR="00000000" w:rsidDel="00000000" w:rsidP="00000000" w:rsidRDefault="00000000" w:rsidRPr="00000000" w14:paraId="000000C3">
            <w:pPr>
              <w:spacing w:after="0" w:line="250" w:lineRule="auto"/>
              <w:jc w:val="left"/>
              <w:rPr>
                <w:sz w:val="20"/>
                <w:szCs w:val="20"/>
              </w:rPr>
            </w:pPr>
            <w:r w:rsidDel="00000000" w:rsidR="00000000" w:rsidRPr="00000000">
              <w:rPr>
                <w:sz w:val="20"/>
                <w:szCs w:val="20"/>
                <w:rtl w:val="0"/>
              </w:rPr>
              <w:t xml:space="preserve">The elapsed wall-clock time required to bring an environment from an empty state to a fully working state.</w:t>
            </w:r>
          </w:p>
        </w:tc>
        <w:tc>
          <w:tcPr>
            <w:tcMar>
              <w:top w:w="70.0" w:type="dxa"/>
              <w:left w:w="110.0" w:type="dxa"/>
              <w:bottom w:w="70.0" w:type="dxa"/>
              <w:right w:w="110.0" w:type="dxa"/>
            </w:tcMar>
          </w:tcPr>
          <w:p w:rsidR="00000000" w:rsidDel="00000000" w:rsidP="00000000" w:rsidRDefault="00000000" w:rsidRPr="00000000" w14:paraId="000000C4">
            <w:pPr>
              <w:spacing w:after="0" w:line="250" w:lineRule="auto"/>
              <w:jc w:val="left"/>
              <w:rPr>
                <w:sz w:val="20"/>
                <w:szCs w:val="20"/>
              </w:rPr>
            </w:pPr>
            <w:r w:rsidDel="00000000" w:rsidR="00000000" w:rsidRPr="00000000">
              <w:rPr>
                <w:sz w:val="20"/>
                <w:szCs w:val="20"/>
                <w:rtl w:val="0"/>
              </w:rPr>
              <w:t xml:space="preserve">Seconds recorded by shell script from the start of the first provisioning command to the completion of the last, measured separately for each stage.</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C5">
            <w:pPr>
              <w:spacing w:after="0" w:line="250" w:lineRule="auto"/>
              <w:jc w:val="left"/>
              <w:rPr>
                <w:sz w:val="20"/>
                <w:szCs w:val="20"/>
              </w:rPr>
            </w:pPr>
            <w:r w:rsidDel="00000000" w:rsidR="00000000" w:rsidRPr="00000000">
              <w:rPr>
                <w:sz w:val="20"/>
                <w:szCs w:val="20"/>
                <w:rtl w:val="0"/>
              </w:rPr>
              <w:t xml:space="preserve">Configuration drift</w:t>
            </w:r>
          </w:p>
        </w:tc>
        <w:tc>
          <w:tcPr>
            <w:tcMar>
              <w:top w:w="70.0" w:type="dxa"/>
              <w:left w:w="110.0" w:type="dxa"/>
              <w:bottom w:w="70.0" w:type="dxa"/>
              <w:right w:w="110.0" w:type="dxa"/>
            </w:tcMar>
          </w:tcPr>
          <w:p w:rsidR="00000000" w:rsidDel="00000000" w:rsidP="00000000" w:rsidRDefault="00000000" w:rsidRPr="00000000" w14:paraId="000000C6">
            <w:pPr>
              <w:spacing w:after="0" w:line="250" w:lineRule="auto"/>
              <w:jc w:val="left"/>
              <w:rPr>
                <w:sz w:val="20"/>
                <w:szCs w:val="20"/>
              </w:rPr>
            </w:pPr>
            <w:r w:rsidDel="00000000" w:rsidR="00000000" w:rsidRPr="00000000">
              <w:rPr>
                <w:sz w:val="20"/>
                <w:szCs w:val="20"/>
                <w:rtl w:val="0"/>
              </w:rPr>
              <w:t xml:space="preserve">Unintended divergence in configuration between environments that are meant to be equivalent (Kumara et al., 2021).</w:t>
            </w:r>
          </w:p>
        </w:tc>
        <w:tc>
          <w:tcPr>
            <w:tcMar>
              <w:top w:w="70.0" w:type="dxa"/>
              <w:left w:w="110.0" w:type="dxa"/>
              <w:bottom w:w="70.0" w:type="dxa"/>
              <w:right w:w="110.0" w:type="dxa"/>
            </w:tcMar>
          </w:tcPr>
          <w:p w:rsidR="00000000" w:rsidDel="00000000" w:rsidP="00000000" w:rsidRDefault="00000000" w:rsidRPr="00000000" w14:paraId="000000C7">
            <w:pPr>
              <w:spacing w:after="0" w:line="250" w:lineRule="auto"/>
              <w:jc w:val="left"/>
              <w:rPr>
                <w:sz w:val="20"/>
                <w:szCs w:val="20"/>
              </w:rPr>
            </w:pPr>
            <w:r w:rsidDel="00000000" w:rsidR="00000000" w:rsidRPr="00000000">
              <w:rPr>
                <w:sz w:val="20"/>
                <w:szCs w:val="20"/>
                <w:rtl w:val="0"/>
              </w:rPr>
              <w:t xml:space="preserve">Count of resource attributes that differ between the development, staging and production environments, obtained by comparing Terraform plan output and AWS command line inventory.</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C8">
            <w:pPr>
              <w:spacing w:after="0" w:line="250" w:lineRule="auto"/>
              <w:jc w:val="left"/>
              <w:rPr>
                <w:sz w:val="20"/>
                <w:szCs w:val="20"/>
              </w:rPr>
            </w:pPr>
            <w:r w:rsidDel="00000000" w:rsidR="00000000" w:rsidRPr="00000000">
              <w:rPr>
                <w:sz w:val="20"/>
                <w:szCs w:val="20"/>
                <w:rtl w:val="0"/>
              </w:rPr>
              <w:t xml:space="preserve">Reproducibility</w:t>
            </w:r>
          </w:p>
        </w:tc>
        <w:tc>
          <w:tcPr>
            <w:tcMar>
              <w:top w:w="70.0" w:type="dxa"/>
              <w:left w:w="110.0" w:type="dxa"/>
              <w:bottom w:w="70.0" w:type="dxa"/>
              <w:right w:w="110.0" w:type="dxa"/>
            </w:tcMar>
          </w:tcPr>
          <w:p w:rsidR="00000000" w:rsidDel="00000000" w:rsidP="00000000" w:rsidRDefault="00000000" w:rsidRPr="00000000" w14:paraId="000000C9">
            <w:pPr>
              <w:spacing w:after="0" w:line="250" w:lineRule="auto"/>
              <w:jc w:val="left"/>
              <w:rPr>
                <w:sz w:val="20"/>
                <w:szCs w:val="20"/>
              </w:rPr>
            </w:pPr>
            <w:r w:rsidDel="00000000" w:rsidR="00000000" w:rsidRPr="00000000">
              <w:rPr>
                <w:sz w:val="20"/>
                <w:szCs w:val="20"/>
                <w:rtl w:val="0"/>
              </w:rPr>
              <w:t xml:space="preserve">The ability to recreate an environment identically from its definition.</w:t>
            </w:r>
          </w:p>
        </w:tc>
        <w:tc>
          <w:tcPr>
            <w:tcMar>
              <w:top w:w="70.0" w:type="dxa"/>
              <w:left w:w="110.0" w:type="dxa"/>
              <w:bottom w:w="70.0" w:type="dxa"/>
              <w:right w:w="110.0" w:type="dxa"/>
            </w:tcMar>
          </w:tcPr>
          <w:p w:rsidR="00000000" w:rsidDel="00000000" w:rsidP="00000000" w:rsidRDefault="00000000" w:rsidRPr="00000000" w14:paraId="000000CA">
            <w:pPr>
              <w:spacing w:after="0" w:line="250" w:lineRule="auto"/>
              <w:jc w:val="left"/>
              <w:rPr>
                <w:sz w:val="20"/>
                <w:szCs w:val="20"/>
              </w:rPr>
            </w:pPr>
            <w:r w:rsidDel="00000000" w:rsidR="00000000" w:rsidRPr="00000000">
              <w:rPr>
                <w:sz w:val="20"/>
                <w:szCs w:val="20"/>
                <w:rtl w:val="0"/>
              </w:rPr>
              <w:t xml:space="preserve">Proportion of destroy-and-rebuild cycles in which the rebuilt environment shows zero attribute differences from the recorded baseline.</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CB">
            <w:pPr>
              <w:spacing w:after="0" w:line="250" w:lineRule="auto"/>
              <w:jc w:val="left"/>
              <w:rPr>
                <w:sz w:val="20"/>
                <w:szCs w:val="20"/>
              </w:rPr>
            </w:pPr>
            <w:r w:rsidDel="00000000" w:rsidR="00000000" w:rsidRPr="00000000">
              <w:rPr>
                <w:sz w:val="20"/>
                <w:szCs w:val="20"/>
                <w:rtl w:val="0"/>
              </w:rPr>
              <w:t xml:space="preserve">Version-control coverage</w:t>
            </w:r>
          </w:p>
        </w:tc>
        <w:tc>
          <w:tcPr>
            <w:tcMar>
              <w:top w:w="70.0" w:type="dxa"/>
              <w:left w:w="110.0" w:type="dxa"/>
              <w:bottom w:w="70.0" w:type="dxa"/>
              <w:right w:w="110.0" w:type="dxa"/>
            </w:tcMar>
          </w:tcPr>
          <w:p w:rsidR="00000000" w:rsidDel="00000000" w:rsidP="00000000" w:rsidRDefault="00000000" w:rsidRPr="00000000" w14:paraId="000000CC">
            <w:pPr>
              <w:spacing w:after="0" w:line="250" w:lineRule="auto"/>
              <w:jc w:val="left"/>
              <w:rPr>
                <w:sz w:val="20"/>
                <w:szCs w:val="20"/>
              </w:rPr>
            </w:pPr>
            <w:r w:rsidDel="00000000" w:rsidR="00000000" w:rsidRPr="00000000">
              <w:rPr>
                <w:sz w:val="20"/>
                <w:szCs w:val="20"/>
                <w:rtl w:val="0"/>
              </w:rPr>
              <w:t xml:space="preserve">The extent to which infrastructure components are defined in files held in a version control system and changed only through reviewed commits.</w:t>
            </w:r>
          </w:p>
        </w:tc>
        <w:tc>
          <w:tcPr>
            <w:tcMar>
              <w:top w:w="70.0" w:type="dxa"/>
              <w:left w:w="110.0" w:type="dxa"/>
              <w:bottom w:w="70.0" w:type="dxa"/>
              <w:right w:w="110.0" w:type="dxa"/>
            </w:tcMar>
          </w:tcPr>
          <w:p w:rsidR="00000000" w:rsidDel="00000000" w:rsidP="00000000" w:rsidRDefault="00000000" w:rsidRPr="00000000" w14:paraId="000000CD">
            <w:pPr>
              <w:spacing w:after="0" w:line="250" w:lineRule="auto"/>
              <w:jc w:val="left"/>
              <w:rPr>
                <w:sz w:val="20"/>
                <w:szCs w:val="20"/>
              </w:rPr>
            </w:pPr>
            <w:r w:rsidDel="00000000" w:rsidR="00000000" w:rsidRPr="00000000">
              <w:rPr>
                <w:sz w:val="20"/>
                <w:szCs w:val="20"/>
                <w:rtl w:val="0"/>
              </w:rPr>
              <w:t xml:space="preserve">Number of architecture components defined in the repository, divided by the total number of components in the architecture, expressed as a percentage.</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CE">
            <w:pPr>
              <w:spacing w:after="0" w:line="250" w:lineRule="auto"/>
              <w:jc w:val="left"/>
              <w:rPr>
                <w:sz w:val="20"/>
                <w:szCs w:val="20"/>
              </w:rPr>
            </w:pPr>
            <w:r w:rsidDel="00000000" w:rsidR="00000000" w:rsidRPr="00000000">
              <w:rPr>
                <w:sz w:val="20"/>
                <w:szCs w:val="20"/>
                <w:rtl w:val="0"/>
              </w:rPr>
              <w:t xml:space="preserve">Pipeline integration depth</w:t>
            </w:r>
          </w:p>
        </w:tc>
        <w:tc>
          <w:tcPr>
            <w:tcMar>
              <w:top w:w="70.0" w:type="dxa"/>
              <w:left w:w="110.0" w:type="dxa"/>
              <w:bottom w:w="70.0" w:type="dxa"/>
              <w:right w:w="110.0" w:type="dxa"/>
            </w:tcMar>
          </w:tcPr>
          <w:p w:rsidR="00000000" w:rsidDel="00000000" w:rsidP="00000000" w:rsidRDefault="00000000" w:rsidRPr="00000000" w14:paraId="000000CF">
            <w:pPr>
              <w:spacing w:after="0" w:line="250" w:lineRule="auto"/>
              <w:jc w:val="left"/>
              <w:rPr>
                <w:sz w:val="20"/>
                <w:szCs w:val="20"/>
              </w:rPr>
            </w:pPr>
            <w:r w:rsidDel="00000000" w:rsidR="00000000" w:rsidRPr="00000000">
              <w:rPr>
                <w:sz w:val="20"/>
                <w:szCs w:val="20"/>
                <w:rtl w:val="0"/>
              </w:rPr>
              <w:t xml:space="preserve">The degree to which infrastructure changes are compelled to pass through automated validation and human review before taking effect.</w:t>
            </w:r>
          </w:p>
        </w:tc>
        <w:tc>
          <w:tcPr>
            <w:tcMar>
              <w:top w:w="70.0" w:type="dxa"/>
              <w:left w:w="110.0" w:type="dxa"/>
              <w:bottom w:w="70.0" w:type="dxa"/>
              <w:right w:w="110.0" w:type="dxa"/>
            </w:tcMar>
          </w:tcPr>
          <w:p w:rsidR="00000000" w:rsidDel="00000000" w:rsidP="00000000" w:rsidRDefault="00000000" w:rsidRPr="00000000" w14:paraId="000000D0">
            <w:pPr>
              <w:spacing w:after="0" w:line="250" w:lineRule="auto"/>
              <w:jc w:val="left"/>
              <w:rPr>
                <w:sz w:val="20"/>
                <w:szCs w:val="20"/>
              </w:rPr>
            </w:pPr>
            <w:r w:rsidDel="00000000" w:rsidR="00000000" w:rsidRPr="00000000">
              <w:rPr>
                <w:sz w:val="20"/>
                <w:szCs w:val="20"/>
                <w:rtl w:val="0"/>
              </w:rPr>
              <w:t xml:space="preserve">Three ordered levels: local execution with no review; validation and plan on pull request; validation, plan and gated apply on merge.</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D1">
            <w:pPr>
              <w:spacing w:after="0" w:line="250" w:lineRule="auto"/>
              <w:jc w:val="left"/>
              <w:rPr>
                <w:sz w:val="20"/>
                <w:szCs w:val="20"/>
              </w:rPr>
            </w:pPr>
            <w:r w:rsidDel="00000000" w:rsidR="00000000" w:rsidRPr="00000000">
              <w:rPr>
                <w:sz w:val="20"/>
                <w:szCs w:val="20"/>
                <w:rtl w:val="0"/>
              </w:rPr>
              <w:t xml:space="preserve">Technical lag</w:t>
            </w:r>
          </w:p>
        </w:tc>
        <w:tc>
          <w:tcPr>
            <w:tcMar>
              <w:top w:w="70.0" w:type="dxa"/>
              <w:left w:w="110.0" w:type="dxa"/>
              <w:bottom w:w="70.0" w:type="dxa"/>
              <w:right w:w="110.0" w:type="dxa"/>
            </w:tcMar>
          </w:tcPr>
          <w:p w:rsidR="00000000" w:rsidDel="00000000" w:rsidP="00000000" w:rsidRDefault="00000000" w:rsidRPr="00000000" w14:paraId="000000D2">
            <w:pPr>
              <w:spacing w:after="0" w:line="250" w:lineRule="auto"/>
              <w:jc w:val="left"/>
              <w:rPr>
                <w:sz w:val="20"/>
                <w:szCs w:val="20"/>
              </w:rPr>
            </w:pPr>
            <w:r w:rsidDel="00000000" w:rsidR="00000000" w:rsidRPr="00000000">
              <w:rPr>
                <w:sz w:val="20"/>
                <w:szCs w:val="20"/>
                <w:rtl w:val="0"/>
              </w:rPr>
              <w:t xml:space="preserve">The period during which a configuration remains on an older version than the latest available upstream release (Begoug et al., 2025).</w:t>
            </w:r>
          </w:p>
        </w:tc>
        <w:tc>
          <w:tcPr>
            <w:tcMar>
              <w:top w:w="70.0" w:type="dxa"/>
              <w:left w:w="110.0" w:type="dxa"/>
              <w:bottom w:w="70.0" w:type="dxa"/>
              <w:right w:w="110.0" w:type="dxa"/>
            </w:tcMar>
          </w:tcPr>
          <w:p w:rsidR="00000000" w:rsidDel="00000000" w:rsidP="00000000" w:rsidRDefault="00000000" w:rsidRPr="00000000" w14:paraId="000000D3">
            <w:pPr>
              <w:spacing w:after="0" w:line="250" w:lineRule="auto"/>
              <w:jc w:val="left"/>
              <w:rPr>
                <w:sz w:val="20"/>
                <w:szCs w:val="20"/>
              </w:rPr>
            </w:pPr>
            <w:r w:rsidDel="00000000" w:rsidR="00000000" w:rsidRPr="00000000">
              <w:rPr>
                <w:sz w:val="20"/>
                <w:szCs w:val="20"/>
                <w:rtl w:val="0"/>
              </w:rPr>
              <w:t xml:space="preserve">Number of days between the release of a module version and its adoption in the repository.</w:t>
            </w:r>
          </w:p>
        </w:tc>
      </w:tr>
    </w:tbl>
    <w:p w:rsidR="00000000" w:rsidDel="00000000" w:rsidP="00000000" w:rsidRDefault="00000000" w:rsidRPr="00000000" w14:paraId="000000D4">
      <w:pPr>
        <w:spacing w:after="200" w:before="60" w:line="240" w:lineRule="auto"/>
        <w:jc w:val="left"/>
        <w:rPr>
          <w:sz w:val="20"/>
          <w:szCs w:val="20"/>
        </w:rPr>
      </w:pPr>
      <w:r w:rsidDel="00000000" w:rsidR="00000000" w:rsidRPr="00000000">
        <w:rPr>
          <w:i w:val="1"/>
          <w:iCs w:val="1"/>
          <w:sz w:val="20"/>
          <w:szCs w:val="20"/>
          <w:rtl w:val="0"/>
        </w:rPr>
        <w:t xml:space="preserve">Note.</w:t>
      </w:r>
      <w:r w:rsidDel="00000000" w:rsidR="00000000" w:rsidRPr="00000000">
        <w:rPr>
          <w:sz w:val="20"/>
          <w:szCs w:val="20"/>
          <w:rtl w:val="0"/>
        </w:rPr>
        <w:t xml:space="preserve"> Every construct shown in the conceptual framework in Figure 2.1 appears in this table.</w:t>
      </w:r>
    </w:p>
    <w:p w:rsidR="00000000" w:rsidDel="00000000" w:rsidP="00000000" w:rsidRDefault="00000000" w:rsidRPr="00000000" w14:paraId="000000D5">
      <w:pPr>
        <w:pStyle w:val="Heading2"/>
        <w:keepNext w:val="1"/>
        <w:rPr/>
      </w:pPr>
      <w:r w:rsidDel="00000000" w:rsidR="00000000" w:rsidRPr="00000000">
        <w:rPr>
          <w:rtl w:val="0"/>
        </w:rPr>
        <w:t xml:space="preserve">1.10 Organisation of the Dissertation</w:t>
      </w:r>
    </w:p>
    <w:p w:rsidR="00000000" w:rsidDel="00000000" w:rsidP="00000000" w:rsidRDefault="00000000" w:rsidRPr="00000000" w14:paraId="000000D6">
      <w:pPr>
        <w:rPr/>
      </w:pPr>
      <w:r w:rsidDel="00000000" w:rsidR="00000000" w:rsidRPr="00000000">
        <w:rPr>
          <w:rtl w:val="0"/>
        </w:rPr>
        <w:t xml:space="preserve">This dissertation is presented in five chapters. Chapter 1 has introduced the research by setting out its background, problem, gap, aim, objectives, questions, hypotheses, significance and scope. Chapter 2 reviews the theoretical and empirical literature, compares prior studies, establishes the research gap in detail and derives the conceptual framework and hypotheses. Chapter 3 explains the research philosophy, design, population, sampling, instruments, procedures, analytical techniques, quality criteria and ethical safeguards through which the research questions will be answered. Chapter 4 will present the quantitative and qualitative findings and their integration. Chapter 5 will discuss those findings in relation to the reviewed literature and will state the conclusions, contributions, limitations and recommendations of the study. Chapters 1 to 3 constitute the present submission.</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pStyle w:val="Heading1"/>
        <w:pageBreakBefore w:val="1"/>
        <w:rPr/>
      </w:pPr>
      <w:r w:rsidDel="00000000" w:rsidR="00000000" w:rsidRPr="00000000">
        <w:rPr>
          <w:rtl w:val="0"/>
        </w:rPr>
        <w:t xml:space="preserve">CHAPTER 2: LITERATURE REVIEW</w:t>
      </w:r>
    </w:p>
    <w:p w:rsidR="00000000" w:rsidDel="00000000" w:rsidP="00000000" w:rsidRDefault="00000000" w:rsidRPr="00000000" w14:paraId="000000D9">
      <w:pPr>
        <w:pStyle w:val="Heading2"/>
        <w:keepNext w:val="1"/>
        <w:rPr/>
      </w:pPr>
      <w:r w:rsidDel="00000000" w:rsidR="00000000" w:rsidRPr="00000000">
        <w:rPr>
          <w:rtl w:val="0"/>
        </w:rPr>
        <w:t xml:space="preserve">2.1 Introduction</w:t>
      </w:r>
    </w:p>
    <w:p w:rsidR="00000000" w:rsidDel="00000000" w:rsidP="00000000" w:rsidRDefault="00000000" w:rsidRPr="00000000" w14:paraId="000000DA">
      <w:pPr>
        <w:rPr/>
      </w:pPr>
      <w:r w:rsidDel="00000000" w:rsidR="00000000" w:rsidRPr="00000000">
        <w:rPr>
          <w:rtl w:val="0"/>
        </w:rPr>
        <w:t xml:space="preserve">This chapter reviews the literature that underpins the study. It begins by describing how the literature was searched, then examines the theoretical ideas that have been used to explain Infrastructure as Code and continuous delivery, and justifies the framework adopted here. It reviews the constructs of the study conceptually, then turns to empirical evidence, organised by geographical scope. A comparative table summarises the design, sample and findings of the most relevant studies, after which the literature is discussed critically, the research gap is stated, and the conceptual framework and hypotheses are derived. The chapter closes with a summary linking the review to the methodology in Chapter 3.</w:t>
      </w:r>
    </w:p>
    <w:p w:rsidR="00000000" w:rsidDel="00000000" w:rsidP="00000000" w:rsidRDefault="00000000" w:rsidRPr="00000000" w14:paraId="000000DB">
      <w:pPr>
        <w:pStyle w:val="Heading2"/>
        <w:keepNext w:val="1"/>
        <w:rPr/>
      </w:pPr>
      <w:r w:rsidDel="00000000" w:rsidR="00000000" w:rsidRPr="00000000">
        <w:rPr>
          <w:rtl w:val="0"/>
        </w:rPr>
        <w:t xml:space="preserve">2.2 Review Strategy</w:t>
      </w:r>
    </w:p>
    <w:p w:rsidR="00000000" w:rsidDel="00000000" w:rsidP="00000000" w:rsidRDefault="00000000" w:rsidRPr="00000000" w14:paraId="000000DC">
      <w:pPr>
        <w:rPr/>
      </w:pPr>
      <w:r w:rsidDel="00000000" w:rsidR="00000000" w:rsidRPr="00000000">
        <w:rPr>
          <w:rtl w:val="0"/>
        </w:rPr>
        <w:t xml:space="preserve">The review followed a structured, concept-centric procedure of the kind recommended by Webster and Watson (2002), supported by the transparency principles of the PRISMA 2020 statement (Page et al., 2021) without claiming to be a full systematic review. Searches were run in the ACM Digital Library, IEEE Xplore, SpringerLink, ScienceDirect, MDPI, Google Scholar and arXiv.</w:t>
      </w:r>
    </w:p>
    <w:p w:rsidR="00000000" w:rsidDel="00000000" w:rsidP="00000000" w:rsidRDefault="00000000" w:rsidRPr="00000000" w14:paraId="000000DD">
      <w:pPr>
        <w:rPr/>
      </w:pPr>
      <w:r w:rsidDel="00000000" w:rsidR="00000000" w:rsidRPr="00000000">
        <w:rPr>
          <w:rtl w:val="0"/>
        </w:rPr>
        <w:t xml:space="preserve">The search terms were combined from three groups. The first group covered the tool and practice: “infrastructure as code”, “IaC”, “Terraform”, “provisioning automation”. The second covered the pipeline: “CI/CD”, “continuous integration”, “GitHub Actions”, “deployment pipeline”. The third covered the platform and setting: “AWS”, “Amazon Web Services”, “cloud infrastructure”, and separately “Cambodia”, “Southeast Asia” and “low- and middle-income countries”.</w:t>
      </w:r>
    </w:p>
    <w:p w:rsidR="00000000" w:rsidDel="00000000" w:rsidP="00000000" w:rsidRDefault="00000000" w:rsidRPr="00000000" w14:paraId="000000DE">
      <w:pPr>
        <w:rPr/>
      </w:pPr>
      <w:r w:rsidDel="00000000" w:rsidR="00000000" w:rsidRPr="00000000">
        <w:rPr>
          <w:rtl w:val="0"/>
        </w:rPr>
        <w:t xml:space="preserve">Sources were included if they were peer-reviewed journal articles, peer-reviewed conference papers or academic books; if they were published between 2016 and 2026, with older works admitted where they define a concept still in use; if they were written in English; and if they reported theoretical or empirical work on IaC, CI/CD or cloud infrastructure provisioning. Sources were excluded if they were vendor marketing material, opinion pieces without data, or articles in journals without a verifiable peer-review process. This last criterion removed a number of items that appeared early in the search and that reported attractive figures, including a frequently cited claim of a 50 per cent reduction in deployment time, on the grounds that the architecture, procedure and measurement method were not described in enough detail to be verified. Backward and forward citation tracking was applied to the most-cited included studies.</w:t>
      </w:r>
    </w:p>
    <w:p w:rsidR="00000000" w:rsidDel="00000000" w:rsidP="00000000" w:rsidRDefault="00000000" w:rsidRPr="00000000" w14:paraId="000000DF">
      <w:pPr>
        <w:rPr/>
      </w:pPr>
      <w:r w:rsidDel="00000000" w:rsidR="00000000" w:rsidRPr="00000000">
        <w:rPr>
          <w:rtl w:val="0"/>
        </w:rPr>
        <w:t xml:space="preserve">Five studies were selected for detailed review because each covers one part of the present study's scope: Terraform performance on AWS, Terraform security, Terraform module maintenance, GitHub Actions CI/CD, and AWS infrastructure architecture. Three further studies are included in the comparative analysis in Section 2.6 as supporting evidence on IaC practice more generally.</w:t>
      </w:r>
    </w:p>
    <w:p w:rsidR="00000000" w:rsidDel="00000000" w:rsidP="00000000" w:rsidRDefault="00000000" w:rsidRPr="00000000" w14:paraId="000000E0">
      <w:pPr>
        <w:rPr/>
      </w:pPr>
      <w:r w:rsidDel="00000000" w:rsidR="00000000" w:rsidRPr="00000000">
        <w:rPr>
          <w:rtl w:val="0"/>
        </w:rPr>
        <w:t xml:space="preserve">A note on the third search group is necessary. Searches combining IaC or Terraform with Cambodia or Southeast Asia returned no peer-reviewed empirical studies. This is reported as a finding of the search rather than as a limitation of it, and it forms part of the contextual gap stated in Section 2.8.</w:t>
      </w:r>
    </w:p>
    <w:p w:rsidR="00000000" w:rsidDel="00000000" w:rsidP="00000000" w:rsidRDefault="00000000" w:rsidRPr="00000000" w14:paraId="000000E1">
      <w:pPr>
        <w:pStyle w:val="Heading2"/>
        <w:keepNext w:val="1"/>
        <w:rPr/>
      </w:pPr>
      <w:r w:rsidDel="00000000" w:rsidR="00000000" w:rsidRPr="00000000">
        <w:rPr>
          <w:rtl w:val="0"/>
        </w:rPr>
        <w:t xml:space="preserve">2.3 Theoretical Foundations</w:t>
      </w:r>
    </w:p>
    <w:p w:rsidR="00000000" w:rsidDel="00000000" w:rsidP="00000000" w:rsidRDefault="00000000" w:rsidRPr="00000000" w14:paraId="000000E2">
      <w:pPr>
        <w:pStyle w:val="Heading3"/>
        <w:keepNext w:val="1"/>
        <w:rPr/>
      </w:pPr>
      <w:r w:rsidDel="00000000" w:rsidR="00000000" w:rsidRPr="00000000">
        <w:rPr>
          <w:rtl w:val="0"/>
        </w:rPr>
        <w:t xml:space="preserve">2.3.1 Infrastructure as Code as an Engineering Practice</w:t>
      </w:r>
    </w:p>
    <w:p w:rsidR="00000000" w:rsidDel="00000000" w:rsidP="00000000" w:rsidRDefault="00000000" w:rsidRPr="00000000" w14:paraId="000000E3">
      <w:pPr>
        <w:rPr/>
      </w:pPr>
      <w:r w:rsidDel="00000000" w:rsidR="00000000" w:rsidRPr="00000000">
        <w:rPr>
          <w:rtl w:val="0"/>
        </w:rPr>
        <w:t xml:space="preserve">IaC is not a single theory but a set of connected principles. The central one is declarative specification: the engineer describes the desired end state rather than the sequence of steps needed to reach it, and the tool works out the difference between the current state and the desired state. A second principle is idempotence, meaning that applying the same definition twice produces the same result rather than duplicating resources. A third is version control, so that every change to infrastructure has an author, a timestamp and a reviewable history in the same way as a change to application code.</w:t>
      </w:r>
    </w:p>
    <w:p w:rsidR="00000000" w:rsidDel="00000000" w:rsidP="00000000" w:rsidRDefault="00000000" w:rsidRPr="00000000" w14:paraId="000000E4">
      <w:pPr>
        <w:rPr/>
      </w:pPr>
      <w:r w:rsidDel="00000000" w:rsidR="00000000" w:rsidRPr="00000000">
        <w:rPr>
          <w:rtl w:val="0"/>
        </w:rPr>
        <w:t xml:space="preserve">Kumara et al. (2021) supply the most systematic account of these principles as they appear in practice. Reviewing 67 high-quality industry sources, they produced a taxonomy of ten categories of good practice and four of bad practice, distinguishing between language-agnostic principles and those specific to individual tools. Their categories cover implementation problems, design problems, and adherence to or violation of the underlying principles of IaC. Guerriero et al. (2019), interviewing practitioners in 44 companies, found the same principles asserted from the other direction: hardcoding credentials and constants was the most frequently named bad practice, while secret injection, meaning keeping scripts parametric so that values are supplied from outside, was the most frequently recommended good practice, followed by failing fast, reuse through abstraction and shallow nesting.</w:t>
      </w:r>
    </w:p>
    <w:p w:rsidR="00000000" w:rsidDel="00000000" w:rsidP="00000000" w:rsidRDefault="00000000" w:rsidRPr="00000000" w14:paraId="000000E5">
      <w:pPr>
        <w:rPr/>
      </w:pPr>
      <w:r w:rsidDel="00000000" w:rsidR="00000000" w:rsidRPr="00000000">
        <w:rPr>
          <w:rtl w:val="0"/>
        </w:rPr>
        <w:t xml:space="preserve">The value of treating these as a theoretical foundation rather than as tips is that they generate testable expectations. If declarative specification and version control are what produce consistency, then an environment provisioned from code should show less drift than one provisioned by hand, and an environment that can be destroyed and rebuilt from its definition should reproduce faithfully. Both expectations are tested directly in this study.</w:t>
      </w:r>
    </w:p>
    <w:p w:rsidR="00000000" w:rsidDel="00000000" w:rsidP="00000000" w:rsidRDefault="00000000" w:rsidRPr="00000000" w14:paraId="000000E6">
      <w:pPr>
        <w:pStyle w:val="Heading3"/>
        <w:keepNext w:val="1"/>
        <w:rPr/>
      </w:pPr>
      <w:r w:rsidDel="00000000" w:rsidR="00000000" w:rsidRPr="00000000">
        <w:rPr>
          <w:rtl w:val="0"/>
        </w:rPr>
        <w:t xml:space="preserve">2.3.2 The Deployment Pipeline</w:t>
      </w:r>
    </w:p>
    <w:p w:rsidR="00000000" w:rsidDel="00000000" w:rsidP="00000000" w:rsidRDefault="00000000" w:rsidRPr="00000000" w14:paraId="000000E7">
      <w:pPr>
        <w:rPr/>
      </w:pPr>
      <w:r w:rsidDel="00000000" w:rsidR="00000000" w:rsidRPr="00000000">
        <w:rPr>
          <w:rtl w:val="0"/>
        </w:rPr>
        <w:t xml:space="preserve">The second theoretical strand concerns the pipeline itself. The deployment pipeline concept holds that every change should travel to production through a single automated path, that each stage should give faster feedback than the one before, and that the path should be the only route by which change reaches production. The last point is the important one for this study: a pipeline that can be bypassed provides no guarantee, because the change that causes the incident is the change that went around it.</w:t>
      </w:r>
    </w:p>
    <w:p w:rsidR="00000000" w:rsidDel="00000000" w:rsidP="00000000" w:rsidRDefault="00000000" w:rsidRPr="00000000" w14:paraId="000000E8">
      <w:pPr>
        <w:rPr/>
      </w:pPr>
      <w:r w:rsidDel="00000000" w:rsidR="00000000" w:rsidRPr="00000000">
        <w:rPr>
          <w:rtl w:val="0"/>
        </w:rPr>
        <w:t xml:space="preserve">Hilton et al. (2016) provide the strongest quantitative support for the value of this path. Across 34,544 open-source projects, 40 per cent used a continuous integration service, adoption rose with project popularity from 23 per cent in the least popular group to 70 per cent in the most popular, and projects using CI averaged 0.54 releases per month against 0.24 for those that did not. Because the same projects released at 0.34 per month before adopting CI, the effect holds within projects and not only between them. Pull requests carrying CI information were accepted a median of 1.6 hours faster.</w:t>
      </w:r>
    </w:p>
    <w:p w:rsidR="00000000" w:rsidDel="00000000" w:rsidP="00000000" w:rsidRDefault="00000000" w:rsidRPr="00000000" w14:paraId="000000E9">
      <w:pPr>
        <w:rPr/>
      </w:pPr>
      <w:r w:rsidDel="00000000" w:rsidR="00000000" w:rsidRPr="00000000">
        <w:rPr>
          <w:rtl w:val="0"/>
        </w:rPr>
        <w:t xml:space="preserve">Applied to infrastructure, this reasoning produces the construct of pipeline integration depth. Writing Terraform files satisfies the version control principle, but if an engineer runs those files from a laptop, no reviewed gate exists and the audit trail records only that something was applied, not that anyone examined it first. Depth of integration is therefore expected to matter independently of the file format, which is why it enters the framework as a moderator rather than as a background detail.</w:t>
      </w:r>
    </w:p>
    <w:p w:rsidR="00000000" w:rsidDel="00000000" w:rsidP="00000000" w:rsidRDefault="00000000" w:rsidRPr="00000000" w14:paraId="000000EA">
      <w:pPr>
        <w:pStyle w:val="Heading3"/>
        <w:keepNext w:val="1"/>
        <w:rPr/>
      </w:pPr>
      <w:r w:rsidDel="00000000" w:rsidR="00000000" w:rsidRPr="00000000">
        <w:rPr>
          <w:rtl w:val="0"/>
        </w:rPr>
        <w:t xml:space="preserve">2.3.3 DevOps Capabilities and Outcome Measurement</w:t>
      </w:r>
    </w:p>
    <w:p w:rsidR="00000000" w:rsidDel="00000000" w:rsidP="00000000" w:rsidRDefault="00000000" w:rsidRPr="00000000" w14:paraId="000000EB">
      <w:pPr>
        <w:rPr/>
      </w:pPr>
      <w:r w:rsidDel="00000000" w:rsidR="00000000" w:rsidRPr="00000000">
        <w:rPr>
          <w:rtl w:val="0"/>
        </w:rPr>
        <w:t xml:space="preserve">The third strand supplies the logic of measurement. DevOps capability research treats practices such as version control for all production artefacts, deployment automation and trunk-based development as capabilities that can be assessed, and it evaluates them against outcome measures rather than against opinion. The measures conventionally used are delivery lead time, deployment frequency, change failure rate and time to restore service.</w:t>
      </w:r>
    </w:p>
    <w:p w:rsidR="00000000" w:rsidDel="00000000" w:rsidP="00000000" w:rsidRDefault="00000000" w:rsidRPr="00000000" w14:paraId="000000EC">
      <w:pPr>
        <w:rPr/>
      </w:pPr>
      <w:r w:rsidDel="00000000" w:rsidR="00000000" w:rsidRPr="00000000">
        <w:rPr>
          <w:rtl w:val="0"/>
        </w:rPr>
        <w:t xml:space="preserve">This study borrows the logic rather than the specific measures. Lead time and deployment frequency describe application delivery and are already automated in the case architecture, so they would not change. The equivalent infrastructure-side measures are provisioning duration, configuration drift, reproducibility and version-control coverage, and these are the four outcome variables adopted here. The contribution of the capability perspective is the insistence that a practice claim must be attached to a measurable outcome, which is precisely what the reviewed Terraform literature often fails to do.</w:t>
      </w:r>
    </w:p>
    <w:p w:rsidR="00000000" w:rsidDel="00000000" w:rsidP="00000000" w:rsidRDefault="00000000" w:rsidRPr="00000000" w14:paraId="000000ED">
      <w:pPr>
        <w:pStyle w:val="Heading3"/>
        <w:keepNext w:val="1"/>
        <w:rPr/>
      </w:pPr>
      <w:r w:rsidDel="00000000" w:rsidR="00000000" w:rsidRPr="00000000">
        <w:rPr>
          <w:rtl w:val="0"/>
        </w:rPr>
        <w:t xml:space="preserve">2.3.4 Technology Acceptance Models and Why They Are Not Adopted</w:t>
      </w:r>
    </w:p>
    <w:p w:rsidR="00000000" w:rsidDel="00000000" w:rsidP="00000000" w:rsidRDefault="00000000" w:rsidRPr="00000000" w14:paraId="000000EE">
      <w:pPr>
        <w:rPr/>
      </w:pPr>
      <w:r w:rsidDel="00000000" w:rsidR="00000000" w:rsidRPr="00000000">
        <w:rPr>
          <w:rtl w:val="0"/>
        </w:rPr>
        <w:t xml:space="preserve">Four behavioural frameworks dominate technology research and were considered before the framework above was settled on. The Technology Acceptance Model holds that intention to use a system is determined mainly by perceived usefulness and perceived ease of use (Davis, 1989). The Unified Theory of Acceptance and Use of Technology synthesised eight earlier models into performance expectancy, effort expectancy, social influence and facilitating conditions, moderated by gender, age, experience and voluntariness (Venkatesh et al., 2003). Diffusion of Innovations theory explains adoption over time through relative advantage, compatibility, complexity, trialability and observability (Rogers, 2003). The Theory of Planned Behaviour predicts behaviour from intention, itself a function of attitude, subjective norm and perceived behavioural control (Ajzen, 1991).</w:t>
      </w:r>
    </w:p>
    <w:p w:rsidR="00000000" w:rsidDel="00000000" w:rsidP="00000000" w:rsidRDefault="00000000" w:rsidRPr="00000000" w14:paraId="000000EF">
      <w:pPr>
        <w:rPr/>
      </w:pPr>
      <w:r w:rsidDel="00000000" w:rsidR="00000000" w:rsidRPr="00000000">
        <w:rPr>
          <w:rtl w:val="0"/>
        </w:rPr>
        <w:t xml:space="preserve">These frameworks are not used here, for one reason: their unit of analysis is a person and their dependent variable is a perception or an intention. The dependent variables in this study are properties of a system, measured by instrumentation rather than reported by respondents. Asking whether engineers find Terraform useful is a legitimate research question, and Rostami Mazrae et al. (2023) answer a version of it well, but it is not the question here. Adopting an acceptance model would require replacing measured provisioning duration with perceived provisioning speed, which would weaken the evidence rather than strengthen it.</w:t>
      </w:r>
    </w:p>
    <w:p w:rsidR="00000000" w:rsidDel="00000000" w:rsidP="00000000" w:rsidRDefault="00000000" w:rsidRPr="00000000" w14:paraId="000000F0">
      <w:pPr>
        <w:rPr/>
      </w:pPr>
      <w:r w:rsidDel="00000000" w:rsidR="00000000" w:rsidRPr="00000000">
        <w:rPr>
          <w:rtl w:val="0"/>
        </w:rPr>
        <w:t xml:space="preserve">The frameworks are nonetheless relevant at one point. Their common finding that facilitating conditions and perceived behavioural control constrain what individuals can enact, regardless of favourable attitudes, anticipates the qualitative element of this study. The implementation barriers that RQ4 investigates are, in that language, facilitating conditions.</w:t>
      </w:r>
    </w:p>
    <w:p w:rsidR="00000000" w:rsidDel="00000000" w:rsidP="00000000" w:rsidRDefault="00000000" w:rsidRPr="00000000" w14:paraId="000000F1">
      <w:pPr>
        <w:pStyle w:val="Heading3"/>
        <w:keepNext w:val="1"/>
        <w:rPr/>
      </w:pPr>
      <w:r w:rsidDel="00000000" w:rsidR="00000000" w:rsidRPr="00000000">
        <w:rPr>
          <w:rtl w:val="0"/>
        </w:rPr>
        <w:t xml:space="preserve">2.3.5 Justification of the Theoretical Framework Adopted</w:t>
      </w:r>
    </w:p>
    <w:p w:rsidR="00000000" w:rsidDel="00000000" w:rsidP="00000000" w:rsidRDefault="00000000" w:rsidRPr="00000000" w14:paraId="000000F2">
      <w:pPr>
        <w:rPr/>
      </w:pPr>
      <w:r w:rsidDel="00000000" w:rsidR="00000000" w:rsidRPr="00000000">
        <w:rPr>
          <w:rtl w:val="0"/>
        </w:rPr>
        <w:t xml:space="preserve">This study therefore adopts IaC principles as its primary framework, with the deployment pipeline concept supplying the integration construct and DevOps capability logic supplying the measurement approach. Three considerations support this choice.</w:t>
      </w:r>
    </w:p>
    <w:p w:rsidR="00000000" w:rsidDel="00000000" w:rsidP="00000000" w:rsidRDefault="00000000" w:rsidRPr="00000000" w14:paraId="000000F3">
      <w:pPr>
        <w:rPr/>
      </w:pPr>
      <w:r w:rsidDel="00000000" w:rsidR="00000000" w:rsidRPr="00000000">
        <w:rPr>
          <w:rtl w:val="0"/>
        </w:rPr>
        <w:t xml:space="preserve">First, the constructs map directly onto the research questions. Declarative specification and version control generate the expectations tested in H1 to H4, and the pipeline concept generates H5. Second, the resulting variables are measurable by instrumentation rather than by self-report, which removes common method bias as a threat and allows the study to report effect sizes based on observed values. Third, the framework is compatible with the closest existing study: Regvart et al. (2026) measured provisioning and destruction duration under controlled repeated conditions, which means the present study can adopt a validated procedure rather than invent one.</w:t>
      </w:r>
    </w:p>
    <w:p w:rsidR="00000000" w:rsidDel="00000000" w:rsidP="00000000" w:rsidRDefault="00000000" w:rsidRPr="00000000" w14:paraId="000000F4">
      <w:pPr>
        <w:rPr/>
      </w:pPr>
      <w:r w:rsidDel="00000000" w:rsidR="00000000" w:rsidRPr="00000000">
        <w:rPr>
          <w:rtl w:val="0"/>
        </w:rPr>
        <w:t xml:space="preserve">The framework is extended in one respect. Existing IaC research treats the presence of code as the intervention. This study argues that the presence of code and the enforcement of review are separable, and that the second produces the governance benefits usually attributed to the first. Pipeline integration depth is therefore added as a moderator, on the reasoning set out in Section 2.9.</w:t>
      </w:r>
    </w:p>
    <w:p w:rsidR="00000000" w:rsidDel="00000000" w:rsidP="00000000" w:rsidRDefault="00000000" w:rsidRPr="00000000" w14:paraId="000000F5">
      <w:pPr>
        <w:pStyle w:val="Heading2"/>
        <w:keepNext w:val="1"/>
        <w:rPr/>
      </w:pPr>
      <w:r w:rsidDel="00000000" w:rsidR="00000000" w:rsidRPr="00000000">
        <w:rPr>
          <w:rtl w:val="0"/>
        </w:rPr>
        <w:t xml:space="preserve">2.4 Conceptual Review of Key Constructs</w:t>
      </w:r>
    </w:p>
    <w:p w:rsidR="00000000" w:rsidDel="00000000" w:rsidP="00000000" w:rsidRDefault="00000000" w:rsidRPr="00000000" w14:paraId="000000F6">
      <w:pPr>
        <w:pStyle w:val="Heading3"/>
        <w:keepNext w:val="1"/>
        <w:rPr/>
      </w:pPr>
      <w:r w:rsidDel="00000000" w:rsidR="00000000" w:rsidRPr="00000000">
        <w:rPr>
          <w:rtl w:val="0"/>
        </w:rPr>
        <w:t xml:space="preserve">2.4.1 Outcome Measures</w:t>
      </w:r>
    </w:p>
    <w:p w:rsidR="00000000" w:rsidDel="00000000" w:rsidP="00000000" w:rsidRDefault="00000000" w:rsidRPr="00000000" w14:paraId="000000F7">
      <w:pPr>
        <w:rPr/>
      </w:pPr>
      <w:r w:rsidDel="00000000" w:rsidR="00000000" w:rsidRPr="00000000">
        <w:rPr>
          <w:rtl w:val="0"/>
        </w:rPr>
        <w:t xml:space="preserve">Provisioning duration is the elapsed time needed to bring an environment from nothing to working. It is the most frequently reported IaC outcome and the easiest to measure, but reported figures are hard to compare because architectures differ. Regvart et al. (2026) reported means of 253.33 seconds for Terraform, 279.37 for Pulumi and 622.97 for AWS CloudFormation on an architecture comprising a VPC, public and private subnets across two Availability Zones, an Internet Gateway with two NAT Gateways, an Application Load Balancer, an Auto Scaling group and an Amazon RDS database. Destruction times were longer in every case, at 466.23, 513.73 and 578.40 seconds respectively.</w:t>
      </w:r>
    </w:p>
    <w:p w:rsidR="00000000" w:rsidDel="00000000" w:rsidP="00000000" w:rsidRDefault="00000000" w:rsidRPr="00000000" w14:paraId="000000F8">
      <w:pPr>
        <w:rPr/>
      </w:pPr>
      <w:r w:rsidDel="00000000" w:rsidR="00000000" w:rsidRPr="00000000">
        <w:rPr>
          <w:rtl w:val="0"/>
        </w:rPr>
        <w:t xml:space="preserve">Configuration drift is unintended divergence between environments meant to be equivalent. It is discussed widely as a motivation for IaC but is rarely measured, in part because measuring it requires a definition of what counts as a difference. This study counts differing resource attributes, which is conservative in that it may record differences that are intentional; the treatment of intentional variation is described in Section 3.7.1.</w:t>
      </w:r>
    </w:p>
    <w:p w:rsidR="00000000" w:rsidDel="00000000" w:rsidP="00000000" w:rsidRDefault="00000000" w:rsidRPr="00000000" w14:paraId="000000F9">
      <w:pPr>
        <w:rPr/>
      </w:pPr>
      <w:r w:rsidDel="00000000" w:rsidR="00000000" w:rsidRPr="00000000">
        <w:rPr>
          <w:rtl w:val="0"/>
        </w:rPr>
        <w:t xml:space="preserve">Reproducibility is the ability to rebuild an environment identically from its definition. Regvart et al. (2026) report a related indicator, in that none of the three tools failed to deploy across thirty cycles, which establishes that repeated automated provisioning is reliable but not that the rebuilt environment matched the original attribute for attribute.</w:t>
      </w:r>
    </w:p>
    <w:p w:rsidR="00000000" w:rsidDel="00000000" w:rsidP="00000000" w:rsidRDefault="00000000" w:rsidRPr="00000000" w14:paraId="000000FA">
      <w:pPr>
        <w:rPr/>
      </w:pPr>
      <w:r w:rsidDel="00000000" w:rsidR="00000000" w:rsidRPr="00000000">
        <w:rPr>
          <w:rtl w:val="0"/>
        </w:rPr>
        <w:t xml:space="preserve">Version-control coverage is the proportion of infrastructure components defined in the repository. It is the least discussed of the four measures in the technical literature and the most important in a regulated setting, because it is the measure that corresponds to auditability.</w:t>
      </w:r>
    </w:p>
    <w:p w:rsidR="00000000" w:rsidDel="00000000" w:rsidP="00000000" w:rsidRDefault="00000000" w:rsidRPr="00000000" w14:paraId="000000FB">
      <w:pPr>
        <w:pStyle w:val="Heading3"/>
        <w:keepNext w:val="1"/>
        <w:rPr/>
      </w:pPr>
      <w:r w:rsidDel="00000000" w:rsidR="00000000" w:rsidRPr="00000000">
        <w:rPr>
          <w:rtl w:val="0"/>
        </w:rPr>
        <w:t xml:space="preserve">2.4.2 Provisioning Method</w:t>
      </w:r>
    </w:p>
    <w:p w:rsidR="00000000" w:rsidDel="00000000" w:rsidP="00000000" w:rsidRDefault="00000000" w:rsidRPr="00000000" w14:paraId="000000FC">
      <w:pPr>
        <w:rPr/>
      </w:pPr>
      <w:r w:rsidDel="00000000" w:rsidR="00000000" w:rsidRPr="00000000">
        <w:rPr>
          <w:rtl w:val="0"/>
        </w:rPr>
        <w:t xml:space="preserve">The provisioning method is the independent variable and takes two values: Terraform executed through the pipeline, and manual creation through the AWS console. Terraform's relevant properties are its declarative language, its module system, its plan-before-apply execution model and its state file. Regvart et al. (2026) attribute its lower failure rate to syntax validation, plan previews and state management, and note that its six discrete modules with directory-based isolation produced a more manageable structure than the nested YAML stacks of the native alternative.</w:t>
      </w:r>
    </w:p>
    <w:p w:rsidR="00000000" w:rsidDel="00000000" w:rsidP="00000000" w:rsidRDefault="00000000" w:rsidRPr="00000000" w14:paraId="000000FD">
      <w:pPr>
        <w:rPr/>
      </w:pPr>
      <w:r w:rsidDel="00000000" w:rsidR="00000000" w:rsidRPr="00000000">
        <w:rPr>
          <w:rtl w:val="0"/>
        </w:rPr>
        <w:t xml:space="preserve">Manual console provisioning has no equivalent literature, because it is the practice that research treats as the problem rather than as an object of study. This absence is itself part of the gap: the baseline against which IaC benefits are claimed has not been measured.</w:t>
      </w:r>
    </w:p>
    <w:p w:rsidR="00000000" w:rsidDel="00000000" w:rsidP="00000000" w:rsidRDefault="00000000" w:rsidRPr="00000000" w14:paraId="000000FE">
      <w:pPr>
        <w:pStyle w:val="Heading3"/>
        <w:keepNext w:val="1"/>
        <w:rPr/>
      </w:pPr>
      <w:r w:rsidDel="00000000" w:rsidR="00000000" w:rsidRPr="00000000">
        <w:rPr>
          <w:rtl w:val="0"/>
        </w:rPr>
        <w:t xml:space="preserve">2.4.3 Pipeline Integration Depth</w:t>
      </w:r>
    </w:p>
    <w:p w:rsidR="00000000" w:rsidDel="00000000" w:rsidP="00000000" w:rsidRDefault="00000000" w:rsidRPr="00000000" w14:paraId="000000FF">
      <w:pPr>
        <w:rPr/>
      </w:pPr>
      <w:r w:rsidDel="00000000" w:rsidR="00000000" w:rsidRPr="00000000">
        <w:rPr>
          <w:rtl w:val="0"/>
        </w:rPr>
        <w:t xml:space="preserve">Pipeline integration depth is the proposed additional construct and is defined as the degree to which infrastructure changes are compelled to pass through automated validation and human review before taking effect. It is treated as ordered rather than binary, with three levels: local execution with no review, validation and plan on pull request, and validation with plan and gated apply on merge.</w:t>
      </w:r>
    </w:p>
    <w:p w:rsidR="00000000" w:rsidDel="00000000" w:rsidP="00000000" w:rsidRDefault="00000000" w:rsidRPr="00000000" w14:paraId="00000100">
      <w:pPr>
        <w:rPr/>
      </w:pPr>
      <w:r w:rsidDel="00000000" w:rsidR="00000000" w:rsidRPr="00000000">
        <w:rPr>
          <w:rtl w:val="0"/>
        </w:rPr>
        <w:t xml:space="preserve">Its inclusion is justified both empirically and theoretically. Empirically, Verdet et al. (2025) demonstrated across 812 projects that Terraform code frequently violates security policies, particularly on encryption at rest, which shows that writing code does not by itself produce good configuration; something must inspect it. Begoug et al. (2025) showed that Terraform module dependencies fall behind and stay behind, which again indicates that a code artefact left unreviewed deteriorates. Theoretically, the deployment pipeline concept holds that a path which can be bypassed provides no guarantee, from which it follows that the depth of enforcement should predict outcomes independently of the tooling.</w:t>
      </w:r>
    </w:p>
    <w:p w:rsidR="00000000" w:rsidDel="00000000" w:rsidP="00000000" w:rsidRDefault="00000000" w:rsidRPr="00000000" w14:paraId="00000101">
      <w:pPr>
        <w:pStyle w:val="Heading2"/>
        <w:keepNext w:val="1"/>
        <w:rPr/>
      </w:pPr>
      <w:r w:rsidDel="00000000" w:rsidR="00000000" w:rsidRPr="00000000">
        <w:rPr>
          <w:rtl w:val="0"/>
        </w:rPr>
        <w:t xml:space="preserve">2.5 Review of Previous Empirical Studies</w:t>
      </w:r>
    </w:p>
    <w:p w:rsidR="00000000" w:rsidDel="00000000" w:rsidP="00000000" w:rsidRDefault="00000000" w:rsidRPr="00000000" w14:paraId="00000102">
      <w:pPr>
        <w:pStyle w:val="Heading3"/>
        <w:keepNext w:val="1"/>
        <w:rPr/>
      </w:pPr>
      <w:r w:rsidDel="00000000" w:rsidR="00000000" w:rsidRPr="00000000">
        <w:rPr>
          <w:rtl w:val="0"/>
        </w:rPr>
        <w:t xml:space="preserve">2.5.1 Evidence from International Studies</w:t>
      </w:r>
    </w:p>
    <w:p w:rsidR="00000000" w:rsidDel="00000000" w:rsidP="00000000" w:rsidRDefault="00000000" w:rsidRPr="00000000" w14:paraId="00000103">
      <w:pPr>
        <w:rPr/>
      </w:pPr>
      <w:r w:rsidDel="00000000" w:rsidR="00000000" w:rsidRPr="00000000">
        <w:rPr>
          <w:rtl w:val="0"/>
        </w:rPr>
        <w:t xml:space="preserve">Five studies are reviewed in detail. Each is presented with its method, problem, questions, data collection and results, and each is drawn on in the sections that follow.</w:t>
      </w:r>
    </w:p>
    <w:p w:rsidR="00000000" w:rsidDel="00000000" w:rsidP="00000000" w:rsidRDefault="00000000" w:rsidRPr="00000000" w14:paraId="00000104">
      <w:pPr>
        <w:rPr/>
      </w:pPr>
      <w:r w:rsidDel="00000000" w:rsidR="00000000" w:rsidRPr="00000000">
        <w:rPr>
          <w:rtl w:val="0"/>
        </w:rPr>
        <w:t xml:space="preserve">Study 1: Regvart, Vlahović and Balković (2026), quantitative. This study addresses the fact that although IaC underpins automated cloud provisioning in DevOps teams, controlled comparisons of the leading tools under identical conditions are scarce; the authors observe that most comparisons rest on opinion, a handful of test runs or anecdote, and few repeat their tests enough times to be trustworthy. Two questions are asked: how the tools differ in observed operational efficiency, and whether the IaC paradigm affects maintainability and deployment stability. The same AWS architecture was implemented three times, once in Terraform, once in Pulumi and once in AWS CloudFormation, then deployed and destroyed thirty times each, giving ninety runs. All runs used the same AWS account, the same region, the same credentials, one dedicated Fedora Linux machine and a wired connection, with no concurrent provisioning; timings came from shell scripts recording Unix timestamps around each stage, and every cycle began from a cleared cloud state. Terraform provisioned in 253.33 seconds on average (SD 8.42), Pulumi in 279.37 (SD 9.89) and CloudFormation in 622.97 (SD 29.92), making CloudFormation roughly 2.4 times slower than Terraform. Terraform and Pulumi were consistent, with skewness below 0.2, while CloudFormation showed higher skewness and kurtosis. No tool failed to deploy across the thirty cycles. The authors also note that in pipelines billed per runner-minute, a 2.4-fold difference in duration is a 2.4-fold difference in cost.</w:t>
      </w:r>
    </w:p>
    <w:p w:rsidR="00000000" w:rsidDel="00000000" w:rsidP="00000000" w:rsidRDefault="00000000" w:rsidRPr="00000000" w14:paraId="00000105">
      <w:pPr>
        <w:rPr/>
      </w:pPr>
      <w:r w:rsidDel="00000000" w:rsidR="00000000" w:rsidRPr="00000000">
        <w:rPr>
          <w:rtl w:val="0"/>
        </w:rPr>
        <w:t xml:space="preserve">This is the closest available precedent for the present study, both in architecture and in method, and the procedure adopted in Chapter 3 follows it deliberately. The difference in research questions is stated in Section 2.7.</w:t>
      </w:r>
    </w:p>
    <w:p w:rsidR="00000000" w:rsidDel="00000000" w:rsidP="00000000" w:rsidRDefault="00000000" w:rsidRPr="00000000" w14:paraId="00000106">
      <w:pPr>
        <w:rPr/>
      </w:pPr>
      <w:r w:rsidDel="00000000" w:rsidR="00000000" w:rsidRPr="00000000">
        <w:rPr>
          <w:rtl w:val="0"/>
        </w:rPr>
        <w:t xml:space="preserve">Study 2: Verdet, Hamdaqa, Da Silva and Khomh (2025), quantitative. The problem addressed is that IaC lets teams manage cloud resources through scripts but does not prevent them from writing those scripts badly; misconfigurations, security weaknesses and privacy risks can be committed as easily as good code, so security depends on whether engineers know the relevant policies and apply them, which had not been measured. The study asks which categories of security policy practitioners apply in Terraform files, which they neglect, and whether the pattern differs across AWS, Azure and Google Cloud. Data came from 812 open-source GitHub projects containing Terraform configurations, each scanned with two static analysis tools, Checkov and tfsec, with every check recorded as implemented or violated; policies were drawn from the Center for Internet Security benchmarks for each provider and from the AWS Foundational Security Best Practices standard, and the dataset and scripts were published for replication. Access policy was the most widely adopted category across all three providers, while encryption at rest was the most neglected, and AWS and Azure behaved similarly in terms of which policies received attention.</w:t>
      </w:r>
    </w:p>
    <w:p w:rsidR="00000000" w:rsidDel="00000000" w:rsidP="00000000" w:rsidRDefault="00000000" w:rsidRPr="00000000" w14:paraId="00000107">
      <w:pPr>
        <w:rPr/>
      </w:pPr>
      <w:r w:rsidDel="00000000" w:rsidR="00000000" w:rsidRPr="00000000">
        <w:rPr>
          <w:rtl w:val="0"/>
        </w:rPr>
        <w:t xml:space="preserve">This study supplies the security rationale for including static analysis in the pipeline design and supports the argument in Section 2.4.3 that code requires inspection to be trustworthy.</w:t>
      </w:r>
    </w:p>
    <w:p w:rsidR="00000000" w:rsidDel="00000000" w:rsidP="00000000" w:rsidRDefault="00000000" w:rsidRPr="00000000" w14:paraId="00000108">
      <w:pPr>
        <w:rPr/>
      </w:pPr>
      <w:r w:rsidDel="00000000" w:rsidR="00000000" w:rsidRPr="00000000">
        <w:rPr>
          <w:rtl w:val="0"/>
        </w:rPr>
        <w:t xml:space="preserve">Study 3: Begoug, Ouni and Chouchen (2025), quantitative with qualitative coding. IaC tools support reuse through modules, which behave as dependencies and are updated by their authors to add features, fix defects and patch vulnerabilities, yet how practitioners handle those updates was not understood. The study asks how often teams update module dependencies, how long configurations remain outdated relative to upstream releases, a phenomenon the authors call technical lag, and what motivates updates when they occur. Terraform configurations were mined from open-source repositories, declared module versions were tracked against upstream releases over time to compute update frequency and lag, and update commits were read to classify motivations. The study documents that updates are frequently postponed and that the resulting technical lag can persist for months in active projects, creating compatibility risk and leaving known vulnerabilities in deployed infrastructure; the authors argue that IaC modules need better lifecycle management support than they currently receive.</w:t>
      </w:r>
    </w:p>
    <w:p w:rsidR="00000000" w:rsidDel="00000000" w:rsidP="00000000" w:rsidRDefault="00000000" w:rsidRPr="00000000" w14:paraId="00000109">
      <w:pPr>
        <w:rPr/>
      </w:pPr>
      <w:r w:rsidDel="00000000" w:rsidR="00000000" w:rsidRPr="00000000">
        <w:rPr>
          <w:rtl w:val="0"/>
        </w:rPr>
        <w:t xml:space="preserve">This study justifies the module version-pinning decisions described in Section 3.7.1 and contributes to the argument that IaC introduces maintenance obligations as well as benefits.</w:t>
      </w:r>
    </w:p>
    <w:p w:rsidR="00000000" w:rsidDel="00000000" w:rsidP="00000000" w:rsidRDefault="00000000" w:rsidRPr="00000000" w14:paraId="0000010A">
      <w:pPr>
        <w:rPr/>
      </w:pPr>
      <w:r w:rsidDel="00000000" w:rsidR="00000000" w:rsidRPr="00000000">
        <w:rPr>
          <w:rtl w:val="0"/>
        </w:rPr>
        <w:t xml:space="preserve">Study 4: Rostami Mazrae, Mens, Golzadeh and Decan (2023), qualitative. Earlier quantitative work had shown the CI/CD landscape changing quickly, with cloud services growing and many projects switching tools, but could not explain why those changes happened. The study asks which CI tools are used, why teams adopt CI, which activities they automate, which features they value, what shortcomings they encounter, why they run several tools at once, why they migrate and what makes migration difficult. Twenty-two experienced practitioners were interviewed over video call between November 2021 and February 2022, each for 30 to 45 minutes, after signing a consent form; candidates had to meet at least two of three criteria concerning project responsibility, knowledge of the tool decision and hands-on maintenance of the CI process. Recordings were transcribed, cleaned and anonymised by one author and checked by a second. Transcripts were coded inductively and then deductively, with a second author verifying each codebook and a third resolving disagreements. Interviewing stopped at saturation, reached after the twentieth interview. Respondents reported 31 different CI tools. GitHub Actions was used by 18 of the 22 at the time of interview; Travis had been used by 15 but retained only 1; Jenkins had been used by 16 and retained 9. Teams adopted CI for reliability, quality, productivity, security, faster delivery, rapid feedback, lower cost and transparency, and notably many named security as a reason to automate, whereas earlier research had recorded it as a reason to avoid CI. Build automation and unit testing were the first activities automated, each named by 9 respondents, while security analysis (8), packaging and deployment (7), code quality analysis (7), checking non-code artefacts (7) and dependency management (5) were added later. GitHub Actions was valued for integration with GitHub, its free tier, operating system coverage, its marketplace of reusable actions, ease of use, speed and credential handling, and criticised for having too many configuration options with no good default, a sparse interface with poor workflow visualisation, no deployment history and security concerns around credentials and self-hosted runners. Thirteen respondents had run more than one CI tool at once, usually to cover more operating systems, obtain missing features, keep a backup or work around free-tier limits. Respondents described 32 completed migrations across 12 tools, of which 15 moved away from Travis and 17 towards GitHub Actions, with Travis to GitHub Actions the single most common path at 9 migrations. Eighteen respondents reported migration difficulties, the recurring one being the learning curve of a new YAML syntax, made worse by the impossibility of testing a workflow locally.</w:t>
      </w:r>
    </w:p>
    <w:p w:rsidR="00000000" w:rsidDel="00000000" w:rsidP="00000000" w:rsidRDefault="00000000" w:rsidRPr="00000000" w14:paraId="0000010B">
      <w:pPr>
        <w:rPr/>
      </w:pPr>
      <w:r w:rsidDel="00000000" w:rsidR="00000000" w:rsidRPr="00000000">
        <w:rPr>
          <w:rtl w:val="0"/>
        </w:rPr>
        <w:t xml:space="preserve">This study justifies building on GitHub Actions rather than an alternative, and its account of configuration difficulty and the commit-push-wait feedback loop informs both the timeline in Table 3.5 and the expected content of the implementation log analysed in the qualitative strand.</w:t>
      </w:r>
    </w:p>
    <w:p w:rsidR="00000000" w:rsidDel="00000000" w:rsidP="00000000" w:rsidRDefault="00000000" w:rsidRPr="00000000" w14:paraId="0000010C">
      <w:pPr>
        <w:rPr/>
      </w:pPr>
      <w:r w:rsidDel="00000000" w:rsidR="00000000" w:rsidRPr="00000000">
        <w:rPr>
          <w:rtl w:val="0"/>
        </w:rPr>
        <w:t xml:space="preserve">Study 5: Villamizar et al. (2017), quantitative. Large internet companies had adopted microservices in order to develop, test, deploy, scale and upgrade small services independently, and the benefits in agility were well established, but the effect on infrastructure cost was not, even though cost is a major consideration for any organisation weighing the pattern. The study asks how AWS infrastructure cost differs between a monolithic architecture, a microservice architecture operated by the cloud customer and a microservice architecture operated by the cloud provider using AWS Lambda, and whether response times hold as user numbers grow. The same web application was built and deployed three times, once per architecture, and all three were run through identical scalable test scenarios; the deployments used EC2 for compute, RDS for the database and Elastic Load Balancing, with the third built on AWS Lambda and API Gateway, and infrastructure cost was calculated per million requests for each scenario. Moving from the monolith to customer-operated microservices reduced cost by roughly 9.5 to 13.8 per cent per scenario. The provider-operated version reduced cost by roughly 50 to 57 per cent relative to customer-operated microservices and by roughly 55 to 63 per cent relative to the monolith, which the authors summarise as 70 per cent or more in the best case. Separately, the provider-operated version maintained performance and response times as user numbers increased, while the customer-operated microservices did not.</w:t>
      </w:r>
    </w:p>
    <w:p w:rsidR="00000000" w:rsidDel="00000000" w:rsidP="00000000" w:rsidRDefault="00000000" w:rsidRPr="00000000" w14:paraId="0000010D">
      <w:pPr>
        <w:rPr/>
      </w:pPr>
      <w:r w:rsidDel="00000000" w:rsidR="00000000" w:rsidRPr="00000000">
        <w:rPr>
          <w:rtl w:val="0"/>
        </w:rPr>
        <w:t xml:space="preserve">This study establishes that architecture decisions on AWS carry measurable consequences and supplies a second precedent for the design logic used here, namely deploying the same system several ways and comparing them under identical conditions. Its finding on provider-managed scaling also supports the case architecture's use of AWS Fargate and Auto Scaling rather than self-managed instances.</w:t>
      </w:r>
    </w:p>
    <w:p w:rsidR="00000000" w:rsidDel="00000000" w:rsidP="00000000" w:rsidRDefault="00000000" w:rsidRPr="00000000" w14:paraId="0000010E">
      <w:pPr>
        <w:pStyle w:val="Heading3"/>
        <w:keepNext w:val="1"/>
        <w:rPr/>
      </w:pPr>
      <w:r w:rsidDel="00000000" w:rsidR="00000000" w:rsidRPr="00000000">
        <w:rPr>
          <w:rtl w:val="0"/>
        </w:rPr>
        <w:t xml:space="preserve">2.5.2 Evidence from Southeast Asia</w:t>
      </w:r>
    </w:p>
    <w:p w:rsidR="00000000" w:rsidDel="00000000" w:rsidP="00000000" w:rsidRDefault="00000000" w:rsidRPr="00000000" w14:paraId="0000010F">
      <w:pPr>
        <w:rPr/>
      </w:pPr>
      <w:r w:rsidDel="00000000" w:rsidR="00000000" w:rsidRPr="00000000">
        <w:rPr>
          <w:rtl w:val="0"/>
        </w:rPr>
        <w:t xml:space="preserve">Regional evidence on IaC is very limited. Searches combining Terraform or Infrastructure as Code with Southeast Asia, Cambodia, Vietnam, Thailand, Indonesia or the Philippines returned no peer-reviewed empirical studies measuring IaC adoption or performance in an organisation in the region. What regional literature exists on cloud computing addresses adoption intention among individuals and small enterprises, using the acceptance frameworks discussed in Section 2.3.4, and therefore examines perceptions rather than provisioning behaviour.</w:t>
      </w:r>
    </w:p>
    <w:p w:rsidR="00000000" w:rsidDel="00000000" w:rsidP="00000000" w:rsidRDefault="00000000" w:rsidRPr="00000000" w14:paraId="00000110">
      <w:pPr>
        <w:rPr/>
      </w:pPr>
      <w:r w:rsidDel="00000000" w:rsidR="00000000" w:rsidRPr="00000000">
        <w:rPr>
          <w:rtl w:val="0"/>
        </w:rPr>
        <w:t xml:space="preserve">This absence has a methodological consequence worth stating plainly. Because no regional baseline exists, the present study cannot position its results against comparable local work and must instead compare them with the international studies reviewed above, accepting that differences in team size, tooling maturity and regulatory environment may account for some of any divergence. Establishing a first local data point is one of the study's contributions rather than an incidental feature of it.</w:t>
      </w:r>
    </w:p>
    <w:p w:rsidR="00000000" w:rsidDel="00000000" w:rsidP="00000000" w:rsidRDefault="00000000" w:rsidRPr="00000000" w14:paraId="00000111">
      <w:pPr>
        <w:pStyle w:val="Heading3"/>
        <w:keepNext w:val="1"/>
        <w:rPr/>
      </w:pPr>
      <w:r w:rsidDel="00000000" w:rsidR="00000000" w:rsidRPr="00000000">
        <w:rPr>
          <w:rtl w:val="0"/>
        </w:rPr>
        <w:t xml:space="preserve">2.5.3 Evidence from Cambodia</w:t>
      </w:r>
    </w:p>
    <w:p w:rsidR="00000000" w:rsidDel="00000000" w:rsidP="00000000" w:rsidRDefault="00000000" w:rsidRPr="00000000" w14:paraId="00000112">
      <w:pPr>
        <w:rPr/>
      </w:pPr>
      <w:r w:rsidDel="00000000" w:rsidR="00000000" w:rsidRPr="00000000">
        <w:rPr>
          <w:rtl w:val="0"/>
        </w:rPr>
        <w:t xml:space="preserve">To this researcher's knowledge, no published study examines Infrastructure as Code, Terraform or CI/CD practice in a Cambodian organisation. The Cambodian technology literature that does exist concerns digital financial service adoption, mobile payment use and information systems in the public sector, and addresses users rather than engineering practice. Grey literature from the National Bank of Cambodia and from sector bodies documents expectations for controlled change management in financial institutions but does not examine how those expectations are met technically.</w:t>
      </w:r>
    </w:p>
    <w:p w:rsidR="00000000" w:rsidDel="00000000" w:rsidP="00000000" w:rsidRDefault="00000000" w:rsidRPr="00000000" w14:paraId="00000113">
      <w:pPr>
        <w:rPr/>
      </w:pPr>
      <w:r w:rsidDel="00000000" w:rsidR="00000000" w:rsidRPr="00000000">
        <w:rPr>
          <w:rtl w:val="0"/>
        </w:rPr>
        <w:t xml:space="preserve">This matters for two reasons. First, the regulatory expectation of auditable change is what makes version-control coverage a compliance measure rather than a convenience in this setting, and that framing does not appear in the international literature, which draws mainly on open-source projects with no such obligation. Second, the practical constraints of a Cambodian engineering team, including team size, the availability of engineers with Terraform experience and the cost sensitivity of cloud spend, plausibly affect both the feasibility and the value of IaC adoption. Neither has been documented.</w:t>
      </w:r>
    </w:p>
    <w:p w:rsidR="00000000" w:rsidDel="00000000" w:rsidP="00000000" w:rsidRDefault="00000000" w:rsidRPr="00000000" w14:paraId="00000114">
      <w:pPr>
        <w:pStyle w:val="Heading2"/>
        <w:keepNext w:val="1"/>
        <w:rPr/>
      </w:pPr>
      <w:r w:rsidDel="00000000" w:rsidR="00000000" w:rsidRPr="00000000">
        <w:rPr>
          <w:rtl w:val="0"/>
        </w:rPr>
        <w:t xml:space="preserve">2.6 Comparison of Selected Empirical Studies</w:t>
      </w:r>
    </w:p>
    <w:p w:rsidR="00000000" w:rsidDel="00000000" w:rsidP="00000000" w:rsidRDefault="00000000" w:rsidRPr="00000000" w14:paraId="00000115">
      <w:pPr>
        <w:rPr/>
      </w:pPr>
      <w:r w:rsidDel="00000000" w:rsidR="00000000" w:rsidRPr="00000000">
        <w:rPr>
          <w:rtl w:val="0"/>
        </w:rPr>
        <w:t xml:space="preserve">Table 2.1 compares the studies reviewed above, together with three further studies included as supporting evidence on IaC practice. The comparison sets out design, sample, framework, principal findings and limitations, and makes visible both what the literature establishes and what it leaves untouched.</w:t>
      </w:r>
    </w:p>
    <w:p w:rsidR="00000000" w:rsidDel="00000000" w:rsidP="00000000" w:rsidRDefault="00000000" w:rsidRPr="00000000" w14:paraId="00000116">
      <w:pPr>
        <w:keepNext w:val="1"/>
        <w:spacing w:after="100" w:before="200" w:line="240" w:lineRule="auto"/>
        <w:jc w:val="left"/>
        <w:rPr/>
      </w:pPr>
      <w:r w:rsidDel="00000000" w:rsidR="00000000" w:rsidRPr="00000000">
        <w:rPr>
          <w:b w:val="1"/>
          <w:bCs w:val="1"/>
          <w:rtl w:val="0"/>
        </w:rPr>
        <w:t xml:space="preserve">Table 2.1 </w:t>
      </w:r>
      <w:r w:rsidDel="00000000" w:rsidR="00000000" w:rsidRPr="00000000">
        <w:rPr>
          <w:i w:val="1"/>
          <w:iCs w:val="1"/>
          <w:rtl w:val="0"/>
        </w:rPr>
        <w:t xml:space="preserve">Comparison of Selected Empirical Studies</w:t>
      </w:r>
      <w:r w:rsidDel="00000000" w:rsidR="00000000" w:rsidRPr="00000000">
        <w:rPr>
          <w:rtl w:val="0"/>
        </w:rPr>
      </w:r>
    </w:p>
    <w:tbl>
      <w:tblPr>
        <w:tblStyle w:val="Table3"/>
        <w:tblW w:w="8640.0" w:type="dxa"/>
        <w:jc w:val="left"/>
        <w:tblBorders>
          <w:top w:color="000000" w:space="0" w:sz="6" w:val="single"/>
          <w:left w:color="000000" w:space="0" w:sz="0" w:val="nil"/>
          <w:bottom w:color="000000" w:space="0" w:sz="6" w:val="single"/>
          <w:right w:color="000000" w:space="0" w:sz="0" w:val="nil"/>
          <w:insideH w:color="bfbfbf" w:space="0" w:sz="4" w:val="single"/>
          <w:insideV w:color="000000" w:space="0" w:sz="0" w:val="nil"/>
        </w:tblBorders>
        <w:tblLayout w:type="fixed"/>
        <w:tblLook w:val="0000"/>
      </w:tblPr>
      <w:tblGrid>
        <w:gridCol w:w="1500"/>
        <w:gridCol w:w="1700"/>
        <w:gridCol w:w="1500"/>
        <w:gridCol w:w="2140"/>
        <w:gridCol w:w="1800"/>
        <w:tblGridChange w:id="0">
          <w:tblGrid>
            <w:gridCol w:w="1500"/>
            <w:gridCol w:w="1700"/>
            <w:gridCol w:w="1500"/>
            <w:gridCol w:w="2140"/>
            <w:gridCol w:w="1800"/>
          </w:tblGrid>
        </w:tblGridChange>
      </w:tblGrid>
      <w:tr>
        <w:trPr>
          <w:cantSplit w:val="0"/>
          <w:tblHeader w:val="1"/>
        </w:trPr>
        <w:tc>
          <w:tcPr>
            <w:shd w:fill="edeff3" w:val="clear"/>
            <w:tcMar>
              <w:top w:w="80.0" w:type="dxa"/>
              <w:left w:w="110.0" w:type="dxa"/>
              <w:bottom w:w="80.0" w:type="dxa"/>
              <w:right w:w="110.0" w:type="dxa"/>
            </w:tcMar>
            <w:vAlign w:val="center"/>
          </w:tcPr>
          <w:p w:rsidR="00000000" w:rsidDel="00000000" w:rsidP="00000000" w:rsidRDefault="00000000" w:rsidRPr="00000000" w14:paraId="00000117">
            <w:pPr>
              <w:spacing w:after="40" w:line="240" w:lineRule="auto"/>
              <w:jc w:val="left"/>
              <w:rPr/>
            </w:pPr>
            <w:r w:rsidDel="00000000" w:rsidR="00000000" w:rsidRPr="00000000">
              <w:rPr>
                <w:b w:val="1"/>
                <w:bCs w:val="1"/>
                <w:sz w:val="20"/>
                <w:szCs w:val="20"/>
                <w:rtl w:val="0"/>
              </w:rPr>
              <w:t xml:space="preserve">Study</w:t>
            </w:r>
            <w:r w:rsidDel="00000000" w:rsidR="00000000" w:rsidRPr="00000000">
              <w:rPr>
                <w:rtl w:val="0"/>
              </w:rPr>
            </w:r>
          </w:p>
        </w:tc>
        <w:tc>
          <w:tcPr>
            <w:shd w:fill="edeff3" w:val="clear"/>
            <w:tcMar>
              <w:top w:w="80.0" w:type="dxa"/>
              <w:left w:w="110.0" w:type="dxa"/>
              <w:bottom w:w="80.0" w:type="dxa"/>
              <w:right w:w="110.0" w:type="dxa"/>
            </w:tcMar>
            <w:vAlign w:val="center"/>
          </w:tcPr>
          <w:p w:rsidR="00000000" w:rsidDel="00000000" w:rsidP="00000000" w:rsidRDefault="00000000" w:rsidRPr="00000000" w14:paraId="00000118">
            <w:pPr>
              <w:spacing w:after="40" w:line="240" w:lineRule="auto"/>
              <w:jc w:val="left"/>
              <w:rPr/>
            </w:pPr>
            <w:r w:rsidDel="00000000" w:rsidR="00000000" w:rsidRPr="00000000">
              <w:rPr>
                <w:b w:val="1"/>
                <w:bCs w:val="1"/>
                <w:sz w:val="20"/>
                <w:szCs w:val="20"/>
                <w:rtl w:val="0"/>
              </w:rPr>
              <w:t xml:space="preserve">Context &amp; Sample</w:t>
            </w:r>
            <w:r w:rsidDel="00000000" w:rsidR="00000000" w:rsidRPr="00000000">
              <w:rPr>
                <w:rtl w:val="0"/>
              </w:rPr>
            </w:r>
          </w:p>
        </w:tc>
        <w:tc>
          <w:tcPr>
            <w:shd w:fill="edeff3" w:val="clear"/>
            <w:tcMar>
              <w:top w:w="80.0" w:type="dxa"/>
              <w:left w:w="110.0" w:type="dxa"/>
              <w:bottom w:w="80.0" w:type="dxa"/>
              <w:right w:w="110.0" w:type="dxa"/>
            </w:tcMar>
            <w:vAlign w:val="center"/>
          </w:tcPr>
          <w:p w:rsidR="00000000" w:rsidDel="00000000" w:rsidP="00000000" w:rsidRDefault="00000000" w:rsidRPr="00000000" w14:paraId="00000119">
            <w:pPr>
              <w:spacing w:after="40" w:line="240" w:lineRule="auto"/>
              <w:jc w:val="left"/>
              <w:rPr/>
            </w:pPr>
            <w:r w:rsidDel="00000000" w:rsidR="00000000" w:rsidRPr="00000000">
              <w:rPr>
                <w:b w:val="1"/>
                <w:bCs w:val="1"/>
                <w:sz w:val="20"/>
                <w:szCs w:val="20"/>
                <w:rtl w:val="0"/>
              </w:rPr>
              <w:t xml:space="preserve">Design / Theory</w:t>
            </w:r>
            <w:r w:rsidDel="00000000" w:rsidR="00000000" w:rsidRPr="00000000">
              <w:rPr>
                <w:rtl w:val="0"/>
              </w:rPr>
            </w:r>
          </w:p>
        </w:tc>
        <w:tc>
          <w:tcPr>
            <w:shd w:fill="edeff3" w:val="clear"/>
            <w:tcMar>
              <w:top w:w="80.0" w:type="dxa"/>
              <w:left w:w="110.0" w:type="dxa"/>
              <w:bottom w:w="80.0" w:type="dxa"/>
              <w:right w:w="110.0" w:type="dxa"/>
            </w:tcMar>
            <w:vAlign w:val="center"/>
          </w:tcPr>
          <w:p w:rsidR="00000000" w:rsidDel="00000000" w:rsidP="00000000" w:rsidRDefault="00000000" w:rsidRPr="00000000" w14:paraId="0000011A">
            <w:pPr>
              <w:spacing w:after="40" w:line="240" w:lineRule="auto"/>
              <w:jc w:val="left"/>
              <w:rPr/>
            </w:pPr>
            <w:r w:rsidDel="00000000" w:rsidR="00000000" w:rsidRPr="00000000">
              <w:rPr>
                <w:b w:val="1"/>
                <w:bCs w:val="1"/>
                <w:sz w:val="20"/>
                <w:szCs w:val="20"/>
                <w:rtl w:val="0"/>
              </w:rPr>
              <w:t xml:space="preserve">Key Findings</w:t>
            </w:r>
            <w:r w:rsidDel="00000000" w:rsidR="00000000" w:rsidRPr="00000000">
              <w:rPr>
                <w:rtl w:val="0"/>
              </w:rPr>
            </w:r>
          </w:p>
        </w:tc>
        <w:tc>
          <w:tcPr>
            <w:shd w:fill="edeff3" w:val="clear"/>
            <w:tcMar>
              <w:top w:w="80.0" w:type="dxa"/>
              <w:left w:w="110.0" w:type="dxa"/>
              <w:bottom w:w="80.0" w:type="dxa"/>
              <w:right w:w="110.0" w:type="dxa"/>
            </w:tcMar>
            <w:vAlign w:val="center"/>
          </w:tcPr>
          <w:p w:rsidR="00000000" w:rsidDel="00000000" w:rsidP="00000000" w:rsidRDefault="00000000" w:rsidRPr="00000000" w14:paraId="0000011B">
            <w:pPr>
              <w:spacing w:after="40" w:line="240" w:lineRule="auto"/>
              <w:jc w:val="left"/>
              <w:rPr/>
            </w:pPr>
            <w:r w:rsidDel="00000000" w:rsidR="00000000" w:rsidRPr="00000000">
              <w:rPr>
                <w:b w:val="1"/>
                <w:bCs w:val="1"/>
                <w:sz w:val="20"/>
                <w:szCs w:val="20"/>
                <w:rtl w:val="0"/>
              </w:rPr>
              <w:t xml:space="preserve">Limitations</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1C">
            <w:pPr>
              <w:spacing w:after="0" w:line="250" w:lineRule="auto"/>
              <w:jc w:val="left"/>
              <w:rPr>
                <w:sz w:val="20"/>
                <w:szCs w:val="20"/>
              </w:rPr>
            </w:pPr>
            <w:r w:rsidDel="00000000" w:rsidR="00000000" w:rsidRPr="00000000">
              <w:rPr>
                <w:sz w:val="20"/>
                <w:szCs w:val="20"/>
                <w:rtl w:val="0"/>
              </w:rPr>
              <w:t xml:space="preserve">Regvart et al. (2026)</w:t>
            </w:r>
          </w:p>
        </w:tc>
        <w:tc>
          <w:tcPr>
            <w:tcMar>
              <w:top w:w="70.0" w:type="dxa"/>
              <w:left w:w="110.0" w:type="dxa"/>
              <w:bottom w:w="70.0" w:type="dxa"/>
              <w:right w:w="110.0" w:type="dxa"/>
            </w:tcMar>
          </w:tcPr>
          <w:p w:rsidR="00000000" w:rsidDel="00000000" w:rsidP="00000000" w:rsidRDefault="00000000" w:rsidRPr="00000000" w14:paraId="0000011D">
            <w:pPr>
              <w:spacing w:after="0" w:line="250" w:lineRule="auto"/>
              <w:jc w:val="left"/>
              <w:rPr>
                <w:sz w:val="20"/>
                <w:szCs w:val="20"/>
              </w:rPr>
            </w:pPr>
            <w:r w:rsidDel="00000000" w:rsidR="00000000" w:rsidRPr="00000000">
              <w:rPr>
                <w:sz w:val="20"/>
                <w:szCs w:val="20"/>
                <w:rtl w:val="0"/>
              </w:rPr>
              <w:t xml:space="preserve">AWS, eu-central-1; 3 tools × 30 runs = 90 runs</w:t>
            </w:r>
          </w:p>
        </w:tc>
        <w:tc>
          <w:tcPr>
            <w:tcMar>
              <w:top w:w="70.0" w:type="dxa"/>
              <w:left w:w="110.0" w:type="dxa"/>
              <w:bottom w:w="70.0" w:type="dxa"/>
              <w:right w:w="110.0" w:type="dxa"/>
            </w:tcMar>
          </w:tcPr>
          <w:p w:rsidR="00000000" w:rsidDel="00000000" w:rsidP="00000000" w:rsidRDefault="00000000" w:rsidRPr="00000000" w14:paraId="0000011E">
            <w:pPr>
              <w:spacing w:after="0" w:line="250" w:lineRule="auto"/>
              <w:jc w:val="left"/>
              <w:rPr>
                <w:sz w:val="20"/>
                <w:szCs w:val="20"/>
              </w:rPr>
            </w:pPr>
            <w:r w:rsidDel="00000000" w:rsidR="00000000" w:rsidRPr="00000000">
              <w:rPr>
                <w:sz w:val="20"/>
                <w:szCs w:val="20"/>
                <w:rtl w:val="0"/>
              </w:rPr>
              <w:t xml:space="preserve">Controlled repeated-deployment experiment; IaC principles</w:t>
            </w:r>
          </w:p>
        </w:tc>
        <w:tc>
          <w:tcPr>
            <w:tcMar>
              <w:top w:w="70.0" w:type="dxa"/>
              <w:left w:w="110.0" w:type="dxa"/>
              <w:bottom w:w="70.0" w:type="dxa"/>
              <w:right w:w="110.0" w:type="dxa"/>
            </w:tcMar>
          </w:tcPr>
          <w:p w:rsidR="00000000" w:rsidDel="00000000" w:rsidP="00000000" w:rsidRDefault="00000000" w:rsidRPr="00000000" w14:paraId="0000011F">
            <w:pPr>
              <w:spacing w:after="0" w:line="250" w:lineRule="auto"/>
              <w:jc w:val="left"/>
              <w:rPr>
                <w:sz w:val="20"/>
                <w:szCs w:val="20"/>
              </w:rPr>
            </w:pPr>
            <w:r w:rsidDel="00000000" w:rsidR="00000000" w:rsidRPr="00000000">
              <w:rPr>
                <w:sz w:val="20"/>
                <w:szCs w:val="20"/>
                <w:rtl w:val="0"/>
              </w:rPr>
              <w:t xml:space="preserve">Terraform 253.33 s vs CloudFormation 622.97 s provisioning; no failures in 30 cycles</w:t>
            </w:r>
          </w:p>
        </w:tc>
        <w:tc>
          <w:tcPr>
            <w:tcMar>
              <w:top w:w="70.0" w:type="dxa"/>
              <w:left w:w="110.0" w:type="dxa"/>
              <w:bottom w:w="70.0" w:type="dxa"/>
              <w:right w:w="110.0" w:type="dxa"/>
            </w:tcMar>
          </w:tcPr>
          <w:p w:rsidR="00000000" w:rsidDel="00000000" w:rsidP="00000000" w:rsidRDefault="00000000" w:rsidRPr="00000000" w14:paraId="00000120">
            <w:pPr>
              <w:spacing w:after="0" w:line="250" w:lineRule="auto"/>
              <w:jc w:val="left"/>
              <w:rPr>
                <w:sz w:val="20"/>
                <w:szCs w:val="20"/>
              </w:rPr>
            </w:pPr>
            <w:r w:rsidDel="00000000" w:rsidR="00000000" w:rsidRPr="00000000">
              <w:rPr>
                <w:sz w:val="20"/>
                <w:szCs w:val="20"/>
                <w:rtl w:val="0"/>
              </w:rPr>
              <w:t xml:space="preserve">Compares tools with each other, not with manual work; no pipeline; single architecture</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21">
            <w:pPr>
              <w:spacing w:after="0" w:line="250" w:lineRule="auto"/>
              <w:jc w:val="left"/>
              <w:rPr>
                <w:sz w:val="20"/>
                <w:szCs w:val="20"/>
              </w:rPr>
            </w:pPr>
            <w:r w:rsidDel="00000000" w:rsidR="00000000" w:rsidRPr="00000000">
              <w:rPr>
                <w:sz w:val="20"/>
                <w:szCs w:val="20"/>
                <w:rtl w:val="0"/>
              </w:rPr>
              <w:t xml:space="preserve">Verdet et al. (2025)</w:t>
            </w:r>
          </w:p>
        </w:tc>
        <w:tc>
          <w:tcPr>
            <w:tcMar>
              <w:top w:w="70.0" w:type="dxa"/>
              <w:left w:w="110.0" w:type="dxa"/>
              <w:bottom w:w="70.0" w:type="dxa"/>
              <w:right w:w="110.0" w:type="dxa"/>
            </w:tcMar>
          </w:tcPr>
          <w:p w:rsidR="00000000" w:rsidDel="00000000" w:rsidP="00000000" w:rsidRDefault="00000000" w:rsidRPr="00000000" w14:paraId="00000122">
            <w:pPr>
              <w:spacing w:after="0" w:line="250" w:lineRule="auto"/>
              <w:jc w:val="left"/>
              <w:rPr>
                <w:sz w:val="20"/>
                <w:szCs w:val="20"/>
              </w:rPr>
            </w:pPr>
            <w:r w:rsidDel="00000000" w:rsidR="00000000" w:rsidRPr="00000000">
              <w:rPr>
                <w:sz w:val="20"/>
                <w:szCs w:val="20"/>
                <w:rtl w:val="0"/>
              </w:rPr>
              <w:t xml:space="preserve">812 open-source GitHub projects with Terraform</w:t>
            </w:r>
          </w:p>
        </w:tc>
        <w:tc>
          <w:tcPr>
            <w:tcMar>
              <w:top w:w="70.0" w:type="dxa"/>
              <w:left w:w="110.0" w:type="dxa"/>
              <w:bottom w:w="70.0" w:type="dxa"/>
              <w:right w:w="110.0" w:type="dxa"/>
            </w:tcMar>
          </w:tcPr>
          <w:p w:rsidR="00000000" w:rsidDel="00000000" w:rsidP="00000000" w:rsidRDefault="00000000" w:rsidRPr="00000000" w14:paraId="00000123">
            <w:pPr>
              <w:spacing w:after="0" w:line="250" w:lineRule="auto"/>
              <w:jc w:val="left"/>
              <w:rPr>
                <w:sz w:val="20"/>
                <w:szCs w:val="20"/>
              </w:rPr>
            </w:pPr>
            <w:r w:rsidDel="00000000" w:rsidR="00000000" w:rsidRPr="00000000">
              <w:rPr>
                <w:sz w:val="20"/>
                <w:szCs w:val="20"/>
                <w:rtl w:val="0"/>
              </w:rPr>
              <w:t xml:space="preserve">Repository mining with static analysis (Checkov, tfsec); CIS benchmarks</w:t>
            </w:r>
          </w:p>
        </w:tc>
        <w:tc>
          <w:tcPr>
            <w:tcMar>
              <w:top w:w="70.0" w:type="dxa"/>
              <w:left w:w="110.0" w:type="dxa"/>
              <w:bottom w:w="70.0" w:type="dxa"/>
              <w:right w:w="110.0" w:type="dxa"/>
            </w:tcMar>
          </w:tcPr>
          <w:p w:rsidR="00000000" w:rsidDel="00000000" w:rsidP="00000000" w:rsidRDefault="00000000" w:rsidRPr="00000000" w14:paraId="00000124">
            <w:pPr>
              <w:spacing w:after="0" w:line="250" w:lineRule="auto"/>
              <w:jc w:val="left"/>
              <w:rPr>
                <w:sz w:val="20"/>
                <w:szCs w:val="20"/>
              </w:rPr>
            </w:pPr>
            <w:r w:rsidDel="00000000" w:rsidR="00000000" w:rsidRPr="00000000">
              <w:rPr>
                <w:sz w:val="20"/>
                <w:szCs w:val="20"/>
                <w:rtl w:val="0"/>
              </w:rPr>
              <w:t xml:space="preserve">Access policy most applied; encryption at rest most neglected; AWS and Azure similar</w:t>
            </w:r>
          </w:p>
        </w:tc>
        <w:tc>
          <w:tcPr>
            <w:tcMar>
              <w:top w:w="70.0" w:type="dxa"/>
              <w:left w:w="110.0" w:type="dxa"/>
              <w:bottom w:w="70.0" w:type="dxa"/>
              <w:right w:w="110.0" w:type="dxa"/>
            </w:tcMar>
          </w:tcPr>
          <w:p w:rsidR="00000000" w:rsidDel="00000000" w:rsidP="00000000" w:rsidRDefault="00000000" w:rsidRPr="00000000" w14:paraId="00000125">
            <w:pPr>
              <w:spacing w:after="0" w:line="250" w:lineRule="auto"/>
              <w:jc w:val="left"/>
              <w:rPr>
                <w:sz w:val="20"/>
                <w:szCs w:val="20"/>
              </w:rPr>
            </w:pPr>
            <w:r w:rsidDel="00000000" w:rsidR="00000000" w:rsidRPr="00000000">
              <w:rPr>
                <w:sz w:val="20"/>
                <w:szCs w:val="20"/>
                <w:rtl w:val="0"/>
              </w:rPr>
              <w:t xml:space="preserve">Open-source code may not reflect enterprise practice; tool coverage limits which policies are testable</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26">
            <w:pPr>
              <w:spacing w:after="0" w:line="250" w:lineRule="auto"/>
              <w:jc w:val="left"/>
              <w:rPr>
                <w:sz w:val="20"/>
                <w:szCs w:val="20"/>
              </w:rPr>
            </w:pPr>
            <w:r w:rsidDel="00000000" w:rsidR="00000000" w:rsidRPr="00000000">
              <w:rPr>
                <w:sz w:val="20"/>
                <w:szCs w:val="20"/>
                <w:rtl w:val="0"/>
              </w:rPr>
              <w:t xml:space="preserve">Begoug et al. (2025)</w:t>
            </w:r>
          </w:p>
        </w:tc>
        <w:tc>
          <w:tcPr>
            <w:tcMar>
              <w:top w:w="70.0" w:type="dxa"/>
              <w:left w:w="110.0" w:type="dxa"/>
              <w:bottom w:w="70.0" w:type="dxa"/>
              <w:right w:w="110.0" w:type="dxa"/>
            </w:tcMar>
          </w:tcPr>
          <w:p w:rsidR="00000000" w:rsidDel="00000000" w:rsidP="00000000" w:rsidRDefault="00000000" w:rsidRPr="00000000" w14:paraId="00000127">
            <w:pPr>
              <w:spacing w:after="0" w:line="250" w:lineRule="auto"/>
              <w:jc w:val="left"/>
              <w:rPr>
                <w:sz w:val="20"/>
                <w:szCs w:val="20"/>
              </w:rPr>
            </w:pPr>
            <w:r w:rsidDel="00000000" w:rsidR="00000000" w:rsidRPr="00000000">
              <w:rPr>
                <w:sz w:val="20"/>
                <w:szCs w:val="20"/>
                <w:rtl w:val="0"/>
              </w:rPr>
              <w:t xml:space="preserve">Terraform configurations mined from open-source repositories</w:t>
            </w:r>
          </w:p>
        </w:tc>
        <w:tc>
          <w:tcPr>
            <w:tcMar>
              <w:top w:w="70.0" w:type="dxa"/>
              <w:left w:w="110.0" w:type="dxa"/>
              <w:bottom w:w="70.0" w:type="dxa"/>
              <w:right w:w="110.0" w:type="dxa"/>
            </w:tcMar>
          </w:tcPr>
          <w:p w:rsidR="00000000" w:rsidDel="00000000" w:rsidP="00000000" w:rsidRDefault="00000000" w:rsidRPr="00000000" w14:paraId="00000128">
            <w:pPr>
              <w:spacing w:after="0" w:line="250" w:lineRule="auto"/>
              <w:jc w:val="left"/>
              <w:rPr>
                <w:sz w:val="20"/>
                <w:szCs w:val="20"/>
              </w:rPr>
            </w:pPr>
            <w:r w:rsidDel="00000000" w:rsidR="00000000" w:rsidRPr="00000000">
              <w:rPr>
                <w:sz w:val="20"/>
                <w:szCs w:val="20"/>
                <w:rtl w:val="0"/>
              </w:rPr>
              <w:t xml:space="preserve">Repository mining with qualitative coding of commits</w:t>
            </w:r>
          </w:p>
        </w:tc>
        <w:tc>
          <w:tcPr>
            <w:tcMar>
              <w:top w:w="70.0" w:type="dxa"/>
              <w:left w:w="110.0" w:type="dxa"/>
              <w:bottom w:w="70.0" w:type="dxa"/>
              <w:right w:w="110.0" w:type="dxa"/>
            </w:tcMar>
          </w:tcPr>
          <w:p w:rsidR="00000000" w:rsidDel="00000000" w:rsidP="00000000" w:rsidRDefault="00000000" w:rsidRPr="00000000" w14:paraId="00000129">
            <w:pPr>
              <w:spacing w:after="0" w:line="250" w:lineRule="auto"/>
              <w:jc w:val="left"/>
              <w:rPr>
                <w:sz w:val="20"/>
                <w:szCs w:val="20"/>
              </w:rPr>
            </w:pPr>
            <w:r w:rsidDel="00000000" w:rsidR="00000000" w:rsidRPr="00000000">
              <w:rPr>
                <w:sz w:val="20"/>
                <w:szCs w:val="20"/>
                <w:rtl w:val="0"/>
              </w:rPr>
              <w:t xml:space="preserve">Module updates postponed; technical lag persists for months; vulnerabilities remain live</w:t>
            </w:r>
          </w:p>
        </w:tc>
        <w:tc>
          <w:tcPr>
            <w:tcMar>
              <w:top w:w="70.0" w:type="dxa"/>
              <w:left w:w="110.0" w:type="dxa"/>
              <w:bottom w:w="70.0" w:type="dxa"/>
              <w:right w:w="110.0" w:type="dxa"/>
            </w:tcMar>
          </w:tcPr>
          <w:p w:rsidR="00000000" w:rsidDel="00000000" w:rsidP="00000000" w:rsidRDefault="00000000" w:rsidRPr="00000000" w14:paraId="0000012A">
            <w:pPr>
              <w:spacing w:after="0" w:line="250" w:lineRule="auto"/>
              <w:jc w:val="left"/>
              <w:rPr>
                <w:sz w:val="20"/>
                <w:szCs w:val="20"/>
              </w:rPr>
            </w:pPr>
            <w:r w:rsidDel="00000000" w:rsidR="00000000" w:rsidRPr="00000000">
              <w:rPr>
                <w:sz w:val="20"/>
                <w:szCs w:val="20"/>
                <w:rtl w:val="0"/>
              </w:rPr>
              <w:t xml:space="preserve">Detailed figures not obtained by this researcher at time of writing; no organisational context</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2B">
            <w:pPr>
              <w:spacing w:after="0" w:line="250" w:lineRule="auto"/>
              <w:jc w:val="left"/>
              <w:rPr>
                <w:sz w:val="20"/>
                <w:szCs w:val="20"/>
              </w:rPr>
            </w:pPr>
            <w:r w:rsidDel="00000000" w:rsidR="00000000" w:rsidRPr="00000000">
              <w:rPr>
                <w:sz w:val="20"/>
                <w:szCs w:val="20"/>
                <w:rtl w:val="0"/>
              </w:rPr>
              <w:t xml:space="preserve">Rostami Mazrae et al. (2023)</w:t>
            </w:r>
          </w:p>
        </w:tc>
        <w:tc>
          <w:tcPr>
            <w:tcMar>
              <w:top w:w="70.0" w:type="dxa"/>
              <w:left w:w="110.0" w:type="dxa"/>
              <w:bottom w:w="70.0" w:type="dxa"/>
              <w:right w:w="110.0" w:type="dxa"/>
            </w:tcMar>
          </w:tcPr>
          <w:p w:rsidR="00000000" w:rsidDel="00000000" w:rsidP="00000000" w:rsidRDefault="00000000" w:rsidRPr="00000000" w14:paraId="0000012C">
            <w:pPr>
              <w:spacing w:after="0" w:line="250" w:lineRule="auto"/>
              <w:jc w:val="left"/>
              <w:rPr>
                <w:sz w:val="20"/>
                <w:szCs w:val="20"/>
              </w:rPr>
            </w:pPr>
            <w:r w:rsidDel="00000000" w:rsidR="00000000" w:rsidRPr="00000000">
              <w:rPr>
                <w:sz w:val="20"/>
                <w:szCs w:val="20"/>
                <w:rtl w:val="0"/>
              </w:rPr>
              <w:t xml:space="preserve">22 experienced practitioners; 31 CI/CD tools</w:t>
            </w:r>
          </w:p>
        </w:tc>
        <w:tc>
          <w:tcPr>
            <w:tcMar>
              <w:top w:w="70.0" w:type="dxa"/>
              <w:left w:w="110.0" w:type="dxa"/>
              <w:bottom w:w="70.0" w:type="dxa"/>
              <w:right w:w="110.0" w:type="dxa"/>
            </w:tcMar>
          </w:tcPr>
          <w:p w:rsidR="00000000" w:rsidDel="00000000" w:rsidP="00000000" w:rsidRDefault="00000000" w:rsidRPr="00000000" w14:paraId="0000012D">
            <w:pPr>
              <w:spacing w:after="0" w:line="250" w:lineRule="auto"/>
              <w:jc w:val="left"/>
              <w:rPr>
                <w:sz w:val="20"/>
                <w:szCs w:val="20"/>
              </w:rPr>
            </w:pPr>
            <w:r w:rsidDel="00000000" w:rsidR="00000000" w:rsidRPr="00000000">
              <w:rPr>
                <w:sz w:val="20"/>
                <w:szCs w:val="20"/>
                <w:rtl w:val="0"/>
              </w:rPr>
              <w:t xml:space="preserve">Qualitative interviews; inductive and deductive coding</w:t>
            </w:r>
          </w:p>
        </w:tc>
        <w:tc>
          <w:tcPr>
            <w:tcMar>
              <w:top w:w="70.0" w:type="dxa"/>
              <w:left w:w="110.0" w:type="dxa"/>
              <w:bottom w:w="70.0" w:type="dxa"/>
              <w:right w:w="110.0" w:type="dxa"/>
            </w:tcMar>
          </w:tcPr>
          <w:p w:rsidR="00000000" w:rsidDel="00000000" w:rsidP="00000000" w:rsidRDefault="00000000" w:rsidRPr="00000000" w14:paraId="0000012E">
            <w:pPr>
              <w:spacing w:after="0" w:line="250" w:lineRule="auto"/>
              <w:jc w:val="left"/>
              <w:rPr>
                <w:sz w:val="20"/>
                <w:szCs w:val="20"/>
              </w:rPr>
            </w:pPr>
            <w:r w:rsidDel="00000000" w:rsidR="00000000" w:rsidRPr="00000000">
              <w:rPr>
                <w:sz w:val="20"/>
                <w:szCs w:val="20"/>
                <w:rtl w:val="0"/>
              </w:rPr>
              <w:t xml:space="preserve">GitHub Actions used by 18 of 22; 17 of 32 migrations moved toward it; YAML learning curve the main barrier</w:t>
            </w:r>
          </w:p>
        </w:tc>
        <w:tc>
          <w:tcPr>
            <w:tcMar>
              <w:top w:w="70.0" w:type="dxa"/>
              <w:left w:w="110.0" w:type="dxa"/>
              <w:bottom w:w="70.0" w:type="dxa"/>
              <w:right w:w="110.0" w:type="dxa"/>
            </w:tcMar>
          </w:tcPr>
          <w:p w:rsidR="00000000" w:rsidDel="00000000" w:rsidP="00000000" w:rsidRDefault="00000000" w:rsidRPr="00000000" w14:paraId="0000012F">
            <w:pPr>
              <w:spacing w:after="0" w:line="250" w:lineRule="auto"/>
              <w:jc w:val="left"/>
              <w:rPr>
                <w:sz w:val="20"/>
                <w:szCs w:val="20"/>
              </w:rPr>
            </w:pPr>
            <w:r w:rsidDel="00000000" w:rsidR="00000000" w:rsidRPr="00000000">
              <w:rPr>
                <w:sz w:val="20"/>
                <w:szCs w:val="20"/>
                <w:rtl w:val="0"/>
              </w:rPr>
              <w:t xml:space="preserve">Self-report; 16 of 22 respondents based in Europe; no measurement of outcomes</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30">
            <w:pPr>
              <w:spacing w:after="0" w:line="250" w:lineRule="auto"/>
              <w:jc w:val="left"/>
              <w:rPr>
                <w:sz w:val="20"/>
                <w:szCs w:val="20"/>
              </w:rPr>
            </w:pPr>
            <w:r w:rsidDel="00000000" w:rsidR="00000000" w:rsidRPr="00000000">
              <w:rPr>
                <w:sz w:val="20"/>
                <w:szCs w:val="20"/>
                <w:rtl w:val="0"/>
              </w:rPr>
              <w:t xml:space="preserve">Villamizar et al. (2017)</w:t>
            </w:r>
          </w:p>
        </w:tc>
        <w:tc>
          <w:tcPr>
            <w:tcMar>
              <w:top w:w="70.0" w:type="dxa"/>
              <w:left w:w="110.0" w:type="dxa"/>
              <w:bottom w:w="70.0" w:type="dxa"/>
              <w:right w:w="110.0" w:type="dxa"/>
            </w:tcMar>
          </w:tcPr>
          <w:p w:rsidR="00000000" w:rsidDel="00000000" w:rsidP="00000000" w:rsidRDefault="00000000" w:rsidRPr="00000000" w14:paraId="00000131">
            <w:pPr>
              <w:spacing w:after="0" w:line="250" w:lineRule="auto"/>
              <w:jc w:val="left"/>
              <w:rPr>
                <w:sz w:val="20"/>
                <w:szCs w:val="20"/>
              </w:rPr>
            </w:pPr>
            <w:r w:rsidDel="00000000" w:rsidR="00000000" w:rsidRPr="00000000">
              <w:rPr>
                <w:sz w:val="20"/>
                <w:szCs w:val="20"/>
                <w:rtl w:val="0"/>
              </w:rPr>
              <w:t xml:space="preserve">AWS; one web application deployed three ways</w:t>
            </w:r>
          </w:p>
        </w:tc>
        <w:tc>
          <w:tcPr>
            <w:tcMar>
              <w:top w:w="70.0" w:type="dxa"/>
              <w:left w:w="110.0" w:type="dxa"/>
              <w:bottom w:w="70.0" w:type="dxa"/>
              <w:right w:w="110.0" w:type="dxa"/>
            </w:tcMar>
          </w:tcPr>
          <w:p w:rsidR="00000000" w:rsidDel="00000000" w:rsidP="00000000" w:rsidRDefault="00000000" w:rsidRPr="00000000" w14:paraId="00000132">
            <w:pPr>
              <w:spacing w:after="0" w:line="250" w:lineRule="auto"/>
              <w:jc w:val="left"/>
              <w:rPr>
                <w:sz w:val="20"/>
                <w:szCs w:val="20"/>
              </w:rPr>
            </w:pPr>
            <w:r w:rsidDel="00000000" w:rsidR="00000000" w:rsidRPr="00000000">
              <w:rPr>
                <w:sz w:val="20"/>
                <w:szCs w:val="20"/>
                <w:rtl w:val="0"/>
              </w:rPr>
              <w:t xml:space="preserve">Controlled deployment and load testing</w:t>
            </w:r>
          </w:p>
        </w:tc>
        <w:tc>
          <w:tcPr>
            <w:tcMar>
              <w:top w:w="70.0" w:type="dxa"/>
              <w:left w:w="110.0" w:type="dxa"/>
              <w:bottom w:w="70.0" w:type="dxa"/>
              <w:right w:w="110.0" w:type="dxa"/>
            </w:tcMar>
          </w:tcPr>
          <w:p w:rsidR="00000000" w:rsidDel="00000000" w:rsidP="00000000" w:rsidRDefault="00000000" w:rsidRPr="00000000" w14:paraId="00000133">
            <w:pPr>
              <w:spacing w:after="0" w:line="250" w:lineRule="auto"/>
              <w:jc w:val="left"/>
              <w:rPr>
                <w:sz w:val="20"/>
                <w:szCs w:val="20"/>
              </w:rPr>
            </w:pPr>
            <w:r w:rsidDel="00000000" w:rsidR="00000000" w:rsidRPr="00000000">
              <w:rPr>
                <w:sz w:val="20"/>
                <w:szCs w:val="20"/>
                <w:rtl w:val="0"/>
              </w:rPr>
              <w:t xml:space="preserve">AWS Lambda cut cost by 70% or more in the best case; provider-managed scaling held response times</w:t>
            </w:r>
          </w:p>
        </w:tc>
        <w:tc>
          <w:tcPr>
            <w:tcMar>
              <w:top w:w="70.0" w:type="dxa"/>
              <w:left w:w="110.0" w:type="dxa"/>
              <w:bottom w:w="70.0" w:type="dxa"/>
              <w:right w:w="110.0" w:type="dxa"/>
            </w:tcMar>
          </w:tcPr>
          <w:p w:rsidR="00000000" w:rsidDel="00000000" w:rsidP="00000000" w:rsidRDefault="00000000" w:rsidRPr="00000000" w14:paraId="00000134">
            <w:pPr>
              <w:spacing w:after="0" w:line="250" w:lineRule="auto"/>
              <w:jc w:val="left"/>
              <w:rPr>
                <w:sz w:val="20"/>
                <w:szCs w:val="20"/>
              </w:rPr>
            </w:pPr>
            <w:r w:rsidDel="00000000" w:rsidR="00000000" w:rsidRPr="00000000">
              <w:rPr>
                <w:sz w:val="20"/>
                <w:szCs w:val="20"/>
                <w:rtl w:val="0"/>
              </w:rPr>
              <w:t xml:space="preserve">Published in 2017, so pricing and service behaviour have changed; concerns architecture, not IaC</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35">
            <w:pPr>
              <w:spacing w:after="0" w:line="250" w:lineRule="auto"/>
              <w:jc w:val="left"/>
              <w:rPr>
                <w:sz w:val="20"/>
                <w:szCs w:val="20"/>
              </w:rPr>
            </w:pPr>
            <w:r w:rsidDel="00000000" w:rsidR="00000000" w:rsidRPr="00000000">
              <w:rPr>
                <w:sz w:val="20"/>
                <w:szCs w:val="20"/>
                <w:rtl w:val="0"/>
              </w:rPr>
              <w:t xml:space="preserve">Guerriero et al. (2019)</w:t>
            </w:r>
          </w:p>
        </w:tc>
        <w:tc>
          <w:tcPr>
            <w:tcMar>
              <w:top w:w="70.0" w:type="dxa"/>
              <w:left w:w="110.0" w:type="dxa"/>
              <w:bottom w:w="70.0" w:type="dxa"/>
              <w:right w:w="110.0" w:type="dxa"/>
            </w:tcMar>
          </w:tcPr>
          <w:p w:rsidR="00000000" w:rsidDel="00000000" w:rsidP="00000000" w:rsidRDefault="00000000" w:rsidRPr="00000000" w14:paraId="00000136">
            <w:pPr>
              <w:spacing w:after="0" w:line="250" w:lineRule="auto"/>
              <w:jc w:val="left"/>
              <w:rPr>
                <w:sz w:val="20"/>
                <w:szCs w:val="20"/>
              </w:rPr>
            </w:pPr>
            <w:r w:rsidDel="00000000" w:rsidR="00000000" w:rsidRPr="00000000">
              <w:rPr>
                <w:sz w:val="20"/>
                <w:szCs w:val="20"/>
                <w:rtl w:val="0"/>
              </w:rPr>
              <w:t xml:space="preserve">44 companies, one interview each</w:t>
            </w:r>
          </w:p>
        </w:tc>
        <w:tc>
          <w:tcPr>
            <w:tcMar>
              <w:top w:w="70.0" w:type="dxa"/>
              <w:left w:w="110.0" w:type="dxa"/>
              <w:bottom w:w="70.0" w:type="dxa"/>
              <w:right w:w="110.0" w:type="dxa"/>
            </w:tcMar>
          </w:tcPr>
          <w:p w:rsidR="00000000" w:rsidDel="00000000" w:rsidP="00000000" w:rsidRDefault="00000000" w:rsidRPr="00000000" w14:paraId="00000137">
            <w:pPr>
              <w:spacing w:after="0" w:line="250" w:lineRule="auto"/>
              <w:jc w:val="left"/>
              <w:rPr>
                <w:sz w:val="20"/>
                <w:szCs w:val="20"/>
              </w:rPr>
            </w:pPr>
            <w:r w:rsidDel="00000000" w:rsidR="00000000" w:rsidRPr="00000000">
              <w:rPr>
                <w:sz w:val="20"/>
                <w:szCs w:val="20"/>
                <w:rtl w:val="0"/>
              </w:rPr>
              <w:t xml:space="preserve">Qualitative interviews; content analysis</w:t>
            </w:r>
          </w:p>
        </w:tc>
        <w:tc>
          <w:tcPr>
            <w:tcMar>
              <w:top w:w="70.0" w:type="dxa"/>
              <w:left w:w="110.0" w:type="dxa"/>
              <w:bottom w:w="70.0" w:type="dxa"/>
              <w:right w:w="110.0" w:type="dxa"/>
            </w:tcMar>
          </w:tcPr>
          <w:p w:rsidR="00000000" w:rsidDel="00000000" w:rsidP="00000000" w:rsidRDefault="00000000" w:rsidRPr="00000000" w14:paraId="00000138">
            <w:pPr>
              <w:spacing w:after="0" w:line="250" w:lineRule="auto"/>
              <w:jc w:val="left"/>
              <w:rPr>
                <w:sz w:val="20"/>
                <w:szCs w:val="20"/>
              </w:rPr>
            </w:pPr>
            <w:r w:rsidDel="00000000" w:rsidR="00000000" w:rsidRPr="00000000">
              <w:rPr>
                <w:sz w:val="20"/>
                <w:szCs w:val="20"/>
                <w:rtl w:val="0"/>
              </w:rPr>
              <w:t xml:space="preserve">Docker used by 59%, Terraform by 34%; hardcoded credentials worst practice; testability the top challenge (14 mentions)</w:t>
            </w:r>
          </w:p>
        </w:tc>
        <w:tc>
          <w:tcPr>
            <w:tcMar>
              <w:top w:w="70.0" w:type="dxa"/>
              <w:left w:w="110.0" w:type="dxa"/>
              <w:bottom w:w="70.0" w:type="dxa"/>
              <w:right w:w="110.0" w:type="dxa"/>
            </w:tcMar>
          </w:tcPr>
          <w:p w:rsidR="00000000" w:rsidDel="00000000" w:rsidP="00000000" w:rsidRDefault="00000000" w:rsidRPr="00000000" w14:paraId="00000139">
            <w:pPr>
              <w:spacing w:after="0" w:line="250" w:lineRule="auto"/>
              <w:jc w:val="left"/>
              <w:rPr>
                <w:sz w:val="20"/>
                <w:szCs w:val="20"/>
              </w:rPr>
            </w:pPr>
            <w:r w:rsidDel="00000000" w:rsidR="00000000" w:rsidRPr="00000000">
              <w:rPr>
                <w:sz w:val="20"/>
                <w:szCs w:val="20"/>
                <w:rtl w:val="0"/>
              </w:rPr>
              <w:t xml:space="preserve">Covers Docker, Ansible and Chef more than Terraform; interviews predate current tooling</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3A">
            <w:pPr>
              <w:spacing w:after="0" w:line="250" w:lineRule="auto"/>
              <w:jc w:val="left"/>
              <w:rPr>
                <w:sz w:val="20"/>
                <w:szCs w:val="20"/>
              </w:rPr>
            </w:pPr>
            <w:r w:rsidDel="00000000" w:rsidR="00000000" w:rsidRPr="00000000">
              <w:rPr>
                <w:sz w:val="20"/>
                <w:szCs w:val="20"/>
                <w:rtl w:val="0"/>
              </w:rPr>
              <w:t xml:space="preserve">Kumara et al. (2021)</w:t>
            </w:r>
          </w:p>
        </w:tc>
        <w:tc>
          <w:tcPr>
            <w:tcMar>
              <w:top w:w="70.0" w:type="dxa"/>
              <w:left w:w="110.0" w:type="dxa"/>
              <w:bottom w:w="70.0" w:type="dxa"/>
              <w:right w:w="110.0" w:type="dxa"/>
            </w:tcMar>
          </w:tcPr>
          <w:p w:rsidR="00000000" w:rsidDel="00000000" w:rsidP="00000000" w:rsidRDefault="00000000" w:rsidRPr="00000000" w14:paraId="0000013B">
            <w:pPr>
              <w:spacing w:after="0" w:line="250" w:lineRule="auto"/>
              <w:jc w:val="left"/>
              <w:rPr>
                <w:sz w:val="20"/>
                <w:szCs w:val="20"/>
              </w:rPr>
            </w:pPr>
            <w:r w:rsidDel="00000000" w:rsidR="00000000" w:rsidRPr="00000000">
              <w:rPr>
                <w:sz w:val="20"/>
                <w:szCs w:val="20"/>
                <w:rtl w:val="0"/>
              </w:rPr>
              <w:t xml:space="preserve">67 high-quality industry (grey literature) sources</w:t>
            </w:r>
          </w:p>
        </w:tc>
        <w:tc>
          <w:tcPr>
            <w:tcMar>
              <w:top w:w="70.0" w:type="dxa"/>
              <w:left w:w="110.0" w:type="dxa"/>
              <w:bottom w:w="70.0" w:type="dxa"/>
              <w:right w:w="110.0" w:type="dxa"/>
            </w:tcMar>
          </w:tcPr>
          <w:p w:rsidR="00000000" w:rsidDel="00000000" w:rsidP="00000000" w:rsidRDefault="00000000" w:rsidRPr="00000000" w14:paraId="0000013C">
            <w:pPr>
              <w:spacing w:after="0" w:line="250" w:lineRule="auto"/>
              <w:jc w:val="left"/>
              <w:rPr>
                <w:sz w:val="20"/>
                <w:szCs w:val="20"/>
              </w:rPr>
            </w:pPr>
            <w:r w:rsidDel="00000000" w:rsidR="00000000" w:rsidRPr="00000000">
              <w:rPr>
                <w:sz w:val="20"/>
                <w:szCs w:val="20"/>
                <w:rtl w:val="0"/>
              </w:rPr>
              <w:t xml:space="preserve">Systematic grey literature review; qualitative analysis</w:t>
            </w:r>
          </w:p>
        </w:tc>
        <w:tc>
          <w:tcPr>
            <w:tcMar>
              <w:top w:w="70.0" w:type="dxa"/>
              <w:left w:w="110.0" w:type="dxa"/>
              <w:bottom w:w="70.0" w:type="dxa"/>
              <w:right w:w="110.0" w:type="dxa"/>
            </w:tcMar>
          </w:tcPr>
          <w:p w:rsidR="00000000" w:rsidDel="00000000" w:rsidP="00000000" w:rsidRDefault="00000000" w:rsidRPr="00000000" w14:paraId="0000013D">
            <w:pPr>
              <w:spacing w:after="0" w:line="250" w:lineRule="auto"/>
              <w:jc w:val="left"/>
              <w:rPr>
                <w:sz w:val="20"/>
                <w:szCs w:val="20"/>
              </w:rPr>
            </w:pPr>
            <w:r w:rsidDel="00000000" w:rsidR="00000000" w:rsidRPr="00000000">
              <w:rPr>
                <w:sz w:val="20"/>
                <w:szCs w:val="20"/>
                <w:rtl w:val="0"/>
              </w:rPr>
              <w:t xml:space="preserve">Taxonomy of 10 good-practice and 4 bad-practice categories</w:t>
            </w:r>
          </w:p>
        </w:tc>
        <w:tc>
          <w:tcPr>
            <w:tcMar>
              <w:top w:w="70.0" w:type="dxa"/>
              <w:left w:w="110.0" w:type="dxa"/>
              <w:bottom w:w="70.0" w:type="dxa"/>
              <w:right w:w="110.0" w:type="dxa"/>
            </w:tcMar>
          </w:tcPr>
          <w:p w:rsidR="00000000" w:rsidDel="00000000" w:rsidP="00000000" w:rsidRDefault="00000000" w:rsidRPr="00000000" w14:paraId="0000013E">
            <w:pPr>
              <w:spacing w:after="0" w:line="250" w:lineRule="auto"/>
              <w:jc w:val="left"/>
              <w:rPr>
                <w:sz w:val="20"/>
                <w:szCs w:val="20"/>
              </w:rPr>
            </w:pPr>
            <w:r w:rsidDel="00000000" w:rsidR="00000000" w:rsidRPr="00000000">
              <w:rPr>
                <w:sz w:val="20"/>
                <w:szCs w:val="20"/>
                <w:rtl w:val="0"/>
              </w:rPr>
              <w:t xml:space="preserve">Practitioner sources are not peer-reviewed; covers Ansible, Puppet and Chef, not Terraform</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3F">
            <w:pPr>
              <w:spacing w:after="0" w:line="250" w:lineRule="auto"/>
              <w:jc w:val="left"/>
              <w:rPr>
                <w:sz w:val="20"/>
                <w:szCs w:val="20"/>
              </w:rPr>
            </w:pPr>
            <w:r w:rsidDel="00000000" w:rsidR="00000000" w:rsidRPr="00000000">
              <w:rPr>
                <w:sz w:val="20"/>
                <w:szCs w:val="20"/>
                <w:rtl w:val="0"/>
              </w:rPr>
              <w:t xml:space="preserve">Hilton et al. (2016)</w:t>
            </w:r>
          </w:p>
        </w:tc>
        <w:tc>
          <w:tcPr>
            <w:tcMar>
              <w:top w:w="70.0" w:type="dxa"/>
              <w:left w:w="110.0" w:type="dxa"/>
              <w:bottom w:w="70.0" w:type="dxa"/>
              <w:right w:w="110.0" w:type="dxa"/>
            </w:tcMar>
          </w:tcPr>
          <w:p w:rsidR="00000000" w:rsidDel="00000000" w:rsidP="00000000" w:rsidRDefault="00000000" w:rsidRPr="00000000" w14:paraId="00000140">
            <w:pPr>
              <w:spacing w:after="0" w:line="250" w:lineRule="auto"/>
              <w:jc w:val="left"/>
              <w:rPr>
                <w:sz w:val="20"/>
                <w:szCs w:val="20"/>
              </w:rPr>
            </w:pPr>
            <w:r w:rsidDel="00000000" w:rsidR="00000000" w:rsidRPr="00000000">
              <w:rPr>
                <w:sz w:val="20"/>
                <w:szCs w:val="20"/>
                <w:rtl w:val="0"/>
              </w:rPr>
              <w:t xml:space="preserve">34,544 GitHub projects; 1,529,291 builds; 442 developers surveyed</w:t>
            </w:r>
          </w:p>
        </w:tc>
        <w:tc>
          <w:tcPr>
            <w:tcMar>
              <w:top w:w="70.0" w:type="dxa"/>
              <w:left w:w="110.0" w:type="dxa"/>
              <w:bottom w:w="70.0" w:type="dxa"/>
              <w:right w:w="110.0" w:type="dxa"/>
            </w:tcMar>
          </w:tcPr>
          <w:p w:rsidR="00000000" w:rsidDel="00000000" w:rsidP="00000000" w:rsidRDefault="00000000" w:rsidRPr="00000000" w14:paraId="00000141">
            <w:pPr>
              <w:spacing w:after="0" w:line="250" w:lineRule="auto"/>
              <w:jc w:val="left"/>
              <w:rPr>
                <w:sz w:val="20"/>
                <w:szCs w:val="20"/>
              </w:rPr>
            </w:pPr>
            <w:r w:rsidDel="00000000" w:rsidR="00000000" w:rsidRPr="00000000">
              <w:rPr>
                <w:sz w:val="20"/>
                <w:szCs w:val="20"/>
                <w:rtl w:val="0"/>
              </w:rPr>
              <w:t xml:space="preserve">Repository mining plus survey</w:t>
            </w:r>
          </w:p>
        </w:tc>
        <w:tc>
          <w:tcPr>
            <w:tcMar>
              <w:top w:w="70.0" w:type="dxa"/>
              <w:left w:w="110.0" w:type="dxa"/>
              <w:bottom w:w="70.0" w:type="dxa"/>
              <w:right w:w="110.0" w:type="dxa"/>
            </w:tcMar>
          </w:tcPr>
          <w:p w:rsidR="00000000" w:rsidDel="00000000" w:rsidP="00000000" w:rsidRDefault="00000000" w:rsidRPr="00000000" w14:paraId="00000142">
            <w:pPr>
              <w:spacing w:after="0" w:line="250" w:lineRule="auto"/>
              <w:jc w:val="left"/>
              <w:rPr>
                <w:sz w:val="20"/>
                <w:szCs w:val="20"/>
              </w:rPr>
            </w:pPr>
            <w:r w:rsidDel="00000000" w:rsidR="00000000" w:rsidRPr="00000000">
              <w:rPr>
                <w:sz w:val="20"/>
                <w:szCs w:val="20"/>
                <w:rtl w:val="0"/>
              </w:rPr>
              <w:t xml:space="preserve">40% used CI; CI projects released 0.54 vs 0.24 times per month; PRs accepted 1.6 h faster</w:t>
            </w:r>
          </w:p>
        </w:tc>
        <w:tc>
          <w:tcPr>
            <w:tcMar>
              <w:top w:w="70.0" w:type="dxa"/>
              <w:left w:w="110.0" w:type="dxa"/>
              <w:bottom w:w="70.0" w:type="dxa"/>
              <w:right w:w="110.0" w:type="dxa"/>
            </w:tcMar>
          </w:tcPr>
          <w:p w:rsidR="00000000" w:rsidDel="00000000" w:rsidP="00000000" w:rsidRDefault="00000000" w:rsidRPr="00000000" w14:paraId="00000143">
            <w:pPr>
              <w:spacing w:after="0" w:line="250" w:lineRule="auto"/>
              <w:jc w:val="left"/>
              <w:rPr>
                <w:sz w:val="20"/>
                <w:szCs w:val="20"/>
              </w:rPr>
            </w:pPr>
            <w:r w:rsidDel="00000000" w:rsidR="00000000" w:rsidRPr="00000000">
              <w:rPr>
                <w:sz w:val="20"/>
                <w:szCs w:val="20"/>
                <w:rtl w:val="0"/>
              </w:rPr>
              <w:t xml:space="preserve">Open-source only; predates GitHub Actions; no infrastructure dimension</w:t>
            </w:r>
          </w:p>
        </w:tc>
      </w:tr>
    </w:tbl>
    <w:p w:rsidR="00000000" w:rsidDel="00000000" w:rsidP="00000000" w:rsidRDefault="00000000" w:rsidRPr="00000000" w14:paraId="00000144">
      <w:pPr>
        <w:spacing w:after="200" w:before="60" w:line="240" w:lineRule="auto"/>
        <w:jc w:val="left"/>
        <w:rPr/>
      </w:pPr>
      <w:r w:rsidDel="00000000" w:rsidR="00000000" w:rsidRPr="00000000">
        <w:rPr>
          <w:i w:val="1"/>
          <w:iCs w:val="1"/>
          <w:sz w:val="20"/>
          <w:szCs w:val="20"/>
          <w:rtl w:val="0"/>
        </w:rPr>
        <w:t xml:space="preserve">Note. </w:t>
      </w:r>
      <w:r w:rsidDel="00000000" w:rsidR="00000000" w:rsidRPr="00000000">
        <w:rPr>
          <w:sz w:val="20"/>
          <w:szCs w:val="20"/>
          <w:rtl w:val="0"/>
        </w:rPr>
        <w:t xml:space="preserve">All studies listed appear in the reference list. Every row was located through the search procedure described in Section 2.2.</w:t>
      </w:r>
      <w:r w:rsidDel="00000000" w:rsidR="00000000" w:rsidRPr="00000000">
        <w:rPr>
          <w:rtl w:val="0"/>
        </w:rPr>
      </w:r>
    </w:p>
    <w:p w:rsidR="00000000" w:rsidDel="00000000" w:rsidP="00000000" w:rsidRDefault="00000000" w:rsidRPr="00000000" w14:paraId="00000145">
      <w:pPr>
        <w:pStyle w:val="Heading2"/>
        <w:keepNext w:val="1"/>
        <w:rPr/>
      </w:pPr>
      <w:r w:rsidDel="00000000" w:rsidR="00000000" w:rsidRPr="00000000">
        <w:rPr>
          <w:rtl w:val="0"/>
        </w:rPr>
        <w:t xml:space="preserve">2.7 Critical Discussion of the Literature</w:t>
      </w:r>
    </w:p>
    <w:p w:rsidR="00000000" w:rsidDel="00000000" w:rsidP="00000000" w:rsidRDefault="00000000" w:rsidRPr="00000000" w14:paraId="00000146">
      <w:pPr>
        <w:rPr/>
      </w:pPr>
      <w:r w:rsidDel="00000000" w:rsidR="00000000" w:rsidRPr="00000000">
        <w:rPr>
          <w:rtl w:val="0"/>
        </w:rPr>
        <w:t xml:space="preserve">Read together, the reviewed studies establish that IaC and CI/CD produce measurable improvements, but they leave three matters unsettled.</w:t>
      </w:r>
    </w:p>
    <w:p w:rsidR="00000000" w:rsidDel="00000000" w:rsidP="00000000" w:rsidRDefault="00000000" w:rsidRPr="00000000" w14:paraId="00000147">
      <w:pPr>
        <w:rPr/>
      </w:pPr>
      <w:r w:rsidDel="00000000" w:rsidR="00000000" w:rsidRPr="00000000">
        <w:rPr>
          <w:rtl w:val="0"/>
        </w:rPr>
        <w:t xml:space="preserve">The first concerns what is being compared. Every experimental study of IaC located in this review compares one automated tool with another. Regvart et al. (2026) compare Terraform, Pulumi and CloudFormation; Villamizar et al. (2017) compare three cloud architectures. None compares an automated approach with the manual work it replaces. This is understandable, because manual provisioning is slow to repeat and unattractive to run thirty times, but it produces a strange result: the literature can say which tool is faster while remaining silent on the question an organisation without IaC actually asks. Where figures for that comparison do circulate, such as the frequently repeated claim of a 50 per cent reduction in deployment time, they appear in sources that do not describe the architecture, the procedure or the measurement method in enough detail to be checked, which is why such sources were excluded under the criteria in Section 2.2.</w:t>
      </w:r>
    </w:p>
    <w:p w:rsidR="00000000" w:rsidDel="00000000" w:rsidP="00000000" w:rsidRDefault="00000000" w:rsidRPr="00000000" w14:paraId="00000148">
      <w:pPr>
        <w:rPr/>
      </w:pPr>
      <w:r w:rsidDel="00000000" w:rsidR="00000000" w:rsidRPr="00000000">
        <w:rPr>
          <w:rtl w:val="0"/>
        </w:rPr>
        <w:t xml:space="preserve">The second concerns the separation of IaC from the pipeline. The Terraform literature studies code without pipelines and the CI/CD literature studies pipelines without infrastructure. Verdet et al. (2025) analyse Terraform files but not how those files reach production; Begoug et al. (2025) analyse module updates but not what reviews them; Rostami Mazrae et al. (2023) analyse pipelines in depth but discuss provisioning only in passing, noting server provisioning as one activity respondents automate. The consequence is that the governance benefit usually attributed to IaC has not been isolated. If review is what produces the audit trail, then a study of code alone cannot demonstrate it, and this study's decision to model integration depth separately follows from that observation.</w:t>
      </w:r>
    </w:p>
    <w:p w:rsidR="00000000" w:rsidDel="00000000" w:rsidP="00000000" w:rsidRDefault="00000000" w:rsidRPr="00000000" w14:paraId="00000149">
      <w:pPr>
        <w:rPr/>
      </w:pPr>
      <w:r w:rsidDel="00000000" w:rsidR="00000000" w:rsidRPr="00000000">
        <w:rPr>
          <w:rtl w:val="0"/>
        </w:rPr>
        <w:t xml:space="preserve">The third concerns methodological quality and transferability. The strongest studies here are rigorous within their scope: Regvart et al. (2026) control account, region, credentials, machine and network and repeat thirty times; Verdet et al. (2025) publish a replication package; Rostami Mazrae et al. (2023) code interviews twice with independent verification and report saturation explicitly. The limitation is one of setting rather than execution. The quantitative work draws on open-source repositories, where projects are small, unregulated and staffed by volunteers, and the qualitative work draws overwhelmingly on European respondents, with 16 of the 22 interviewees based there. Applying these findings to a regulated financial institution in Cambodia requires assumptions about team size, prior experience and compliance obligation that none of the studies tested. The present study cannot resolve that problem, since a single case cannot establish transferability either, but it can at least supply the first observation from the setting in question.</w:t>
      </w:r>
    </w:p>
    <w:p w:rsidR="00000000" w:rsidDel="00000000" w:rsidP="00000000" w:rsidRDefault="00000000" w:rsidRPr="00000000" w14:paraId="0000014A">
      <w:pPr>
        <w:pStyle w:val="Heading2"/>
        <w:keepNext w:val="1"/>
        <w:rPr/>
      </w:pPr>
      <w:r w:rsidDel="00000000" w:rsidR="00000000" w:rsidRPr="00000000">
        <w:rPr>
          <w:rtl w:val="0"/>
        </w:rPr>
        <w:t xml:space="preserve">2.8 Identification of the Research Gap</w:t>
      </w:r>
    </w:p>
    <w:p w:rsidR="00000000" w:rsidDel="00000000" w:rsidP="00000000" w:rsidRDefault="00000000" w:rsidRPr="00000000" w14:paraId="0000014B">
      <w:pPr>
        <w:rPr/>
      </w:pPr>
      <w:r w:rsidDel="00000000" w:rsidR="00000000" w:rsidRPr="00000000">
        <w:rPr>
          <w:rtl w:val="0"/>
        </w:rPr>
        <w:t xml:space="preserve">The gap addressed by this study can now be stated precisely. Empirically, no study measures Terraform-based provisioning against manual provisioning of the same architecture. The available comparisons are tool against tool, so the question of whether adopting IaC at all is worth the effort has not been answered with controlled measurement.</w:t>
      </w:r>
    </w:p>
    <w:p w:rsidR="00000000" w:rsidDel="00000000" w:rsidP="00000000" w:rsidRDefault="00000000" w:rsidRPr="00000000" w14:paraId="0000014C">
      <w:pPr>
        <w:rPr/>
      </w:pPr>
      <w:r w:rsidDel="00000000" w:rsidR="00000000" w:rsidRPr="00000000">
        <w:rPr>
          <w:rtl w:val="0"/>
        </w:rPr>
        <w:t xml:space="preserve">Theoretically, no study separates the effect of defining infrastructure as code from the effect of forcing infrastructure changes through a reviewed pipeline. The two are treated as one intervention, which leaves the mechanism behind the governance benefit unexamined.</w:t>
      </w:r>
    </w:p>
    <w:p w:rsidR="00000000" w:rsidDel="00000000" w:rsidP="00000000" w:rsidRDefault="00000000" w:rsidRPr="00000000" w14:paraId="0000014D">
      <w:pPr>
        <w:rPr/>
      </w:pPr>
      <w:r w:rsidDel="00000000" w:rsidR="00000000" w:rsidRPr="00000000">
        <w:rPr>
          <w:rtl w:val="0"/>
        </w:rPr>
        <w:t xml:space="preserve">Contextually, no study of IaC practice has been conducted in Cambodia, and none in the reviewed literature addresses a setting in which auditable infrastructure change is a regulatory obligation rather than an engineering preference.</w:t>
      </w:r>
    </w:p>
    <w:p w:rsidR="00000000" w:rsidDel="00000000" w:rsidP="00000000" w:rsidRDefault="00000000" w:rsidRPr="00000000" w14:paraId="0000014E">
      <w:pPr>
        <w:rPr/>
      </w:pPr>
      <w:r w:rsidDel="00000000" w:rsidR="00000000" w:rsidRPr="00000000">
        <w:rPr>
          <w:rtl w:val="0"/>
        </w:rPr>
        <w:t xml:space="preserve">Addressing these three deficits together, rather than separately, is what distinguishes this study. Measuring an IaC implementation against the manual baseline addresses the empirical gap; modelling pipeline integration depth as a moderator addresses the theoretical one; and conducting the work in a Cambodian financial institution addresses the contextual one. The explanatory sequential design ensures that whatever pattern the measurements produce is interpreted alongside a documented record of what the implementation actually involved, rather than through assumption.</w:t>
      </w:r>
    </w:p>
    <w:p w:rsidR="00000000" w:rsidDel="00000000" w:rsidP="00000000" w:rsidRDefault="00000000" w:rsidRPr="00000000" w14:paraId="0000014F">
      <w:pPr>
        <w:pStyle w:val="Heading2"/>
        <w:keepNext w:val="1"/>
        <w:rPr/>
      </w:pPr>
      <w:r w:rsidDel="00000000" w:rsidR="00000000" w:rsidRPr="00000000">
        <w:rPr>
          <w:rtl w:val="0"/>
        </w:rPr>
        <w:t xml:space="preserve">2.9 Conceptual Framework and Hypothesis Development</w:t>
      </w:r>
    </w:p>
    <w:p w:rsidR="00000000" w:rsidDel="00000000" w:rsidP="00000000" w:rsidRDefault="00000000" w:rsidRPr="00000000" w14:paraId="00000150">
      <w:pPr>
        <w:rPr/>
      </w:pPr>
      <w:r w:rsidDel="00000000" w:rsidR="00000000" w:rsidRPr="00000000">
        <w:rPr>
          <w:rtl w:val="0"/>
        </w:rPr>
        <w:t xml:space="preserve">The conceptual framework, shown in Figure 2.1, models the provisioning method as the independent variable and the four outcome measures as dependent variables, with pipeline integration depth as a moderator and a set of control variables holding the measurement conditions steady.</w:t>
      </w:r>
    </w:p>
    <w:p w:rsidR="00000000" w:rsidDel="00000000" w:rsidP="00000000" w:rsidRDefault="00000000" w:rsidRPr="00000000" w14:paraId="00000151">
      <w:pPr>
        <w:pBdr>
          <w:top w:color="808080" w:space="0" w:sz="6" w:val="dashed"/>
          <w:left w:color="808080" w:space="0" w:sz="6" w:val="dashed"/>
          <w:bottom w:color="808080" w:space="0" w:sz="6" w:val="dashed"/>
          <w:right w:color="808080" w:space="0" w:sz="6" w:val="dashed"/>
        </w:pBdr>
        <w:spacing w:after="80" w:before="200" w:line="300" w:lineRule="auto"/>
        <w:jc w:val="center"/>
        <w:rPr>
          <w:sz w:val="20"/>
          <w:szCs w:val="20"/>
        </w:rPr>
      </w:pPr>
      <w:r w:rsidDel="00000000" w:rsidR="00000000" w:rsidRPr="00000000">
        <w:rPr>
          <w:sz w:val="20"/>
          <w:szCs w:val="20"/>
          <w:rtl w:val="0"/>
        </w:rPr>
        <w:br w:type="textWrapping"/>
      </w:r>
      <w:r w:rsidDel="00000000" w:rsidR="00000000" w:rsidRPr="00000000">
        <w:rPr>
          <w:sz w:val="22"/>
          <w:szCs w:val="22"/>
        </w:rPr>
        <w:drawing>
          <wp:inline distB="0" distT="0" distL="0" distR="0">
            <wp:extent cx="5334000" cy="314325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334000" cy="3143250"/>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spacing w:after="220" w:line="240" w:lineRule="auto"/>
        <w:jc w:val="left"/>
        <w:rPr>
          <w:sz w:val="20"/>
          <w:szCs w:val="20"/>
        </w:rPr>
      </w:pPr>
      <w:r w:rsidDel="00000000" w:rsidR="00000000" w:rsidRPr="00000000">
        <w:rPr>
          <w:sz w:val="20"/>
          <w:szCs w:val="20"/>
          <w:rtl w:val="0"/>
        </w:rPr>
        <w:t xml:space="preserve">Figure 2.1. Conceptual framework of the study. Solid arrows denote the direct hypothesised effects (H1–H4); the dashed arrow denotes the hypothesised moderating effect (H5); the dotted arrow denotes control variables held constant across conditions. Outcome measures adapted from Regvart et al. (2026) and from the DevOps capability logic discussed in Section 2.3.3.</w:t>
      </w:r>
    </w:p>
    <w:p w:rsidR="00000000" w:rsidDel="00000000" w:rsidP="00000000" w:rsidRDefault="00000000" w:rsidRPr="00000000" w14:paraId="00000153">
      <w:pPr>
        <w:rPr/>
      </w:pPr>
      <w:r w:rsidDel="00000000" w:rsidR="00000000" w:rsidRPr="00000000">
        <w:rPr>
          <w:rtl w:val="0"/>
        </w:rPr>
        <w:t xml:space="preserve">The hypotheses follow from this framework. H1 proposes that Terraform-based provisioning produces a shorter provisioning duration than manual provisioning. The reasoning is that declarative specification removes both the sequential clicking and the intermediate decision-making that manual creation requires, and that a tool can create independent resources in parallel where a human cannot. Regvart et al. (2026) establish the order of magnitude for automated provisioning of a comparable architecture at roughly four minutes; manual creation of the same components involves dozens of console steps. The direction is therefore not in doubt, and the contribution lies in measuring the size of the difference.</w:t>
      </w:r>
    </w:p>
    <w:p w:rsidR="00000000" w:rsidDel="00000000" w:rsidP="00000000" w:rsidRDefault="00000000" w:rsidRPr="00000000" w14:paraId="00000154">
      <w:pPr>
        <w:rPr/>
      </w:pPr>
      <w:r w:rsidDel="00000000" w:rsidR="00000000" w:rsidRPr="00000000">
        <w:rPr>
          <w:rtl w:val="0"/>
        </w:rPr>
        <w:t xml:space="preserve">H2 proposes that Terraform-based provisioning produces lower configuration drift between environments. The reasoning is that a single parameterised definition applied to three environments cannot produce divergent attributes except where a variable makes the divergence explicit, whereas manual creation repeats a long sequence of choices three times and relies on memory for consistency. Kumara et al. (2021) identify consistency as a core principle of IaC, though drift itself is seldom measured directly.</w:t>
      </w:r>
    </w:p>
    <w:p w:rsidR="00000000" w:rsidDel="00000000" w:rsidP="00000000" w:rsidRDefault="00000000" w:rsidRPr="00000000" w14:paraId="00000155">
      <w:pPr>
        <w:rPr/>
      </w:pPr>
      <w:r w:rsidDel="00000000" w:rsidR="00000000" w:rsidRPr="00000000">
        <w:rPr>
          <w:rtl w:val="0"/>
        </w:rPr>
        <w:t xml:space="preserve">H3 proposes that Terraform-based provisioning achieves a higher rate of successful destroy-and-rebuild reproduction. The reasoning is that the definition is the complete specification, so rebuilding is a matter of executing it, whereas manual rebuilding depends on undocumented operator knowledge. Regvart et al. (2026) report no deployment failures across thirty automated cycles, which supports the expectation for the automated condition without establishing attribute-level fidelity.</w:t>
      </w:r>
    </w:p>
    <w:p w:rsidR="00000000" w:rsidDel="00000000" w:rsidP="00000000" w:rsidRDefault="00000000" w:rsidRPr="00000000" w14:paraId="00000156">
      <w:pPr>
        <w:rPr/>
      </w:pPr>
      <w:r w:rsidDel="00000000" w:rsidR="00000000" w:rsidRPr="00000000">
        <w:rPr>
          <w:rtl w:val="0"/>
        </w:rPr>
        <w:t xml:space="preserve">H4 proposes that pipeline integration increases the proportion of infrastructure components under version control and subject to peer review. This is close to true by construction for components migrated into the repository, and the hypothesis is retained because the measurement establishes how complete the migration is: components that resist codification, such as manually issued certificates or console-only settings, are precisely what the measure will expose.</w:t>
      </w:r>
    </w:p>
    <w:p w:rsidR="00000000" w:rsidDel="00000000" w:rsidP="00000000" w:rsidRDefault="00000000" w:rsidRPr="00000000" w14:paraId="00000157">
      <w:pPr>
        <w:rPr/>
      </w:pPr>
      <w:r w:rsidDel="00000000" w:rsidR="00000000" w:rsidRPr="00000000">
        <w:rPr>
          <w:rtl w:val="0"/>
        </w:rPr>
        <w:t xml:space="preserve">H5 proposes that pipeline integration depth moderates the relationship between provisioning method and configuration drift. The reasoning is that Terraform run locally produces a version-controlled file but permits an engineer to apply an unreviewed change, and permits local state to diverge from the shared state; a gated plan and apply removes both possibilities. The expectation is therefore that the drift reduction attributable to Terraform is larger at greater integration depth. Verdet et al. (2025) and Begoug et al. (2025) supply the indirect evidence, in that both document Terraform code deteriorating in the absence of inspection.</w:t>
      </w:r>
    </w:p>
    <w:p w:rsidR="00000000" w:rsidDel="00000000" w:rsidP="00000000" w:rsidRDefault="00000000" w:rsidRPr="00000000" w14:paraId="00000158">
      <w:pPr>
        <w:keepNext w:val="1"/>
        <w:spacing w:after="100" w:before="200" w:line="240" w:lineRule="auto"/>
        <w:jc w:val="left"/>
        <w:rPr/>
      </w:pPr>
      <w:r w:rsidDel="00000000" w:rsidR="00000000" w:rsidRPr="00000000">
        <w:rPr>
          <w:b w:val="1"/>
          <w:bCs w:val="1"/>
          <w:rtl w:val="0"/>
        </w:rPr>
        <w:t xml:space="preserve">Table 2.2 </w:t>
      </w:r>
      <w:r w:rsidDel="00000000" w:rsidR="00000000" w:rsidRPr="00000000">
        <w:rPr>
          <w:i w:val="1"/>
          <w:iCs w:val="1"/>
          <w:rtl w:val="0"/>
        </w:rPr>
        <w:t xml:space="preserve">Summary of Research Hypotheses</w:t>
      </w:r>
      <w:r w:rsidDel="00000000" w:rsidR="00000000" w:rsidRPr="00000000">
        <w:rPr>
          <w:rtl w:val="0"/>
        </w:rPr>
      </w:r>
    </w:p>
    <w:tbl>
      <w:tblPr>
        <w:tblStyle w:val="Table4"/>
        <w:tblW w:w="8640.0" w:type="dxa"/>
        <w:jc w:val="left"/>
        <w:tblBorders>
          <w:top w:color="000000" w:space="0" w:sz="6" w:val="single"/>
          <w:left w:color="000000" w:space="0" w:sz="0" w:val="nil"/>
          <w:bottom w:color="000000" w:space="0" w:sz="6" w:val="single"/>
          <w:right w:color="000000" w:space="0" w:sz="0" w:val="nil"/>
          <w:insideH w:color="bfbfbf" w:space="0" w:sz="4" w:val="single"/>
          <w:insideV w:color="000000" w:space="0" w:sz="0" w:val="nil"/>
        </w:tblBorders>
        <w:tblLayout w:type="fixed"/>
        <w:tblLook w:val="0000"/>
      </w:tblPr>
      <w:tblGrid>
        <w:gridCol w:w="700"/>
        <w:gridCol w:w="3940"/>
        <w:gridCol w:w="1600"/>
        <w:gridCol w:w="2400"/>
        <w:tblGridChange w:id="0">
          <w:tblGrid>
            <w:gridCol w:w="700"/>
            <w:gridCol w:w="3940"/>
            <w:gridCol w:w="1600"/>
            <w:gridCol w:w="2400"/>
          </w:tblGrid>
        </w:tblGridChange>
      </w:tblGrid>
      <w:tr>
        <w:trPr>
          <w:cantSplit w:val="0"/>
          <w:tblHeader w:val="1"/>
        </w:trPr>
        <w:tc>
          <w:tcPr>
            <w:shd w:fill="edeff3" w:val="clear"/>
            <w:tcMar>
              <w:top w:w="80.0" w:type="dxa"/>
              <w:left w:w="110.0" w:type="dxa"/>
              <w:bottom w:w="80.0" w:type="dxa"/>
              <w:right w:w="110.0" w:type="dxa"/>
            </w:tcMar>
            <w:vAlign w:val="center"/>
          </w:tcPr>
          <w:p w:rsidR="00000000" w:rsidDel="00000000" w:rsidP="00000000" w:rsidRDefault="00000000" w:rsidRPr="00000000" w14:paraId="00000159">
            <w:pPr>
              <w:spacing w:after="40" w:line="240" w:lineRule="auto"/>
              <w:jc w:val="left"/>
              <w:rPr/>
            </w:pPr>
            <w:r w:rsidDel="00000000" w:rsidR="00000000" w:rsidRPr="00000000">
              <w:rPr>
                <w:b w:val="1"/>
                <w:bCs w:val="1"/>
                <w:sz w:val="20"/>
                <w:szCs w:val="20"/>
                <w:rtl w:val="0"/>
              </w:rPr>
              <w:t xml:space="preserve">No.</w:t>
            </w:r>
            <w:r w:rsidDel="00000000" w:rsidR="00000000" w:rsidRPr="00000000">
              <w:rPr>
                <w:rtl w:val="0"/>
              </w:rPr>
            </w:r>
          </w:p>
        </w:tc>
        <w:tc>
          <w:tcPr>
            <w:shd w:fill="edeff3" w:val="clear"/>
            <w:tcMar>
              <w:top w:w="80.0" w:type="dxa"/>
              <w:left w:w="110.0" w:type="dxa"/>
              <w:bottom w:w="80.0" w:type="dxa"/>
              <w:right w:w="110.0" w:type="dxa"/>
            </w:tcMar>
            <w:vAlign w:val="center"/>
          </w:tcPr>
          <w:p w:rsidR="00000000" w:rsidDel="00000000" w:rsidP="00000000" w:rsidRDefault="00000000" w:rsidRPr="00000000" w14:paraId="0000015A">
            <w:pPr>
              <w:spacing w:after="40" w:line="240" w:lineRule="auto"/>
              <w:jc w:val="left"/>
              <w:rPr/>
            </w:pPr>
            <w:r w:rsidDel="00000000" w:rsidR="00000000" w:rsidRPr="00000000">
              <w:rPr>
                <w:b w:val="1"/>
                <w:bCs w:val="1"/>
                <w:sz w:val="20"/>
                <w:szCs w:val="20"/>
                <w:rtl w:val="0"/>
              </w:rPr>
              <w:t xml:space="preserve">Hypothesis</w:t>
            </w:r>
            <w:r w:rsidDel="00000000" w:rsidR="00000000" w:rsidRPr="00000000">
              <w:rPr>
                <w:rtl w:val="0"/>
              </w:rPr>
            </w:r>
          </w:p>
        </w:tc>
        <w:tc>
          <w:tcPr>
            <w:shd w:fill="edeff3" w:val="clear"/>
            <w:tcMar>
              <w:top w:w="80.0" w:type="dxa"/>
              <w:left w:w="110.0" w:type="dxa"/>
              <w:bottom w:w="80.0" w:type="dxa"/>
              <w:right w:w="110.0" w:type="dxa"/>
            </w:tcMar>
            <w:vAlign w:val="center"/>
          </w:tcPr>
          <w:p w:rsidR="00000000" w:rsidDel="00000000" w:rsidP="00000000" w:rsidRDefault="00000000" w:rsidRPr="00000000" w14:paraId="0000015B">
            <w:pPr>
              <w:spacing w:after="40" w:line="240" w:lineRule="auto"/>
              <w:jc w:val="left"/>
              <w:rPr/>
            </w:pPr>
            <w:r w:rsidDel="00000000" w:rsidR="00000000" w:rsidRPr="00000000">
              <w:rPr>
                <w:b w:val="1"/>
                <w:bCs w:val="1"/>
                <w:sz w:val="20"/>
                <w:szCs w:val="20"/>
                <w:rtl w:val="0"/>
              </w:rPr>
              <w:t xml:space="preserve">Relationship</w:t>
            </w:r>
            <w:r w:rsidDel="00000000" w:rsidR="00000000" w:rsidRPr="00000000">
              <w:rPr>
                <w:rtl w:val="0"/>
              </w:rPr>
            </w:r>
          </w:p>
        </w:tc>
        <w:tc>
          <w:tcPr>
            <w:shd w:fill="edeff3" w:val="clear"/>
            <w:tcMar>
              <w:top w:w="80.0" w:type="dxa"/>
              <w:left w:w="110.0" w:type="dxa"/>
              <w:bottom w:w="80.0" w:type="dxa"/>
              <w:right w:w="110.0" w:type="dxa"/>
            </w:tcMar>
            <w:vAlign w:val="center"/>
          </w:tcPr>
          <w:p w:rsidR="00000000" w:rsidDel="00000000" w:rsidP="00000000" w:rsidRDefault="00000000" w:rsidRPr="00000000" w14:paraId="0000015C">
            <w:pPr>
              <w:spacing w:after="40" w:line="240" w:lineRule="auto"/>
              <w:jc w:val="left"/>
              <w:rPr/>
            </w:pPr>
            <w:r w:rsidDel="00000000" w:rsidR="00000000" w:rsidRPr="00000000">
              <w:rPr>
                <w:b w:val="1"/>
                <w:bCs w:val="1"/>
                <w:sz w:val="20"/>
                <w:szCs w:val="20"/>
                <w:rtl w:val="0"/>
              </w:rPr>
              <w:t xml:space="preserve">Supporting Literature</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5D">
            <w:pPr>
              <w:spacing w:after="0" w:line="250" w:lineRule="auto"/>
              <w:jc w:val="left"/>
              <w:rPr>
                <w:sz w:val="20"/>
                <w:szCs w:val="20"/>
              </w:rPr>
            </w:pPr>
            <w:r w:rsidDel="00000000" w:rsidR="00000000" w:rsidRPr="00000000">
              <w:rPr>
                <w:sz w:val="20"/>
                <w:szCs w:val="20"/>
                <w:rtl w:val="0"/>
              </w:rPr>
              <w:t xml:space="preserve">H1</w:t>
            </w:r>
          </w:p>
        </w:tc>
        <w:tc>
          <w:tcPr>
            <w:tcMar>
              <w:top w:w="70.0" w:type="dxa"/>
              <w:left w:w="110.0" w:type="dxa"/>
              <w:bottom w:w="70.0" w:type="dxa"/>
              <w:right w:w="110.0" w:type="dxa"/>
            </w:tcMar>
          </w:tcPr>
          <w:p w:rsidR="00000000" w:rsidDel="00000000" w:rsidP="00000000" w:rsidRDefault="00000000" w:rsidRPr="00000000" w14:paraId="0000015E">
            <w:pPr>
              <w:spacing w:after="0" w:line="250" w:lineRule="auto"/>
              <w:jc w:val="left"/>
              <w:rPr>
                <w:sz w:val="20"/>
                <w:szCs w:val="20"/>
              </w:rPr>
            </w:pPr>
            <w:r w:rsidDel="00000000" w:rsidR="00000000" w:rsidRPr="00000000">
              <w:rPr>
                <w:sz w:val="20"/>
                <w:szCs w:val="20"/>
                <w:rtl w:val="0"/>
              </w:rPr>
              <w:t xml:space="preserve">Terraform-based provisioning produces significantly shorter provisioning duration than manual provisioning</w:t>
            </w:r>
          </w:p>
        </w:tc>
        <w:tc>
          <w:tcPr>
            <w:tcMar>
              <w:top w:w="70.0" w:type="dxa"/>
              <w:left w:w="110.0" w:type="dxa"/>
              <w:bottom w:w="70.0" w:type="dxa"/>
              <w:right w:w="110.0" w:type="dxa"/>
            </w:tcMar>
          </w:tcPr>
          <w:p w:rsidR="00000000" w:rsidDel="00000000" w:rsidP="00000000" w:rsidRDefault="00000000" w:rsidRPr="00000000" w14:paraId="0000015F">
            <w:pPr>
              <w:spacing w:after="0" w:line="250" w:lineRule="auto"/>
              <w:jc w:val="left"/>
              <w:rPr>
                <w:sz w:val="20"/>
                <w:szCs w:val="20"/>
              </w:rPr>
            </w:pPr>
            <w:r w:rsidDel="00000000" w:rsidR="00000000" w:rsidRPr="00000000">
              <w:rPr>
                <w:sz w:val="20"/>
                <w:szCs w:val="20"/>
                <w:rtl w:val="0"/>
              </w:rPr>
              <w:t xml:space="preserve">Direct</w:t>
            </w:r>
          </w:p>
        </w:tc>
        <w:tc>
          <w:tcPr>
            <w:tcMar>
              <w:top w:w="70.0" w:type="dxa"/>
              <w:left w:w="110.0" w:type="dxa"/>
              <w:bottom w:w="70.0" w:type="dxa"/>
              <w:right w:w="110.0" w:type="dxa"/>
            </w:tcMar>
          </w:tcPr>
          <w:p w:rsidR="00000000" w:rsidDel="00000000" w:rsidP="00000000" w:rsidRDefault="00000000" w:rsidRPr="00000000" w14:paraId="00000160">
            <w:pPr>
              <w:spacing w:after="0" w:line="250" w:lineRule="auto"/>
              <w:jc w:val="left"/>
              <w:rPr>
                <w:sz w:val="20"/>
                <w:szCs w:val="20"/>
              </w:rPr>
            </w:pPr>
            <w:r w:rsidDel="00000000" w:rsidR="00000000" w:rsidRPr="00000000">
              <w:rPr>
                <w:sz w:val="20"/>
                <w:szCs w:val="20"/>
                <w:rtl w:val="0"/>
              </w:rPr>
              <w:t xml:space="preserve">Regvart et al. (2026); Villamizar et al. (2017)</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61">
            <w:pPr>
              <w:spacing w:after="0" w:line="250" w:lineRule="auto"/>
              <w:jc w:val="left"/>
              <w:rPr>
                <w:sz w:val="20"/>
                <w:szCs w:val="20"/>
              </w:rPr>
            </w:pPr>
            <w:r w:rsidDel="00000000" w:rsidR="00000000" w:rsidRPr="00000000">
              <w:rPr>
                <w:sz w:val="20"/>
                <w:szCs w:val="20"/>
                <w:rtl w:val="0"/>
              </w:rPr>
              <w:t xml:space="preserve">H2</w:t>
            </w:r>
          </w:p>
        </w:tc>
        <w:tc>
          <w:tcPr>
            <w:tcMar>
              <w:top w:w="70.0" w:type="dxa"/>
              <w:left w:w="110.0" w:type="dxa"/>
              <w:bottom w:w="70.0" w:type="dxa"/>
              <w:right w:w="110.0" w:type="dxa"/>
            </w:tcMar>
          </w:tcPr>
          <w:p w:rsidR="00000000" w:rsidDel="00000000" w:rsidP="00000000" w:rsidRDefault="00000000" w:rsidRPr="00000000" w14:paraId="00000162">
            <w:pPr>
              <w:spacing w:after="0" w:line="250" w:lineRule="auto"/>
              <w:jc w:val="left"/>
              <w:rPr>
                <w:sz w:val="20"/>
                <w:szCs w:val="20"/>
              </w:rPr>
            </w:pPr>
            <w:r w:rsidDel="00000000" w:rsidR="00000000" w:rsidRPr="00000000">
              <w:rPr>
                <w:sz w:val="20"/>
                <w:szCs w:val="20"/>
                <w:rtl w:val="0"/>
              </w:rPr>
              <w:t xml:space="preserve">Terraform-based provisioning produces significantly lower configuration drift between environments</w:t>
            </w:r>
          </w:p>
        </w:tc>
        <w:tc>
          <w:tcPr>
            <w:tcMar>
              <w:top w:w="70.0" w:type="dxa"/>
              <w:left w:w="110.0" w:type="dxa"/>
              <w:bottom w:w="70.0" w:type="dxa"/>
              <w:right w:w="110.0" w:type="dxa"/>
            </w:tcMar>
          </w:tcPr>
          <w:p w:rsidR="00000000" w:rsidDel="00000000" w:rsidP="00000000" w:rsidRDefault="00000000" w:rsidRPr="00000000" w14:paraId="00000163">
            <w:pPr>
              <w:spacing w:after="0" w:line="250" w:lineRule="auto"/>
              <w:jc w:val="left"/>
              <w:rPr>
                <w:sz w:val="20"/>
                <w:szCs w:val="20"/>
              </w:rPr>
            </w:pPr>
            <w:r w:rsidDel="00000000" w:rsidR="00000000" w:rsidRPr="00000000">
              <w:rPr>
                <w:sz w:val="20"/>
                <w:szCs w:val="20"/>
                <w:rtl w:val="0"/>
              </w:rPr>
              <w:t xml:space="preserve">Direct</w:t>
            </w:r>
          </w:p>
        </w:tc>
        <w:tc>
          <w:tcPr>
            <w:tcMar>
              <w:top w:w="70.0" w:type="dxa"/>
              <w:left w:w="110.0" w:type="dxa"/>
              <w:bottom w:w="70.0" w:type="dxa"/>
              <w:right w:w="110.0" w:type="dxa"/>
            </w:tcMar>
          </w:tcPr>
          <w:p w:rsidR="00000000" w:rsidDel="00000000" w:rsidP="00000000" w:rsidRDefault="00000000" w:rsidRPr="00000000" w14:paraId="00000164">
            <w:pPr>
              <w:spacing w:after="0" w:line="250" w:lineRule="auto"/>
              <w:jc w:val="left"/>
              <w:rPr>
                <w:sz w:val="20"/>
                <w:szCs w:val="20"/>
              </w:rPr>
            </w:pPr>
            <w:r w:rsidDel="00000000" w:rsidR="00000000" w:rsidRPr="00000000">
              <w:rPr>
                <w:sz w:val="20"/>
                <w:szCs w:val="20"/>
                <w:rtl w:val="0"/>
              </w:rPr>
              <w:t xml:space="preserve">Kumara et al. (2021); Guerriero et al. (2019)</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65">
            <w:pPr>
              <w:spacing w:after="0" w:line="250" w:lineRule="auto"/>
              <w:jc w:val="left"/>
              <w:rPr>
                <w:sz w:val="20"/>
                <w:szCs w:val="20"/>
              </w:rPr>
            </w:pPr>
            <w:r w:rsidDel="00000000" w:rsidR="00000000" w:rsidRPr="00000000">
              <w:rPr>
                <w:sz w:val="20"/>
                <w:szCs w:val="20"/>
                <w:rtl w:val="0"/>
              </w:rPr>
              <w:t xml:space="preserve">H3</w:t>
            </w:r>
          </w:p>
        </w:tc>
        <w:tc>
          <w:tcPr>
            <w:tcMar>
              <w:top w:w="70.0" w:type="dxa"/>
              <w:left w:w="110.0" w:type="dxa"/>
              <w:bottom w:w="70.0" w:type="dxa"/>
              <w:right w:w="110.0" w:type="dxa"/>
            </w:tcMar>
          </w:tcPr>
          <w:p w:rsidR="00000000" w:rsidDel="00000000" w:rsidP="00000000" w:rsidRDefault="00000000" w:rsidRPr="00000000" w14:paraId="00000166">
            <w:pPr>
              <w:spacing w:after="0" w:line="250" w:lineRule="auto"/>
              <w:jc w:val="left"/>
              <w:rPr>
                <w:sz w:val="20"/>
                <w:szCs w:val="20"/>
              </w:rPr>
            </w:pPr>
            <w:r w:rsidDel="00000000" w:rsidR="00000000" w:rsidRPr="00000000">
              <w:rPr>
                <w:sz w:val="20"/>
                <w:szCs w:val="20"/>
                <w:rtl w:val="0"/>
              </w:rPr>
              <w:t xml:space="preserve">Terraform-based provisioning achieves a significantly higher destroy-and-rebuild reproduction rate</w:t>
            </w:r>
          </w:p>
        </w:tc>
        <w:tc>
          <w:tcPr>
            <w:tcMar>
              <w:top w:w="70.0" w:type="dxa"/>
              <w:left w:w="110.0" w:type="dxa"/>
              <w:bottom w:w="70.0" w:type="dxa"/>
              <w:right w:w="110.0" w:type="dxa"/>
            </w:tcMar>
          </w:tcPr>
          <w:p w:rsidR="00000000" w:rsidDel="00000000" w:rsidP="00000000" w:rsidRDefault="00000000" w:rsidRPr="00000000" w14:paraId="00000167">
            <w:pPr>
              <w:spacing w:after="0" w:line="250" w:lineRule="auto"/>
              <w:jc w:val="left"/>
              <w:rPr>
                <w:sz w:val="20"/>
                <w:szCs w:val="20"/>
              </w:rPr>
            </w:pPr>
            <w:r w:rsidDel="00000000" w:rsidR="00000000" w:rsidRPr="00000000">
              <w:rPr>
                <w:sz w:val="20"/>
                <w:szCs w:val="20"/>
                <w:rtl w:val="0"/>
              </w:rPr>
              <w:t xml:space="preserve">Direct</w:t>
            </w:r>
          </w:p>
        </w:tc>
        <w:tc>
          <w:tcPr>
            <w:tcMar>
              <w:top w:w="70.0" w:type="dxa"/>
              <w:left w:w="110.0" w:type="dxa"/>
              <w:bottom w:w="70.0" w:type="dxa"/>
              <w:right w:w="110.0" w:type="dxa"/>
            </w:tcMar>
          </w:tcPr>
          <w:p w:rsidR="00000000" w:rsidDel="00000000" w:rsidP="00000000" w:rsidRDefault="00000000" w:rsidRPr="00000000" w14:paraId="00000168">
            <w:pPr>
              <w:spacing w:after="0" w:line="250" w:lineRule="auto"/>
              <w:jc w:val="left"/>
              <w:rPr>
                <w:sz w:val="20"/>
                <w:szCs w:val="20"/>
              </w:rPr>
            </w:pPr>
            <w:r w:rsidDel="00000000" w:rsidR="00000000" w:rsidRPr="00000000">
              <w:rPr>
                <w:sz w:val="20"/>
                <w:szCs w:val="20"/>
                <w:rtl w:val="0"/>
              </w:rPr>
              <w:t xml:space="preserve">Regvart et al. (2026)</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69">
            <w:pPr>
              <w:spacing w:after="0" w:line="250" w:lineRule="auto"/>
              <w:jc w:val="left"/>
              <w:rPr>
                <w:sz w:val="20"/>
                <w:szCs w:val="20"/>
              </w:rPr>
            </w:pPr>
            <w:r w:rsidDel="00000000" w:rsidR="00000000" w:rsidRPr="00000000">
              <w:rPr>
                <w:sz w:val="20"/>
                <w:szCs w:val="20"/>
                <w:rtl w:val="0"/>
              </w:rPr>
              <w:t xml:space="preserve">H4</w:t>
            </w:r>
          </w:p>
        </w:tc>
        <w:tc>
          <w:tcPr>
            <w:tcMar>
              <w:top w:w="70.0" w:type="dxa"/>
              <w:left w:w="110.0" w:type="dxa"/>
              <w:bottom w:w="70.0" w:type="dxa"/>
              <w:right w:w="110.0" w:type="dxa"/>
            </w:tcMar>
          </w:tcPr>
          <w:p w:rsidR="00000000" w:rsidDel="00000000" w:rsidP="00000000" w:rsidRDefault="00000000" w:rsidRPr="00000000" w14:paraId="0000016A">
            <w:pPr>
              <w:spacing w:after="0" w:line="250" w:lineRule="auto"/>
              <w:jc w:val="left"/>
              <w:rPr>
                <w:sz w:val="20"/>
                <w:szCs w:val="20"/>
              </w:rPr>
            </w:pPr>
            <w:r w:rsidDel="00000000" w:rsidR="00000000" w:rsidRPr="00000000">
              <w:rPr>
                <w:sz w:val="20"/>
                <w:szCs w:val="20"/>
                <w:rtl w:val="0"/>
              </w:rPr>
              <w:t xml:space="preserve">Pipeline integration significantly increases the proportion of components under version control and peer review</w:t>
            </w:r>
          </w:p>
        </w:tc>
        <w:tc>
          <w:tcPr>
            <w:tcMar>
              <w:top w:w="70.0" w:type="dxa"/>
              <w:left w:w="110.0" w:type="dxa"/>
              <w:bottom w:w="70.0" w:type="dxa"/>
              <w:right w:w="110.0" w:type="dxa"/>
            </w:tcMar>
          </w:tcPr>
          <w:p w:rsidR="00000000" w:rsidDel="00000000" w:rsidP="00000000" w:rsidRDefault="00000000" w:rsidRPr="00000000" w14:paraId="0000016B">
            <w:pPr>
              <w:spacing w:after="0" w:line="250" w:lineRule="auto"/>
              <w:jc w:val="left"/>
              <w:rPr>
                <w:sz w:val="20"/>
                <w:szCs w:val="20"/>
              </w:rPr>
            </w:pPr>
            <w:r w:rsidDel="00000000" w:rsidR="00000000" w:rsidRPr="00000000">
              <w:rPr>
                <w:sz w:val="20"/>
                <w:szCs w:val="20"/>
                <w:rtl w:val="0"/>
              </w:rPr>
              <w:t xml:space="preserve">Direct</w:t>
            </w:r>
          </w:p>
        </w:tc>
        <w:tc>
          <w:tcPr>
            <w:tcMar>
              <w:top w:w="70.0" w:type="dxa"/>
              <w:left w:w="110.0" w:type="dxa"/>
              <w:bottom w:w="70.0" w:type="dxa"/>
              <w:right w:w="110.0" w:type="dxa"/>
            </w:tcMar>
          </w:tcPr>
          <w:p w:rsidR="00000000" w:rsidDel="00000000" w:rsidP="00000000" w:rsidRDefault="00000000" w:rsidRPr="00000000" w14:paraId="0000016C">
            <w:pPr>
              <w:spacing w:after="0" w:line="250" w:lineRule="auto"/>
              <w:jc w:val="left"/>
              <w:rPr>
                <w:sz w:val="20"/>
                <w:szCs w:val="20"/>
              </w:rPr>
            </w:pPr>
            <w:r w:rsidDel="00000000" w:rsidR="00000000" w:rsidRPr="00000000">
              <w:rPr>
                <w:sz w:val="20"/>
                <w:szCs w:val="20"/>
                <w:rtl w:val="0"/>
              </w:rPr>
              <w:t xml:space="preserve">Hilton et al. (2016); Rostami Mazrae et al. (2023)</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6D">
            <w:pPr>
              <w:spacing w:after="0" w:line="250" w:lineRule="auto"/>
              <w:jc w:val="left"/>
              <w:rPr>
                <w:sz w:val="20"/>
                <w:szCs w:val="20"/>
              </w:rPr>
            </w:pPr>
            <w:r w:rsidDel="00000000" w:rsidR="00000000" w:rsidRPr="00000000">
              <w:rPr>
                <w:sz w:val="20"/>
                <w:szCs w:val="20"/>
                <w:rtl w:val="0"/>
              </w:rPr>
              <w:t xml:space="preserve">H5</w:t>
            </w:r>
          </w:p>
        </w:tc>
        <w:tc>
          <w:tcPr>
            <w:tcMar>
              <w:top w:w="70.0" w:type="dxa"/>
              <w:left w:w="110.0" w:type="dxa"/>
              <w:bottom w:w="70.0" w:type="dxa"/>
              <w:right w:w="110.0" w:type="dxa"/>
            </w:tcMar>
          </w:tcPr>
          <w:p w:rsidR="00000000" w:rsidDel="00000000" w:rsidP="00000000" w:rsidRDefault="00000000" w:rsidRPr="00000000" w14:paraId="0000016E">
            <w:pPr>
              <w:spacing w:after="0" w:line="250" w:lineRule="auto"/>
              <w:jc w:val="left"/>
              <w:rPr>
                <w:sz w:val="20"/>
                <w:szCs w:val="20"/>
              </w:rPr>
            </w:pPr>
            <w:sdt>
              <w:sdtPr>
                <w:id w:val="-1001826546"/>
                <w:tag w:val="goog_rdk_0"/>
              </w:sdtPr>
              <w:sdtContent>
                <w:r w:rsidDel="00000000" w:rsidR="00000000" w:rsidRPr="00000000">
                  <w:rPr>
                    <w:rFonts w:ascii="Cardo" w:cs="Cardo" w:eastAsia="Cardo" w:hAnsi="Cardo"/>
                    <w:sz w:val="20"/>
                    <w:szCs w:val="20"/>
                    <w:rtl w:val="0"/>
                  </w:rPr>
                  <w:t xml:space="preserve">Pipeline integration depth moderates the provisioning method → configuration drift relationship</w:t>
                </w:r>
              </w:sdtContent>
            </w:sdt>
          </w:p>
        </w:tc>
        <w:tc>
          <w:tcPr>
            <w:tcMar>
              <w:top w:w="70.0" w:type="dxa"/>
              <w:left w:w="110.0" w:type="dxa"/>
              <w:bottom w:w="70.0" w:type="dxa"/>
              <w:right w:w="110.0" w:type="dxa"/>
            </w:tcMar>
          </w:tcPr>
          <w:p w:rsidR="00000000" w:rsidDel="00000000" w:rsidP="00000000" w:rsidRDefault="00000000" w:rsidRPr="00000000" w14:paraId="0000016F">
            <w:pPr>
              <w:spacing w:after="0" w:line="250" w:lineRule="auto"/>
              <w:jc w:val="left"/>
              <w:rPr>
                <w:sz w:val="20"/>
                <w:szCs w:val="20"/>
              </w:rPr>
            </w:pPr>
            <w:r w:rsidDel="00000000" w:rsidR="00000000" w:rsidRPr="00000000">
              <w:rPr>
                <w:sz w:val="20"/>
                <w:szCs w:val="20"/>
                <w:rtl w:val="0"/>
              </w:rPr>
              <w:t xml:space="preserve">Interaction</w:t>
            </w:r>
          </w:p>
        </w:tc>
        <w:tc>
          <w:tcPr>
            <w:tcMar>
              <w:top w:w="70.0" w:type="dxa"/>
              <w:left w:w="110.0" w:type="dxa"/>
              <w:bottom w:w="70.0" w:type="dxa"/>
              <w:right w:w="110.0" w:type="dxa"/>
            </w:tcMar>
          </w:tcPr>
          <w:p w:rsidR="00000000" w:rsidDel="00000000" w:rsidP="00000000" w:rsidRDefault="00000000" w:rsidRPr="00000000" w14:paraId="00000170">
            <w:pPr>
              <w:spacing w:after="0" w:line="250" w:lineRule="auto"/>
              <w:jc w:val="left"/>
              <w:rPr>
                <w:sz w:val="20"/>
                <w:szCs w:val="20"/>
              </w:rPr>
            </w:pPr>
            <w:r w:rsidDel="00000000" w:rsidR="00000000" w:rsidRPr="00000000">
              <w:rPr>
                <w:sz w:val="20"/>
                <w:szCs w:val="20"/>
                <w:rtl w:val="0"/>
              </w:rPr>
              <w:t xml:space="preserve">Verdet et al. (2025); Begoug et al. (2025)</w:t>
            </w:r>
          </w:p>
        </w:tc>
      </w:tr>
    </w:tbl>
    <w:p w:rsidR="00000000" w:rsidDel="00000000" w:rsidP="00000000" w:rsidRDefault="00000000" w:rsidRPr="00000000" w14:paraId="00000171">
      <w:pPr>
        <w:pStyle w:val="Heading2"/>
        <w:keepNext w:val="1"/>
        <w:rPr/>
      </w:pPr>
      <w:r w:rsidDel="00000000" w:rsidR="00000000" w:rsidRPr="00000000">
        <w:rPr>
          <w:rtl w:val="0"/>
        </w:rPr>
        <w:t xml:space="preserve">2.10 Chapter Summary</w:t>
      </w: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This chapter has reviewed the literature relevant to Infrastructure as Code, CI/CD pipelines and AWS infrastructure. It described a structured search across seven databases, stated its inclusion and exclusion criteria, and explained why a number of frequently cited but unverifiable sources were excluded. It examined three theoretical strands, namely IaC principles, the deployment pipeline concept and DevOps capability measurement, and explained why the four dominant technology acceptance frameworks were considered and set aside: their unit of analysis is a person, whereas the dependent variables here are properties of a system.</w:t>
      </w:r>
    </w:p>
    <w:p w:rsidR="00000000" w:rsidDel="00000000" w:rsidP="00000000" w:rsidRDefault="00000000" w:rsidRPr="00000000" w14:paraId="00000173">
      <w:pPr>
        <w:rPr/>
      </w:pPr>
      <w:r w:rsidDel="00000000" w:rsidR="00000000" w:rsidRPr="00000000">
        <w:rPr>
          <w:rtl w:val="0"/>
        </w:rPr>
        <w:t xml:space="preserve">It reviewed five studies in detail, covering Terraform performance on AWS, Terraform security, Terraform module maintenance, GitHub Actions CI/CD and AWS infrastructure architecture, and compared these alongside three supporting studies in Table 2.1. The critical discussion identified three unsettled matters: that the literature compares automated tools with each other rather than with manual work, that it separates IaC from the pipeline and so cannot isolate the governance benefit, and that its findings come from open-source and European settings whose transferability to a regulated Cambodian institution is untested.</w:t>
      </w:r>
    </w:p>
    <w:p w:rsidR="00000000" w:rsidDel="00000000" w:rsidP="00000000" w:rsidRDefault="00000000" w:rsidRPr="00000000" w14:paraId="00000174">
      <w:pPr>
        <w:rPr/>
      </w:pPr>
      <w:r w:rsidDel="00000000" w:rsidR="00000000" w:rsidRPr="00000000">
        <w:rPr>
          <w:rtl w:val="0"/>
        </w:rPr>
        <w:t xml:space="preserve">From that discussion an empirical, a theoretical and a contextual gap were identified, and a conceptual framework with five testable hypotheses was derived. Chapter 3 sets out the philosophy, design, procedures and analytical strategy through which these hypotheses will be tested and the accompanying qualitative question answered.</w:t>
      </w:r>
    </w:p>
    <w:p w:rsidR="00000000" w:rsidDel="00000000" w:rsidP="00000000" w:rsidRDefault="00000000" w:rsidRPr="00000000" w14:paraId="00000175">
      <w:pPr>
        <w:pStyle w:val="Heading1"/>
        <w:pageBreakBefore w:val="1"/>
        <w:rPr/>
      </w:pPr>
      <w:r w:rsidDel="00000000" w:rsidR="00000000" w:rsidRPr="00000000">
        <w:rPr>
          <w:rtl w:val="0"/>
        </w:rPr>
        <w:t xml:space="preserve">CHAPTER 3: RESEARCH METHODOLOGY</w:t>
      </w:r>
      <w:r w:rsidDel="00000000" w:rsidR="00000000" w:rsidRPr="00000000">
        <w:rPr>
          <w:rtl w:val="0"/>
        </w:rPr>
      </w:r>
    </w:p>
    <w:p w:rsidR="00000000" w:rsidDel="00000000" w:rsidP="00000000" w:rsidRDefault="00000000" w:rsidRPr="00000000" w14:paraId="00000176">
      <w:pPr>
        <w:pStyle w:val="Heading2"/>
        <w:keepNext w:val="1"/>
        <w:rPr/>
      </w:pPr>
      <w:r w:rsidDel="00000000" w:rsidR="00000000" w:rsidRPr="00000000">
        <w:rPr>
          <w:rtl w:val="0"/>
        </w:rPr>
        <w:t xml:space="preserve">3.1 Introduction</w:t>
      </w:r>
    </w:p>
    <w:p w:rsidR="00000000" w:rsidDel="00000000" w:rsidP="00000000" w:rsidRDefault="00000000" w:rsidRPr="00000000" w14:paraId="00000177">
      <w:pPr>
        <w:rPr/>
      </w:pPr>
      <w:r w:rsidDel="00000000" w:rsidR="00000000" w:rsidRPr="00000000">
        <w:rPr>
          <w:rtl w:val="0"/>
        </w:rPr>
        <w:t xml:space="preserve">This chapter explains how the research questions stated in Section 1.6 will be answered. It sets out the philosophical position underpinning the study, the research approach and design, the population and sampling strategy for each strand, the instruments and procedures for data collection, the analytical techniques to be applied, the criteria by which quality will be judged, and the ethical safeguards that govern the work. The chapter closes by acknowledging the methodological limitations that follow from the choices made.</w:t>
      </w:r>
    </w:p>
    <w:p w:rsidR="00000000" w:rsidDel="00000000" w:rsidP="00000000" w:rsidRDefault="00000000" w:rsidRPr="00000000" w14:paraId="00000178">
      <w:pPr>
        <w:pStyle w:val="Heading2"/>
        <w:keepNext w:val="1"/>
        <w:rPr/>
      </w:pPr>
      <w:r w:rsidDel="00000000" w:rsidR="00000000" w:rsidRPr="00000000">
        <w:rPr>
          <w:rtl w:val="0"/>
        </w:rPr>
        <w:t xml:space="preserve">3.2 Research Philosophy</w:t>
      </w:r>
    </w:p>
    <w:p w:rsidR="00000000" w:rsidDel="00000000" w:rsidP="00000000" w:rsidRDefault="00000000" w:rsidRPr="00000000" w14:paraId="00000179">
      <w:pPr>
        <w:rPr/>
      </w:pPr>
      <w:r w:rsidDel="00000000" w:rsidR="00000000" w:rsidRPr="00000000">
        <w:rPr>
          <w:rtl w:val="0"/>
        </w:rPr>
        <w:t xml:space="preserve">Research design decisions rest on assumptions about the nature of reality and of knowledge, and those assumptions should be stated rather than left implicit (Guba &amp; Lincoln, 1994; Saunders et al., 2019). This study adopts pragmatism. Pragmatism holds that the value of a knowledge claim lies in its usefulness for addressing the problem at hand, and it rejects the view that quantitative and qualitative evidence rest on incompatible foundations (Johnson &amp; Onwuegbuzie, 2004; Creswell &amp; Plano Clark, 2018).</w:t>
      </w:r>
    </w:p>
    <w:p w:rsidR="00000000" w:rsidDel="00000000" w:rsidP="00000000" w:rsidRDefault="00000000" w:rsidRPr="00000000" w14:paraId="0000017A">
      <w:pPr>
        <w:rPr/>
      </w:pPr>
      <w:r w:rsidDel="00000000" w:rsidR="00000000" w:rsidRPr="00000000">
        <w:rPr>
          <w:rtl w:val="0"/>
        </w:rPr>
        <w:t xml:space="preserve">Ontologically, this position fits the object of study well. Some features of the phenomenon exist independently of the researcher and can be measured directly: a provisioning run takes a certain number of seconds, an attribute either differs between two environments or it does not, a component is either defined in the repository or it is not. Other features are not like this. Whether a particular implementation problem counts as a serious barrier, and why an engineer chose one module structure over another, are matters of judgement formed in a specific working context.</w:t>
      </w:r>
    </w:p>
    <w:p w:rsidR="00000000" w:rsidDel="00000000" w:rsidP="00000000" w:rsidRDefault="00000000" w:rsidRPr="00000000" w14:paraId="0000017B">
      <w:pPr>
        <w:rPr/>
      </w:pPr>
      <w:r w:rsidDel="00000000" w:rsidR="00000000" w:rsidRPr="00000000">
        <w:rPr>
          <w:rtl w:val="0"/>
        </w:rPr>
        <w:t xml:space="preserve">Pragmatism is appropriate because the research questions are of these two kinds. RQ1 to RQ3 ask about magnitude and direction and are answered most credibly by instrumentation and statistical inference, which presuppose a broadly post-positivist stance. RQ4 asks what made the change difficult, which is a question about practice and judgement and presupposes an interpretive stance. Committing to a single paradigm would mean abandoning one set of questions or answering it with unsuitable methods.</w:t>
      </w:r>
    </w:p>
    <w:p w:rsidR="00000000" w:rsidDel="00000000" w:rsidP="00000000" w:rsidRDefault="00000000" w:rsidRPr="00000000" w14:paraId="0000017C">
      <w:pPr>
        <w:pStyle w:val="Heading2"/>
        <w:keepNext w:val="1"/>
        <w:rPr/>
      </w:pPr>
      <w:r w:rsidDel="00000000" w:rsidR="00000000" w:rsidRPr="00000000">
        <w:rPr>
          <w:rtl w:val="0"/>
        </w:rPr>
        <w:t xml:space="preserve">3.3 Research Approach</w:t>
      </w:r>
    </w:p>
    <w:p w:rsidR="00000000" w:rsidDel="00000000" w:rsidP="00000000" w:rsidRDefault="00000000" w:rsidRPr="00000000" w14:paraId="0000017D">
      <w:pPr>
        <w:rPr/>
      </w:pPr>
      <w:r w:rsidDel="00000000" w:rsidR="00000000" w:rsidRPr="00000000">
        <w:rPr>
          <w:rtl w:val="0"/>
        </w:rPr>
        <w:t xml:space="preserve">The study uses an abductive approach combining deductive and inductive reasoning (Saunders et al., 2019). The quantitative strand is deductive: the hypotheses derived in Chapter 2 are operationalised, measured and tested against observed values, with disconfirmation possible in each case. H2 and H5 in particular could fail, since it is entirely possible that a parameterised Terraform codebase produces drift through inconsistent variable files, or that local execution proves as effective as gated execution in a team small enough for informal coordination to work.</w:t>
      </w:r>
    </w:p>
    <w:p w:rsidR="00000000" w:rsidDel="00000000" w:rsidP="00000000" w:rsidRDefault="00000000" w:rsidRPr="00000000" w14:paraId="0000017E">
      <w:pPr>
        <w:rPr/>
      </w:pPr>
      <w:r w:rsidDel="00000000" w:rsidR="00000000" w:rsidRPr="00000000">
        <w:rPr>
          <w:rtl w:val="0"/>
        </w:rPr>
        <w:t xml:space="preserve">The qualitative strand is inductive: themes are developed from the implementation record rather than imposed from the framework, so that difficulties the literature did not anticipate can surface. Integration at the interpretation stage is abductive, in that the most plausible explanation for the combined pattern is inferred, and where the implementation record contradicts the measured result the framework itself is revisited.</w:t>
      </w:r>
    </w:p>
    <w:p w:rsidR="00000000" w:rsidDel="00000000" w:rsidP="00000000" w:rsidRDefault="00000000" w:rsidRPr="00000000" w14:paraId="0000017F">
      <w:pPr>
        <w:pStyle w:val="Heading2"/>
        <w:keepNext w:val="1"/>
        <w:rPr/>
      </w:pPr>
      <w:r w:rsidDel="00000000" w:rsidR="00000000" w:rsidRPr="00000000">
        <w:rPr>
          <w:rtl w:val="0"/>
        </w:rPr>
        <w:t xml:space="preserve">3.4 Research Design</w:t>
      </w:r>
    </w:p>
    <w:p w:rsidR="00000000" w:rsidDel="00000000" w:rsidP="00000000" w:rsidRDefault="00000000" w:rsidRPr="00000000" w14:paraId="00000180">
      <w:pPr>
        <w:rPr/>
      </w:pPr>
      <w:r w:rsidDel="00000000" w:rsidR="00000000" w:rsidRPr="00000000">
        <w:rPr>
          <w:rtl w:val="0"/>
        </w:rPr>
        <w:t xml:space="preserve">An explanatory sequential mixed methods design is adopted (Creswell &amp; Plano Clark, 2018). Quantitative data are collected and analysed first; the results then determine which aspects of the implementation record are examined most closely in the qualitative phase, which is used to explain those results. The design is chosen over a convergent parallel alternative because the purpose of the qualitative strand is explanatory rather than corroborative: the sections of the implementation log examined in depth are selected on the basis of what the measurements show, with unexpected results given priority.</w:t>
      </w:r>
    </w:p>
    <w:p w:rsidR="00000000" w:rsidDel="00000000" w:rsidP="00000000" w:rsidRDefault="00000000" w:rsidRPr="00000000" w14:paraId="00000181">
      <w:pPr>
        <w:rPr/>
      </w:pPr>
      <w:r w:rsidDel="00000000" w:rsidR="00000000" w:rsidRPr="00000000">
        <w:rPr>
          <w:rtl w:val="0"/>
        </w:rPr>
        <w:t xml:space="preserve">The design proceeds in three phases. Phase 1 is a controlled repeated-deployment experiment addressing RQ1 to RQ3 and testing H1 to H5. Phase 2 is a qualitative phase in which the structured implementation log is analysed thematically, addressing RQ4 and probing the specific results Phase 1 produces, including any hypothesis that is not supported. Phase 3 is integration, in which the two datasets are brought together in a joint display and interpreted jointly.</w:t>
      </w:r>
    </w:p>
    <w:p w:rsidR="00000000" w:rsidDel="00000000" w:rsidP="00000000" w:rsidRDefault="00000000" w:rsidRPr="00000000" w14:paraId="00000182">
      <w:pPr>
        <w:pBdr>
          <w:top w:color="808080" w:space="0" w:sz="6" w:val="dashed"/>
          <w:left w:color="808080" w:space="0" w:sz="6" w:val="dashed"/>
          <w:bottom w:color="808080" w:space="0" w:sz="6" w:val="dashed"/>
          <w:right w:color="808080" w:space="0" w:sz="6" w:val="dashed"/>
        </w:pBdr>
        <w:spacing w:after="80" w:before="200" w:line="300" w:lineRule="auto"/>
        <w:jc w:val="center"/>
        <w:rPr>
          <w:i w:val="1"/>
          <w:iCs w:val="1"/>
          <w:color w:val="595959"/>
          <w:sz w:val="20"/>
          <w:szCs w:val="20"/>
        </w:rPr>
      </w:pPr>
      <w:r w:rsidDel="00000000" w:rsidR="00000000" w:rsidRPr="00000000">
        <w:rPr>
          <w:sz w:val="20"/>
          <w:szCs w:val="20"/>
          <w:rtl w:val="0"/>
        </w:rPr>
        <w:br w:type="textWrapping"/>
      </w:r>
      <w:r w:rsidDel="00000000" w:rsidR="00000000" w:rsidRPr="00000000">
        <w:rPr>
          <w:sz w:val="22"/>
          <w:szCs w:val="22"/>
        </w:rPr>
        <w:drawing>
          <wp:inline distB="0" distT="0" distL="0" distR="0">
            <wp:extent cx="5334000" cy="2790825"/>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334000" cy="2790825"/>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spacing w:after="220" w:line="240" w:lineRule="auto"/>
        <w:jc w:val="left"/>
        <w:rPr>
          <w:sz w:val="20"/>
          <w:szCs w:val="20"/>
        </w:rPr>
      </w:pPr>
      <w:r w:rsidDel="00000000" w:rsidR="00000000" w:rsidRPr="00000000">
        <w:rPr>
          <w:sz w:val="20"/>
          <w:szCs w:val="20"/>
          <w:rtl w:val="0"/>
        </w:rPr>
        <w:t xml:space="preserve">Figure 3.1. Explanatory sequential mixed methods design. Capitalisation indicates the priority given to each strand. Adapted from Creswell and Plano Clark (2018).</w:t>
      </w:r>
    </w:p>
    <w:p w:rsidR="00000000" w:rsidDel="00000000" w:rsidP="00000000" w:rsidRDefault="00000000" w:rsidRPr="00000000" w14:paraId="00000184">
      <w:pPr>
        <w:rPr/>
      </w:pPr>
      <w:r w:rsidDel="00000000" w:rsidR="00000000" w:rsidRPr="00000000">
        <w:rPr>
          <w:rtl w:val="0"/>
        </w:rPr>
        <w:t xml:space="preserve">One design decision requires explanation. The template on which this dissertation is based assumes a cross-sectional survey of human respondents, and the present study departs from that assumption because its dependent variables are properties of a system rather than perceptions held by people. Provisioning duration is measured by timestamp, not reported on a rating scale. This departure is deliberate and is defended in Section 2.3.4: substituting perceived speed for measured speed would weaken the evidence. The consequence is that the study involves no human participants, which changes what the ethical safeguards in Section 3.11 must address.</w:t>
      </w:r>
    </w:p>
    <w:p w:rsidR="00000000" w:rsidDel="00000000" w:rsidP="00000000" w:rsidRDefault="00000000" w:rsidRPr="00000000" w14:paraId="00000185">
      <w:pPr>
        <w:rPr/>
      </w:pPr>
      <w:r w:rsidDel="00000000" w:rsidR="00000000" w:rsidRPr="00000000">
        <w:rPr>
          <w:rtl w:val="0"/>
        </w:rPr>
        <w:t xml:space="preserve">A second consequence concerns the limits of the design. Because all runs are conducted on one architecture in one account by one researcher, the study is a single case, and it establishes what happened in that case rather than what happens generally. This is acknowledged in Section 3.12 and revisited in Chapter 5.</w:t>
      </w:r>
    </w:p>
    <w:p w:rsidR="00000000" w:rsidDel="00000000" w:rsidP="00000000" w:rsidRDefault="00000000" w:rsidRPr="00000000" w14:paraId="00000186">
      <w:pPr>
        <w:keepNext w:val="1"/>
        <w:spacing w:after="100" w:before="200" w:line="240" w:lineRule="auto"/>
        <w:jc w:val="left"/>
        <w:rPr/>
      </w:pPr>
      <w:r w:rsidDel="00000000" w:rsidR="00000000" w:rsidRPr="00000000">
        <w:rPr>
          <w:b w:val="1"/>
          <w:bCs w:val="1"/>
          <w:rtl w:val="0"/>
        </w:rPr>
        <w:t xml:space="preserve">Table 3.1 </w:t>
      </w:r>
      <w:r w:rsidDel="00000000" w:rsidR="00000000" w:rsidRPr="00000000">
        <w:rPr>
          <w:i w:val="1"/>
          <w:iCs w:val="1"/>
          <w:rtl w:val="0"/>
        </w:rPr>
        <w:t xml:space="preserve">Alignment of Research Questions, Data Sources and Analysis</w:t>
      </w:r>
      <w:r w:rsidDel="00000000" w:rsidR="00000000" w:rsidRPr="00000000">
        <w:rPr>
          <w:rtl w:val="0"/>
        </w:rPr>
      </w:r>
    </w:p>
    <w:tbl>
      <w:tblPr>
        <w:tblStyle w:val="Table5"/>
        <w:tblW w:w="8640.0" w:type="dxa"/>
        <w:jc w:val="left"/>
        <w:tblBorders>
          <w:top w:color="000000" w:space="0" w:sz="6" w:val="single"/>
          <w:left w:color="000000" w:space="0" w:sz="0" w:val="nil"/>
          <w:bottom w:color="000000" w:space="0" w:sz="6" w:val="single"/>
          <w:right w:color="000000" w:space="0" w:sz="0" w:val="nil"/>
          <w:insideH w:color="bfbfbf" w:space="0" w:sz="4" w:val="single"/>
          <w:insideV w:color="000000" w:space="0" w:sz="0" w:val="nil"/>
        </w:tblBorders>
        <w:tblLayout w:type="fixed"/>
        <w:tblLook w:val="0000"/>
      </w:tblPr>
      <w:tblGrid>
        <w:gridCol w:w="699"/>
        <w:gridCol w:w="1042"/>
        <w:gridCol w:w="1397"/>
        <w:gridCol w:w="2327"/>
        <w:gridCol w:w="3175"/>
        <w:tblGridChange w:id="0">
          <w:tblGrid>
            <w:gridCol w:w="699"/>
            <w:gridCol w:w="1042"/>
            <w:gridCol w:w="1397"/>
            <w:gridCol w:w="2327"/>
            <w:gridCol w:w="3175"/>
          </w:tblGrid>
        </w:tblGridChange>
      </w:tblGrid>
      <w:tr>
        <w:trPr>
          <w:cantSplit w:val="0"/>
          <w:tblHeader w:val="1"/>
        </w:trPr>
        <w:tc>
          <w:tcPr>
            <w:shd w:fill="edeff3" w:val="clear"/>
            <w:tcMar>
              <w:top w:w="80.0" w:type="dxa"/>
              <w:left w:w="110.0" w:type="dxa"/>
              <w:bottom w:w="80.0" w:type="dxa"/>
              <w:right w:w="110.0" w:type="dxa"/>
            </w:tcMar>
            <w:vAlign w:val="center"/>
          </w:tcPr>
          <w:p w:rsidR="00000000" w:rsidDel="00000000" w:rsidP="00000000" w:rsidRDefault="00000000" w:rsidRPr="00000000" w14:paraId="00000187">
            <w:pPr>
              <w:spacing w:after="40" w:line="240" w:lineRule="auto"/>
              <w:jc w:val="left"/>
              <w:rPr/>
            </w:pPr>
            <w:r w:rsidDel="00000000" w:rsidR="00000000" w:rsidRPr="00000000">
              <w:rPr>
                <w:b w:val="1"/>
                <w:bCs w:val="1"/>
                <w:sz w:val="20"/>
                <w:szCs w:val="20"/>
                <w:rtl w:val="0"/>
              </w:rPr>
              <w:t xml:space="preserve">RQ</w:t>
            </w:r>
            <w:r w:rsidDel="00000000" w:rsidR="00000000" w:rsidRPr="00000000">
              <w:rPr>
                <w:rtl w:val="0"/>
              </w:rPr>
            </w:r>
          </w:p>
        </w:tc>
        <w:tc>
          <w:tcPr>
            <w:shd w:fill="edeff3" w:val="clear"/>
            <w:tcMar>
              <w:top w:w="80.0" w:type="dxa"/>
              <w:left w:w="110.0" w:type="dxa"/>
              <w:bottom w:w="80.0" w:type="dxa"/>
              <w:right w:w="110.0" w:type="dxa"/>
            </w:tcMar>
            <w:vAlign w:val="center"/>
          </w:tcPr>
          <w:p w:rsidR="00000000" w:rsidDel="00000000" w:rsidP="00000000" w:rsidRDefault="00000000" w:rsidRPr="00000000" w14:paraId="00000188">
            <w:pPr>
              <w:spacing w:after="40" w:line="240" w:lineRule="auto"/>
              <w:jc w:val="left"/>
              <w:rPr/>
            </w:pPr>
            <w:r w:rsidDel="00000000" w:rsidR="00000000" w:rsidRPr="00000000">
              <w:rPr>
                <w:b w:val="1"/>
                <w:bCs w:val="1"/>
                <w:sz w:val="20"/>
                <w:szCs w:val="20"/>
                <w:rtl w:val="0"/>
              </w:rPr>
              <w:t xml:space="preserve">Objective</w:t>
            </w:r>
            <w:r w:rsidDel="00000000" w:rsidR="00000000" w:rsidRPr="00000000">
              <w:rPr>
                <w:rtl w:val="0"/>
              </w:rPr>
            </w:r>
          </w:p>
        </w:tc>
        <w:tc>
          <w:tcPr>
            <w:shd w:fill="edeff3" w:val="clear"/>
            <w:tcMar>
              <w:top w:w="80.0" w:type="dxa"/>
              <w:left w:w="110.0" w:type="dxa"/>
              <w:bottom w:w="80.0" w:type="dxa"/>
              <w:right w:w="110.0" w:type="dxa"/>
            </w:tcMar>
            <w:vAlign w:val="center"/>
          </w:tcPr>
          <w:p w:rsidR="00000000" w:rsidDel="00000000" w:rsidP="00000000" w:rsidRDefault="00000000" w:rsidRPr="00000000" w14:paraId="00000189">
            <w:pPr>
              <w:spacing w:after="40" w:line="240" w:lineRule="auto"/>
              <w:jc w:val="left"/>
              <w:rPr/>
            </w:pPr>
            <w:r w:rsidDel="00000000" w:rsidR="00000000" w:rsidRPr="00000000">
              <w:rPr>
                <w:b w:val="1"/>
                <w:bCs w:val="1"/>
                <w:sz w:val="20"/>
                <w:szCs w:val="20"/>
                <w:rtl w:val="0"/>
              </w:rPr>
              <w:t xml:space="preserve">Strand</w:t>
            </w:r>
            <w:r w:rsidDel="00000000" w:rsidR="00000000" w:rsidRPr="00000000">
              <w:rPr>
                <w:rtl w:val="0"/>
              </w:rPr>
            </w:r>
          </w:p>
        </w:tc>
        <w:tc>
          <w:tcPr>
            <w:shd w:fill="edeff3" w:val="clear"/>
            <w:tcMar>
              <w:top w:w="80.0" w:type="dxa"/>
              <w:left w:w="110.0" w:type="dxa"/>
              <w:bottom w:w="80.0" w:type="dxa"/>
              <w:right w:w="110.0" w:type="dxa"/>
            </w:tcMar>
            <w:vAlign w:val="center"/>
          </w:tcPr>
          <w:p w:rsidR="00000000" w:rsidDel="00000000" w:rsidP="00000000" w:rsidRDefault="00000000" w:rsidRPr="00000000" w14:paraId="0000018A">
            <w:pPr>
              <w:spacing w:after="40" w:line="240" w:lineRule="auto"/>
              <w:jc w:val="left"/>
              <w:rPr/>
            </w:pPr>
            <w:r w:rsidDel="00000000" w:rsidR="00000000" w:rsidRPr="00000000">
              <w:rPr>
                <w:b w:val="1"/>
                <w:bCs w:val="1"/>
                <w:sz w:val="20"/>
                <w:szCs w:val="20"/>
                <w:rtl w:val="0"/>
              </w:rPr>
              <w:t xml:space="preserve">Data Source</w:t>
            </w:r>
            <w:r w:rsidDel="00000000" w:rsidR="00000000" w:rsidRPr="00000000">
              <w:rPr>
                <w:rtl w:val="0"/>
              </w:rPr>
            </w:r>
          </w:p>
        </w:tc>
        <w:tc>
          <w:tcPr>
            <w:shd w:fill="edeff3" w:val="clear"/>
            <w:tcMar>
              <w:top w:w="80.0" w:type="dxa"/>
              <w:left w:w="110.0" w:type="dxa"/>
              <w:bottom w:w="80.0" w:type="dxa"/>
              <w:right w:w="110.0" w:type="dxa"/>
            </w:tcMar>
            <w:vAlign w:val="center"/>
          </w:tcPr>
          <w:p w:rsidR="00000000" w:rsidDel="00000000" w:rsidP="00000000" w:rsidRDefault="00000000" w:rsidRPr="00000000" w14:paraId="0000018B">
            <w:pPr>
              <w:spacing w:after="40" w:line="240" w:lineRule="auto"/>
              <w:jc w:val="left"/>
              <w:rPr/>
            </w:pPr>
            <w:r w:rsidDel="00000000" w:rsidR="00000000" w:rsidRPr="00000000">
              <w:rPr>
                <w:b w:val="1"/>
                <w:bCs w:val="1"/>
                <w:sz w:val="20"/>
                <w:szCs w:val="20"/>
                <w:rtl w:val="0"/>
              </w:rPr>
              <w:t xml:space="preserve">Analysis</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8C">
            <w:pPr>
              <w:spacing w:after="0" w:line="250" w:lineRule="auto"/>
              <w:jc w:val="left"/>
              <w:rPr>
                <w:sz w:val="20"/>
                <w:szCs w:val="20"/>
              </w:rPr>
            </w:pPr>
            <w:r w:rsidDel="00000000" w:rsidR="00000000" w:rsidRPr="00000000">
              <w:rPr>
                <w:sz w:val="20"/>
                <w:szCs w:val="20"/>
                <w:rtl w:val="0"/>
              </w:rPr>
              <w:t xml:space="preserve">RQ1</w:t>
            </w:r>
          </w:p>
        </w:tc>
        <w:tc>
          <w:tcPr>
            <w:tcMar>
              <w:top w:w="70.0" w:type="dxa"/>
              <w:left w:w="110.0" w:type="dxa"/>
              <w:bottom w:w="70.0" w:type="dxa"/>
              <w:right w:w="110.0" w:type="dxa"/>
            </w:tcMar>
          </w:tcPr>
          <w:p w:rsidR="00000000" w:rsidDel="00000000" w:rsidP="00000000" w:rsidRDefault="00000000" w:rsidRPr="00000000" w14:paraId="0000018D">
            <w:pPr>
              <w:spacing w:after="0" w:line="250" w:lineRule="auto"/>
              <w:jc w:val="left"/>
              <w:rPr>
                <w:sz w:val="20"/>
                <w:szCs w:val="20"/>
              </w:rPr>
            </w:pPr>
            <w:r w:rsidDel="00000000" w:rsidR="00000000" w:rsidRPr="00000000">
              <w:rPr>
                <w:sz w:val="20"/>
                <w:szCs w:val="20"/>
                <w:rtl w:val="0"/>
              </w:rPr>
              <w:t xml:space="preserve">Obj. 1</w:t>
            </w:r>
          </w:p>
        </w:tc>
        <w:tc>
          <w:tcPr>
            <w:tcMar>
              <w:top w:w="70.0" w:type="dxa"/>
              <w:left w:w="110.0" w:type="dxa"/>
              <w:bottom w:w="70.0" w:type="dxa"/>
              <w:right w:w="110.0" w:type="dxa"/>
            </w:tcMar>
          </w:tcPr>
          <w:p w:rsidR="00000000" w:rsidDel="00000000" w:rsidP="00000000" w:rsidRDefault="00000000" w:rsidRPr="00000000" w14:paraId="0000018E">
            <w:pPr>
              <w:spacing w:after="0" w:line="250" w:lineRule="auto"/>
              <w:jc w:val="left"/>
              <w:rPr>
                <w:sz w:val="20"/>
                <w:szCs w:val="20"/>
              </w:rPr>
            </w:pPr>
            <w:r w:rsidDel="00000000" w:rsidR="00000000" w:rsidRPr="00000000">
              <w:rPr>
                <w:sz w:val="20"/>
                <w:szCs w:val="20"/>
                <w:rtl w:val="0"/>
              </w:rPr>
              <w:t xml:space="preserve">Quantitative</w:t>
            </w:r>
          </w:p>
        </w:tc>
        <w:tc>
          <w:tcPr>
            <w:tcMar>
              <w:top w:w="70.0" w:type="dxa"/>
              <w:left w:w="110.0" w:type="dxa"/>
              <w:bottom w:w="70.0" w:type="dxa"/>
              <w:right w:w="110.0" w:type="dxa"/>
            </w:tcMar>
          </w:tcPr>
          <w:p w:rsidR="00000000" w:rsidDel="00000000" w:rsidP="00000000" w:rsidRDefault="00000000" w:rsidRPr="00000000" w14:paraId="0000018F">
            <w:pPr>
              <w:spacing w:after="0" w:line="250" w:lineRule="auto"/>
              <w:jc w:val="left"/>
              <w:rPr>
                <w:sz w:val="20"/>
                <w:szCs w:val="20"/>
              </w:rPr>
            </w:pPr>
            <w:r w:rsidDel="00000000" w:rsidR="00000000" w:rsidRPr="00000000">
              <w:rPr>
                <w:sz w:val="20"/>
                <w:szCs w:val="20"/>
                <w:rtl w:val="0"/>
              </w:rPr>
              <w:t xml:space="preserve">Architecture inventory; AWS command line output; repository audit</w:t>
            </w:r>
          </w:p>
        </w:tc>
        <w:tc>
          <w:tcPr>
            <w:tcMar>
              <w:top w:w="70.0" w:type="dxa"/>
              <w:left w:w="110.0" w:type="dxa"/>
              <w:bottom w:w="70.0" w:type="dxa"/>
              <w:right w:w="110.0" w:type="dxa"/>
            </w:tcMar>
          </w:tcPr>
          <w:p w:rsidR="00000000" w:rsidDel="00000000" w:rsidP="00000000" w:rsidRDefault="00000000" w:rsidRPr="00000000" w14:paraId="00000190">
            <w:pPr>
              <w:spacing w:after="0" w:line="250" w:lineRule="auto"/>
              <w:jc w:val="left"/>
              <w:rPr>
                <w:sz w:val="20"/>
                <w:szCs w:val="20"/>
              </w:rPr>
            </w:pPr>
            <w:r w:rsidDel="00000000" w:rsidR="00000000" w:rsidRPr="00000000">
              <w:rPr>
                <w:sz w:val="20"/>
                <w:szCs w:val="20"/>
                <w:rtl w:val="0"/>
              </w:rPr>
              <w:t xml:space="preserve">Descriptive statistics: counts, percentages</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91">
            <w:pPr>
              <w:spacing w:after="0" w:line="250" w:lineRule="auto"/>
              <w:jc w:val="left"/>
              <w:rPr>
                <w:sz w:val="20"/>
                <w:szCs w:val="20"/>
              </w:rPr>
            </w:pPr>
            <w:r w:rsidDel="00000000" w:rsidR="00000000" w:rsidRPr="00000000">
              <w:rPr>
                <w:sz w:val="20"/>
                <w:szCs w:val="20"/>
                <w:rtl w:val="0"/>
              </w:rPr>
              <w:t xml:space="preserve">RQ2</w:t>
            </w:r>
          </w:p>
        </w:tc>
        <w:tc>
          <w:tcPr>
            <w:tcMar>
              <w:top w:w="70.0" w:type="dxa"/>
              <w:left w:w="110.0" w:type="dxa"/>
              <w:bottom w:w="70.0" w:type="dxa"/>
              <w:right w:w="110.0" w:type="dxa"/>
            </w:tcMar>
          </w:tcPr>
          <w:p w:rsidR="00000000" w:rsidDel="00000000" w:rsidP="00000000" w:rsidRDefault="00000000" w:rsidRPr="00000000" w14:paraId="00000192">
            <w:pPr>
              <w:spacing w:after="0" w:line="250" w:lineRule="auto"/>
              <w:jc w:val="left"/>
              <w:rPr>
                <w:sz w:val="20"/>
                <w:szCs w:val="20"/>
              </w:rPr>
            </w:pPr>
            <w:r w:rsidDel="00000000" w:rsidR="00000000" w:rsidRPr="00000000">
              <w:rPr>
                <w:sz w:val="20"/>
                <w:szCs w:val="20"/>
                <w:rtl w:val="0"/>
              </w:rPr>
              <w:t xml:space="preserve">Obj. 2, 4</w:t>
            </w:r>
          </w:p>
        </w:tc>
        <w:tc>
          <w:tcPr>
            <w:tcMar>
              <w:top w:w="70.0" w:type="dxa"/>
              <w:left w:w="110.0" w:type="dxa"/>
              <w:bottom w:w="70.0" w:type="dxa"/>
              <w:right w:w="110.0" w:type="dxa"/>
            </w:tcMar>
          </w:tcPr>
          <w:p w:rsidR="00000000" w:rsidDel="00000000" w:rsidP="00000000" w:rsidRDefault="00000000" w:rsidRPr="00000000" w14:paraId="00000193">
            <w:pPr>
              <w:spacing w:after="0" w:line="250" w:lineRule="auto"/>
              <w:jc w:val="left"/>
              <w:rPr>
                <w:sz w:val="20"/>
                <w:szCs w:val="20"/>
              </w:rPr>
            </w:pPr>
            <w:r w:rsidDel="00000000" w:rsidR="00000000" w:rsidRPr="00000000">
              <w:rPr>
                <w:sz w:val="20"/>
                <w:szCs w:val="20"/>
                <w:rtl w:val="0"/>
              </w:rPr>
              <w:t xml:space="preserve">Quantitative</w:t>
            </w:r>
          </w:p>
        </w:tc>
        <w:tc>
          <w:tcPr>
            <w:tcMar>
              <w:top w:w="70.0" w:type="dxa"/>
              <w:left w:w="110.0" w:type="dxa"/>
              <w:bottom w:w="70.0" w:type="dxa"/>
              <w:right w:w="110.0" w:type="dxa"/>
            </w:tcMar>
          </w:tcPr>
          <w:p w:rsidR="00000000" w:rsidDel="00000000" w:rsidP="00000000" w:rsidRDefault="00000000" w:rsidRPr="00000000" w14:paraId="00000194">
            <w:pPr>
              <w:spacing w:after="0" w:line="250" w:lineRule="auto"/>
              <w:jc w:val="left"/>
              <w:rPr>
                <w:sz w:val="20"/>
                <w:szCs w:val="20"/>
              </w:rPr>
            </w:pPr>
            <w:r w:rsidDel="00000000" w:rsidR="00000000" w:rsidRPr="00000000">
              <w:rPr>
                <w:sz w:val="20"/>
                <w:szCs w:val="20"/>
                <w:rtl w:val="0"/>
              </w:rPr>
              <w:t xml:space="preserve">Timing logs from 30 Terraform and 10 manual runs; drift counts; rebuild outcomes</w:t>
            </w:r>
          </w:p>
        </w:tc>
        <w:tc>
          <w:tcPr>
            <w:tcMar>
              <w:top w:w="70.0" w:type="dxa"/>
              <w:left w:w="110.0" w:type="dxa"/>
              <w:bottom w:w="70.0" w:type="dxa"/>
              <w:right w:w="110.0" w:type="dxa"/>
            </w:tcMar>
          </w:tcPr>
          <w:p w:rsidR="00000000" w:rsidDel="00000000" w:rsidP="00000000" w:rsidRDefault="00000000" w:rsidRPr="00000000" w14:paraId="00000195">
            <w:pPr>
              <w:spacing w:after="0" w:line="250" w:lineRule="auto"/>
              <w:jc w:val="left"/>
              <w:rPr>
                <w:sz w:val="20"/>
                <w:szCs w:val="20"/>
              </w:rPr>
            </w:pPr>
            <w:r w:rsidDel="00000000" w:rsidR="00000000" w:rsidRPr="00000000">
              <w:rPr>
                <w:sz w:val="20"/>
                <w:szCs w:val="20"/>
                <w:rtl w:val="0"/>
              </w:rPr>
              <w:t xml:space="preserve">Welch's t-test or Mann–Whitney U; Fisher's exact test; Cohen's d</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96">
            <w:pPr>
              <w:spacing w:after="0" w:line="250" w:lineRule="auto"/>
              <w:jc w:val="left"/>
              <w:rPr>
                <w:sz w:val="20"/>
                <w:szCs w:val="20"/>
              </w:rPr>
            </w:pPr>
            <w:r w:rsidDel="00000000" w:rsidR="00000000" w:rsidRPr="00000000">
              <w:rPr>
                <w:sz w:val="20"/>
                <w:szCs w:val="20"/>
                <w:rtl w:val="0"/>
              </w:rPr>
              <w:t xml:space="preserve">RQ3</w:t>
            </w:r>
          </w:p>
        </w:tc>
        <w:tc>
          <w:tcPr>
            <w:tcMar>
              <w:top w:w="70.0" w:type="dxa"/>
              <w:left w:w="110.0" w:type="dxa"/>
              <w:bottom w:w="70.0" w:type="dxa"/>
              <w:right w:w="110.0" w:type="dxa"/>
            </w:tcMar>
          </w:tcPr>
          <w:p w:rsidR="00000000" w:rsidDel="00000000" w:rsidP="00000000" w:rsidRDefault="00000000" w:rsidRPr="00000000" w14:paraId="00000197">
            <w:pPr>
              <w:spacing w:after="0" w:line="250" w:lineRule="auto"/>
              <w:jc w:val="left"/>
              <w:rPr>
                <w:sz w:val="20"/>
                <w:szCs w:val="20"/>
              </w:rPr>
            </w:pPr>
            <w:r w:rsidDel="00000000" w:rsidR="00000000" w:rsidRPr="00000000">
              <w:rPr>
                <w:sz w:val="20"/>
                <w:szCs w:val="20"/>
                <w:rtl w:val="0"/>
              </w:rPr>
              <w:t xml:space="preserve">Obj. 3, 4</w:t>
            </w:r>
          </w:p>
        </w:tc>
        <w:tc>
          <w:tcPr>
            <w:tcMar>
              <w:top w:w="70.0" w:type="dxa"/>
              <w:left w:w="110.0" w:type="dxa"/>
              <w:bottom w:w="70.0" w:type="dxa"/>
              <w:right w:w="110.0" w:type="dxa"/>
            </w:tcMar>
          </w:tcPr>
          <w:p w:rsidR="00000000" w:rsidDel="00000000" w:rsidP="00000000" w:rsidRDefault="00000000" w:rsidRPr="00000000" w14:paraId="00000198">
            <w:pPr>
              <w:spacing w:after="0" w:line="250" w:lineRule="auto"/>
              <w:jc w:val="left"/>
              <w:rPr>
                <w:sz w:val="20"/>
                <w:szCs w:val="20"/>
              </w:rPr>
            </w:pPr>
            <w:r w:rsidDel="00000000" w:rsidR="00000000" w:rsidRPr="00000000">
              <w:rPr>
                <w:sz w:val="20"/>
                <w:szCs w:val="20"/>
                <w:rtl w:val="0"/>
              </w:rPr>
              <w:t xml:space="preserve">Quantitative</w:t>
            </w:r>
          </w:p>
        </w:tc>
        <w:tc>
          <w:tcPr>
            <w:tcMar>
              <w:top w:w="70.0" w:type="dxa"/>
              <w:left w:w="110.0" w:type="dxa"/>
              <w:bottom w:w="70.0" w:type="dxa"/>
              <w:right w:w="110.0" w:type="dxa"/>
            </w:tcMar>
          </w:tcPr>
          <w:p w:rsidR="00000000" w:rsidDel="00000000" w:rsidP="00000000" w:rsidRDefault="00000000" w:rsidRPr="00000000" w14:paraId="00000199">
            <w:pPr>
              <w:spacing w:after="0" w:line="250" w:lineRule="auto"/>
              <w:jc w:val="left"/>
              <w:rPr>
                <w:sz w:val="20"/>
                <w:szCs w:val="20"/>
              </w:rPr>
            </w:pPr>
            <w:r w:rsidDel="00000000" w:rsidR="00000000" w:rsidRPr="00000000">
              <w:rPr>
                <w:sz w:val="20"/>
                <w:szCs w:val="20"/>
                <w:rtl w:val="0"/>
              </w:rPr>
              <w:t xml:space="preserve">Drift counts recorded at three levels of pipeline integration depth</w:t>
            </w:r>
          </w:p>
        </w:tc>
        <w:tc>
          <w:tcPr>
            <w:tcMar>
              <w:top w:w="70.0" w:type="dxa"/>
              <w:left w:w="110.0" w:type="dxa"/>
              <w:bottom w:w="70.0" w:type="dxa"/>
              <w:right w:w="110.0" w:type="dxa"/>
            </w:tcMar>
          </w:tcPr>
          <w:p w:rsidR="00000000" w:rsidDel="00000000" w:rsidP="00000000" w:rsidRDefault="00000000" w:rsidRPr="00000000" w14:paraId="0000019A">
            <w:pPr>
              <w:spacing w:after="0" w:line="250" w:lineRule="auto"/>
              <w:jc w:val="left"/>
              <w:rPr>
                <w:sz w:val="20"/>
                <w:szCs w:val="20"/>
              </w:rPr>
            </w:pPr>
            <w:r w:rsidDel="00000000" w:rsidR="00000000" w:rsidRPr="00000000">
              <w:rPr>
                <w:sz w:val="20"/>
                <w:szCs w:val="20"/>
                <w:rtl w:val="0"/>
              </w:rPr>
              <w:t xml:space="preserve">Two-way comparison of drift counts; interaction assessed by Kruskal–Wallis</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9B">
            <w:pPr>
              <w:spacing w:after="0" w:line="250" w:lineRule="auto"/>
              <w:jc w:val="left"/>
              <w:rPr>
                <w:sz w:val="20"/>
                <w:szCs w:val="20"/>
              </w:rPr>
            </w:pPr>
            <w:r w:rsidDel="00000000" w:rsidR="00000000" w:rsidRPr="00000000">
              <w:rPr>
                <w:sz w:val="20"/>
                <w:szCs w:val="20"/>
                <w:rtl w:val="0"/>
              </w:rPr>
              <w:t xml:space="preserve">RQ4</w:t>
            </w:r>
          </w:p>
        </w:tc>
        <w:tc>
          <w:tcPr>
            <w:tcMar>
              <w:top w:w="70.0" w:type="dxa"/>
              <w:left w:w="110.0" w:type="dxa"/>
              <w:bottom w:w="70.0" w:type="dxa"/>
              <w:right w:w="110.0" w:type="dxa"/>
            </w:tcMar>
          </w:tcPr>
          <w:p w:rsidR="00000000" w:rsidDel="00000000" w:rsidP="00000000" w:rsidRDefault="00000000" w:rsidRPr="00000000" w14:paraId="0000019C">
            <w:pPr>
              <w:spacing w:after="0" w:line="250" w:lineRule="auto"/>
              <w:jc w:val="left"/>
              <w:rPr>
                <w:sz w:val="20"/>
                <w:szCs w:val="20"/>
              </w:rPr>
            </w:pPr>
            <w:r w:rsidDel="00000000" w:rsidR="00000000" w:rsidRPr="00000000">
              <w:rPr>
                <w:sz w:val="20"/>
                <w:szCs w:val="20"/>
                <w:rtl w:val="0"/>
              </w:rPr>
              <w:t xml:space="preserve">Obj. 5</w:t>
            </w:r>
          </w:p>
        </w:tc>
        <w:tc>
          <w:tcPr>
            <w:tcMar>
              <w:top w:w="70.0" w:type="dxa"/>
              <w:left w:w="110.0" w:type="dxa"/>
              <w:bottom w:w="70.0" w:type="dxa"/>
              <w:right w:w="110.0" w:type="dxa"/>
            </w:tcMar>
          </w:tcPr>
          <w:p w:rsidR="00000000" w:rsidDel="00000000" w:rsidP="00000000" w:rsidRDefault="00000000" w:rsidRPr="00000000" w14:paraId="0000019D">
            <w:pPr>
              <w:spacing w:after="0" w:line="250" w:lineRule="auto"/>
              <w:jc w:val="left"/>
              <w:rPr>
                <w:sz w:val="20"/>
                <w:szCs w:val="20"/>
              </w:rPr>
            </w:pPr>
            <w:r w:rsidDel="00000000" w:rsidR="00000000" w:rsidRPr="00000000">
              <w:rPr>
                <w:sz w:val="20"/>
                <w:szCs w:val="20"/>
                <w:rtl w:val="0"/>
              </w:rPr>
              <w:t xml:space="preserve">Qualitative</w:t>
            </w:r>
          </w:p>
        </w:tc>
        <w:tc>
          <w:tcPr>
            <w:tcMar>
              <w:top w:w="70.0" w:type="dxa"/>
              <w:left w:w="110.0" w:type="dxa"/>
              <w:bottom w:w="70.0" w:type="dxa"/>
              <w:right w:w="110.0" w:type="dxa"/>
            </w:tcMar>
          </w:tcPr>
          <w:p w:rsidR="00000000" w:rsidDel="00000000" w:rsidP="00000000" w:rsidRDefault="00000000" w:rsidRPr="00000000" w14:paraId="0000019E">
            <w:pPr>
              <w:spacing w:after="0" w:line="250" w:lineRule="auto"/>
              <w:jc w:val="left"/>
              <w:rPr>
                <w:sz w:val="20"/>
                <w:szCs w:val="20"/>
              </w:rPr>
            </w:pPr>
            <w:r w:rsidDel="00000000" w:rsidR="00000000" w:rsidRPr="00000000">
              <w:rPr>
                <w:sz w:val="20"/>
                <w:szCs w:val="20"/>
                <w:rtl w:val="0"/>
              </w:rPr>
              <w:t xml:space="preserve">Structured implementation log; pull request review comments</w:t>
            </w:r>
          </w:p>
        </w:tc>
        <w:tc>
          <w:tcPr>
            <w:tcMar>
              <w:top w:w="70.0" w:type="dxa"/>
              <w:left w:w="110.0" w:type="dxa"/>
              <w:bottom w:w="70.0" w:type="dxa"/>
              <w:right w:w="110.0" w:type="dxa"/>
            </w:tcMar>
          </w:tcPr>
          <w:p w:rsidR="00000000" w:rsidDel="00000000" w:rsidP="00000000" w:rsidRDefault="00000000" w:rsidRPr="00000000" w14:paraId="0000019F">
            <w:pPr>
              <w:spacing w:after="0" w:line="250" w:lineRule="auto"/>
              <w:jc w:val="left"/>
              <w:rPr>
                <w:sz w:val="20"/>
                <w:szCs w:val="20"/>
              </w:rPr>
            </w:pPr>
            <w:r w:rsidDel="00000000" w:rsidR="00000000" w:rsidRPr="00000000">
              <w:rPr>
                <w:sz w:val="20"/>
                <w:szCs w:val="20"/>
                <w:rtl w:val="0"/>
              </w:rPr>
              <w:t xml:space="preserve">Reflexive thematic analysis (Braun &amp; Clarke, 2021)</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A0">
            <w:pPr>
              <w:spacing w:after="0" w:line="250" w:lineRule="auto"/>
              <w:jc w:val="left"/>
              <w:rPr>
                <w:sz w:val="20"/>
                <w:szCs w:val="20"/>
              </w:rPr>
            </w:pPr>
            <w:r w:rsidDel="00000000" w:rsidR="00000000" w:rsidRPr="00000000">
              <w:rPr>
                <w:sz w:val="20"/>
                <w:szCs w:val="20"/>
                <w:rtl w:val="0"/>
              </w:rPr>
              <w:t xml:space="preserve">All</w:t>
            </w:r>
          </w:p>
        </w:tc>
        <w:tc>
          <w:tcPr>
            <w:tcMar>
              <w:top w:w="70.0" w:type="dxa"/>
              <w:left w:w="110.0" w:type="dxa"/>
              <w:bottom w:w="70.0" w:type="dxa"/>
              <w:right w:w="110.0" w:type="dxa"/>
            </w:tcMar>
          </w:tcPr>
          <w:p w:rsidR="00000000" w:rsidDel="00000000" w:rsidP="00000000" w:rsidRDefault="00000000" w:rsidRPr="00000000" w14:paraId="000001A1">
            <w:pPr>
              <w:spacing w:after="0" w:line="250" w:lineRule="auto"/>
              <w:jc w:val="left"/>
              <w:rPr>
                <w:sz w:val="20"/>
                <w:szCs w:val="20"/>
              </w:rPr>
            </w:pPr>
            <w:r w:rsidDel="00000000" w:rsidR="00000000" w:rsidRPr="00000000">
              <w:rPr>
                <w:sz w:val="20"/>
                <w:szCs w:val="20"/>
                <w:rtl w:val="0"/>
              </w:rPr>
              <w:t xml:space="preserve">Obj. 5</w:t>
            </w:r>
          </w:p>
        </w:tc>
        <w:tc>
          <w:tcPr>
            <w:tcMar>
              <w:top w:w="70.0" w:type="dxa"/>
              <w:left w:w="110.0" w:type="dxa"/>
              <w:bottom w:w="70.0" w:type="dxa"/>
              <w:right w:w="110.0" w:type="dxa"/>
            </w:tcMar>
          </w:tcPr>
          <w:p w:rsidR="00000000" w:rsidDel="00000000" w:rsidP="00000000" w:rsidRDefault="00000000" w:rsidRPr="00000000" w14:paraId="000001A2">
            <w:pPr>
              <w:spacing w:after="0" w:line="250" w:lineRule="auto"/>
              <w:jc w:val="left"/>
              <w:rPr>
                <w:sz w:val="20"/>
                <w:szCs w:val="20"/>
              </w:rPr>
            </w:pPr>
            <w:r w:rsidDel="00000000" w:rsidR="00000000" w:rsidRPr="00000000">
              <w:rPr>
                <w:sz w:val="20"/>
                <w:szCs w:val="20"/>
                <w:rtl w:val="0"/>
              </w:rPr>
              <w:t xml:space="preserve">Integration</w:t>
            </w:r>
          </w:p>
        </w:tc>
        <w:tc>
          <w:tcPr>
            <w:tcMar>
              <w:top w:w="70.0" w:type="dxa"/>
              <w:left w:w="110.0" w:type="dxa"/>
              <w:bottom w:w="70.0" w:type="dxa"/>
              <w:right w:w="110.0" w:type="dxa"/>
            </w:tcMar>
          </w:tcPr>
          <w:p w:rsidR="00000000" w:rsidDel="00000000" w:rsidP="00000000" w:rsidRDefault="00000000" w:rsidRPr="00000000" w14:paraId="000001A3">
            <w:pPr>
              <w:spacing w:after="0" w:line="250" w:lineRule="auto"/>
              <w:jc w:val="left"/>
              <w:rPr>
                <w:sz w:val="20"/>
                <w:szCs w:val="20"/>
              </w:rPr>
            </w:pPr>
            <w:r w:rsidDel="00000000" w:rsidR="00000000" w:rsidRPr="00000000">
              <w:rPr>
                <w:sz w:val="20"/>
                <w:szCs w:val="20"/>
                <w:rtl w:val="0"/>
              </w:rPr>
              <w:t xml:space="preserve">Both datasets</w:t>
            </w:r>
          </w:p>
        </w:tc>
        <w:tc>
          <w:tcPr>
            <w:tcMar>
              <w:top w:w="70.0" w:type="dxa"/>
              <w:left w:w="110.0" w:type="dxa"/>
              <w:bottom w:w="70.0" w:type="dxa"/>
              <w:right w:w="110.0" w:type="dxa"/>
            </w:tcMar>
          </w:tcPr>
          <w:p w:rsidR="00000000" w:rsidDel="00000000" w:rsidP="00000000" w:rsidRDefault="00000000" w:rsidRPr="00000000" w14:paraId="000001A4">
            <w:pPr>
              <w:spacing w:after="0" w:line="250" w:lineRule="auto"/>
              <w:jc w:val="left"/>
              <w:rPr>
                <w:sz w:val="20"/>
                <w:szCs w:val="20"/>
              </w:rPr>
            </w:pPr>
            <w:r w:rsidDel="00000000" w:rsidR="00000000" w:rsidRPr="00000000">
              <w:rPr>
                <w:sz w:val="20"/>
                <w:szCs w:val="20"/>
                <w:rtl w:val="0"/>
              </w:rPr>
              <w:t xml:space="preserve">Joint display; meta-inference (Fetters et al., 2013)</w:t>
            </w:r>
          </w:p>
        </w:tc>
      </w:tr>
    </w:tbl>
    <w:p w:rsidR="00000000" w:rsidDel="00000000" w:rsidP="00000000" w:rsidRDefault="00000000" w:rsidRPr="00000000" w14:paraId="000001A5">
      <w:pPr>
        <w:pStyle w:val="Heading2"/>
        <w:keepNext w:val="1"/>
        <w:rPr/>
      </w:pPr>
      <w:r w:rsidDel="00000000" w:rsidR="00000000" w:rsidRPr="00000000">
        <w:rPr>
          <w:rtl w:val="0"/>
        </w:rPr>
        <w:t xml:space="preserve">3.5 Study Population</w:t>
      </w: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This study has two populations, because it examines both an artefact and a set of events. The artifact population is the set of AWS components that make up the target architecture. This comprises the Virtual Private Cloud and its private subnets in two Availability Zones, the Internet Gateway, the Network Address Translation gateways, route tables, security groups, the Application Load Balancer, the Elastic Container Service cluster, service and task definitions running on AWS Fargate, the Elastic Container Registry repository, the API Gateway and its private link, the Web Application Firewall rule set, the Route 53 records, the Transport Layer Security certificate bindings, the Identity and Access Management roles and policies, the monitoring alarms and the scaling policies. A complete component inventory will be produced as the first activity of the study and reported in Chapter 4, since the total component count is the denominator for the version-control coverage measure.</w:t>
      </w:r>
    </w:p>
    <w:p w:rsidR="00000000" w:rsidDel="00000000" w:rsidP="00000000" w:rsidRDefault="00000000" w:rsidRPr="00000000" w14:paraId="000001A7">
      <w:pPr>
        <w:rPr/>
      </w:pPr>
      <w:r w:rsidDel="00000000" w:rsidR="00000000" w:rsidRPr="00000000">
        <w:rPr>
          <w:rtl w:val="0"/>
        </w:rPr>
        <w:t xml:space="preserve">The event population is the set of provisioning runs. A run is defined as one complete cycle in which an environment is created from an empty state and then destroyed, with timings recorded for each stage. The accessible population is limited by cost and by researcher time: each Terraform run consumes cloud resources for the duration of the cycle, and each manual run consumes roughly forty-five minutes of concentrated human effort.</w:t>
      </w:r>
    </w:p>
    <w:p w:rsidR="00000000" w:rsidDel="00000000" w:rsidP="00000000" w:rsidRDefault="00000000" w:rsidRPr="00000000" w14:paraId="000001A8">
      <w:pPr>
        <w:rPr/>
      </w:pPr>
      <w:r w:rsidDel="00000000" w:rsidR="00000000" w:rsidRPr="00000000">
        <w:rPr>
          <w:rtl w:val="0"/>
        </w:rPr>
        <w:t xml:space="preserve">A run is eligible for inclusion if it begins from a verified empty account state, completes without interruption from an external factor such as a network failure or an AWS service event, and is executed under the controlled conditions specified in Section 3.7.3. A run is excluded if it is interrupted, if an AWS service health event is recorded in the region during the run window, or if it forms part of the pilot described in Section 3.7.4. Excluded runs will be reported with their reason for exclusion rather than silently discarded.</w:t>
      </w:r>
    </w:p>
    <w:p w:rsidR="00000000" w:rsidDel="00000000" w:rsidP="00000000" w:rsidRDefault="00000000" w:rsidRPr="00000000" w14:paraId="000001A9">
      <w:pPr>
        <w:pStyle w:val="Heading2"/>
        <w:keepNext w:val="1"/>
        <w:rPr/>
      </w:pPr>
      <w:r w:rsidDel="00000000" w:rsidR="00000000" w:rsidRPr="00000000">
        <w:rPr>
          <w:rtl w:val="0"/>
        </w:rPr>
        <w:t xml:space="preserve">3.6 Sample Size and Sampling Method</w:t>
      </w:r>
    </w:p>
    <w:p w:rsidR="00000000" w:rsidDel="00000000" w:rsidP="00000000" w:rsidRDefault="00000000" w:rsidRPr="00000000" w14:paraId="000001AA">
      <w:pPr>
        <w:pStyle w:val="Heading3"/>
        <w:keepNext w:val="1"/>
        <w:rPr/>
      </w:pPr>
      <w:r w:rsidDel="00000000" w:rsidR="00000000" w:rsidRPr="00000000">
        <w:rPr>
          <w:rtl w:val="0"/>
        </w:rPr>
        <w:t xml:space="preserve">3.6.1 Quantitative Strand</w:t>
      </w:r>
    </w:p>
    <w:p w:rsidR="00000000" w:rsidDel="00000000" w:rsidP="00000000" w:rsidRDefault="00000000" w:rsidRPr="00000000" w14:paraId="000001AB">
      <w:pPr>
        <w:rPr/>
      </w:pPr>
      <w:r w:rsidDel="00000000" w:rsidR="00000000" w:rsidRPr="00000000">
        <w:rPr>
          <w:rtl w:val="0"/>
        </w:rPr>
        <w:t xml:space="preserve">The quantitative sample was determined by two considerations, and the larger requirement governs.</w:t>
      </w:r>
    </w:p>
    <w:p w:rsidR="00000000" w:rsidDel="00000000" w:rsidP="00000000" w:rsidRDefault="00000000" w:rsidRPr="00000000" w14:paraId="000001AC">
      <w:pPr>
        <w:rPr/>
      </w:pPr>
      <w:r w:rsidDel="00000000" w:rsidR="00000000" w:rsidRPr="00000000">
        <w:rPr>
          <w:rtl w:val="0"/>
        </w:rPr>
        <w:t xml:space="preserve">The first is precedent. Regvart et al. (2026) used thirty repetitions per condition on a closely comparable AWS architecture and reported standard deviations of 8.42 seconds for Terraform and 29.92 for AWS CloudFormation, which indicates that thirty runs are sufficient to characterise the distribution of provisioning duration for this class of architecture. Adopting the same number allows the results of this study to be read alongside theirs.</w:t>
      </w:r>
    </w:p>
    <w:p w:rsidR="00000000" w:rsidDel="00000000" w:rsidP="00000000" w:rsidRDefault="00000000" w:rsidRPr="00000000" w14:paraId="000001AD">
      <w:pPr>
        <w:rPr/>
      </w:pPr>
      <w:r w:rsidDel="00000000" w:rsidR="00000000" w:rsidRPr="00000000">
        <w:rPr>
          <w:rtl w:val="0"/>
        </w:rPr>
        <w:t xml:space="preserve">The second is statistical power. An a priori power analysis for an independent-samples comparison of means, conducted using the conventions described by Faul et al. (2007), indicates that detecting a large effect (Cohen's d = 0.8) at α = .05 with power = .80 requires approximately 26 cases per group. The expected effect here is considerably larger than that, since automated provisioning of this architecture is expected to take minutes while manual provisioning takes tens of minutes, so a smaller sample would suffice for H1 on its own. Thirty runs are nonetheless retained for the Terraform condition, both for comparability with prior work and because the drift and reproducibility measures require repeated observation.</w:t>
      </w:r>
    </w:p>
    <w:p w:rsidR="00000000" w:rsidDel="00000000" w:rsidP="00000000" w:rsidRDefault="00000000" w:rsidRPr="00000000" w14:paraId="000001AE">
      <w:pPr>
        <w:rPr/>
      </w:pPr>
      <w:r w:rsidDel="00000000" w:rsidR="00000000" w:rsidRPr="00000000">
        <w:rPr>
          <w:rtl w:val="0"/>
        </w:rPr>
        <w:t xml:space="preserve">The manual condition is set at ten runs rather than thirty. This is an unequal allocation and the reason is practical: manual provisioning of the full architecture requires approximately forty-five minutes of uninterrupted console work per run, so thirty runs would consume more than twenty hours of researcher time and would introduce a learning effect large enough to threaten validity, since the tenth manual run would be performed considerably faster than the first. Ten runs preserve enough observations to estimate a mean and standard deviation while limiting that learning effect, and the effect itself will be examined by plotting duration against run order and reported in Chapter 4. Because the group sizes are unequal and normality cannot be assumed at n = 10, Welch's t-test and the Mann–Whitney U test will both be reported, as described in Section 3.9.1.</w:t>
      </w:r>
    </w:p>
    <w:p w:rsidR="00000000" w:rsidDel="00000000" w:rsidP="00000000" w:rsidRDefault="00000000" w:rsidRPr="00000000" w14:paraId="000001AF">
      <w:pPr>
        <w:rPr/>
      </w:pPr>
      <w:r w:rsidDel="00000000" w:rsidR="00000000" w:rsidRPr="00000000">
        <w:rPr>
          <w:rtl w:val="0"/>
        </w:rPr>
        <w:t xml:space="preserve">Sampling is not probabilistic and does not need to be, because runs are generated by the researcher under controlled conditions rather than drawn from a naturally occurring population. What matters instead is that the conditions are held constant and that the order of runs does not confound the result. Run order will therefore be randomised within each measurement session using a fixed random seed recorded in the audit trail, so that Terraform and manual runs are interleaved rather than blocked, and any time-of-day effect on AWS API responsiveness is distributed across both conditions rather than falling on one.</w:t>
      </w:r>
    </w:p>
    <w:p w:rsidR="00000000" w:rsidDel="00000000" w:rsidP="00000000" w:rsidRDefault="00000000" w:rsidRPr="00000000" w14:paraId="000001B0">
      <w:pPr>
        <w:rPr/>
      </w:pPr>
      <w:r w:rsidDel="00000000" w:rsidR="00000000" w:rsidRPr="00000000">
        <w:rPr>
          <w:rtl w:val="0"/>
        </w:rPr>
        <w:t xml:space="preserve">For the drift measure, the unit of observation is the environment pair rather than the run. Three environments are provisioned, giving three pairwise comparisons under each provisioning method.</w:t>
      </w:r>
    </w:p>
    <w:p w:rsidR="00000000" w:rsidDel="00000000" w:rsidP="00000000" w:rsidRDefault="00000000" w:rsidRPr="00000000" w14:paraId="000001B1">
      <w:pPr>
        <w:keepNext w:val="1"/>
        <w:spacing w:after="100" w:before="200" w:line="240" w:lineRule="auto"/>
        <w:jc w:val="left"/>
        <w:rPr/>
      </w:pPr>
      <w:r w:rsidDel="00000000" w:rsidR="00000000" w:rsidRPr="00000000">
        <w:rPr>
          <w:b w:val="1"/>
          <w:bCs w:val="1"/>
          <w:rtl w:val="0"/>
        </w:rPr>
        <w:t xml:space="preserve">Table 3.3 </w:t>
      </w:r>
      <w:r w:rsidDel="00000000" w:rsidR="00000000" w:rsidRPr="00000000">
        <w:rPr>
          <w:i w:val="1"/>
          <w:iCs w:val="1"/>
          <w:rtl w:val="0"/>
        </w:rPr>
        <w:t xml:space="preserve">Sample Size Determination</w:t>
      </w:r>
      <w:r w:rsidDel="00000000" w:rsidR="00000000" w:rsidRPr="00000000">
        <w:rPr>
          <w:rtl w:val="0"/>
        </w:rPr>
      </w:r>
    </w:p>
    <w:tbl>
      <w:tblPr>
        <w:tblStyle w:val="Table6"/>
        <w:tblW w:w="8640.0" w:type="dxa"/>
        <w:jc w:val="left"/>
        <w:tblBorders>
          <w:top w:color="000000" w:space="0" w:sz="6" w:val="single"/>
          <w:left w:color="000000" w:space="0" w:sz="0" w:val="nil"/>
          <w:bottom w:color="000000" w:space="0" w:sz="6" w:val="single"/>
          <w:right w:color="000000" w:space="0" w:sz="0" w:val="nil"/>
          <w:insideH w:color="bfbfbf" w:space="0" w:sz="4" w:val="single"/>
          <w:insideV w:color="000000" w:space="0" w:sz="0" w:val="nil"/>
        </w:tblBorders>
        <w:tblLayout w:type="fixed"/>
        <w:tblLook w:val="0000"/>
      </w:tblPr>
      <w:tblGrid>
        <w:gridCol w:w="3600"/>
        <w:gridCol w:w="1800"/>
        <w:gridCol w:w="3240"/>
        <w:tblGridChange w:id="0">
          <w:tblGrid>
            <w:gridCol w:w="3600"/>
            <w:gridCol w:w="1800"/>
            <w:gridCol w:w="3240"/>
          </w:tblGrid>
        </w:tblGridChange>
      </w:tblGrid>
      <w:tr>
        <w:trPr>
          <w:cantSplit w:val="0"/>
          <w:tblHeader w:val="1"/>
        </w:trPr>
        <w:tc>
          <w:tcPr>
            <w:shd w:fill="edeff3" w:val="clear"/>
            <w:tcMar>
              <w:top w:w="80.0" w:type="dxa"/>
              <w:left w:w="110.0" w:type="dxa"/>
              <w:bottom w:w="80.0" w:type="dxa"/>
              <w:right w:w="110.0" w:type="dxa"/>
            </w:tcMar>
            <w:vAlign w:val="center"/>
          </w:tcPr>
          <w:p w:rsidR="00000000" w:rsidDel="00000000" w:rsidP="00000000" w:rsidRDefault="00000000" w:rsidRPr="00000000" w14:paraId="000001B2">
            <w:pPr>
              <w:spacing w:after="40" w:line="240" w:lineRule="auto"/>
              <w:jc w:val="left"/>
              <w:rPr/>
            </w:pPr>
            <w:r w:rsidDel="00000000" w:rsidR="00000000" w:rsidRPr="00000000">
              <w:rPr>
                <w:b w:val="1"/>
                <w:bCs w:val="1"/>
                <w:sz w:val="20"/>
                <w:szCs w:val="20"/>
                <w:rtl w:val="0"/>
              </w:rPr>
              <w:t xml:space="preserve">Parameter</w:t>
            </w:r>
            <w:r w:rsidDel="00000000" w:rsidR="00000000" w:rsidRPr="00000000">
              <w:rPr>
                <w:rtl w:val="0"/>
              </w:rPr>
            </w:r>
          </w:p>
        </w:tc>
        <w:tc>
          <w:tcPr>
            <w:shd w:fill="edeff3" w:val="clear"/>
            <w:tcMar>
              <w:top w:w="80.0" w:type="dxa"/>
              <w:left w:w="110.0" w:type="dxa"/>
              <w:bottom w:w="80.0" w:type="dxa"/>
              <w:right w:w="110.0" w:type="dxa"/>
            </w:tcMar>
            <w:vAlign w:val="center"/>
          </w:tcPr>
          <w:p w:rsidR="00000000" w:rsidDel="00000000" w:rsidP="00000000" w:rsidRDefault="00000000" w:rsidRPr="00000000" w14:paraId="000001B3">
            <w:pPr>
              <w:spacing w:after="40" w:line="240" w:lineRule="auto"/>
              <w:jc w:val="left"/>
              <w:rPr/>
            </w:pPr>
            <w:r w:rsidDel="00000000" w:rsidR="00000000" w:rsidRPr="00000000">
              <w:rPr>
                <w:b w:val="1"/>
                <w:bCs w:val="1"/>
                <w:sz w:val="20"/>
                <w:szCs w:val="20"/>
                <w:rtl w:val="0"/>
              </w:rPr>
              <w:t xml:space="preserve">Value</w:t>
            </w:r>
            <w:r w:rsidDel="00000000" w:rsidR="00000000" w:rsidRPr="00000000">
              <w:rPr>
                <w:rtl w:val="0"/>
              </w:rPr>
            </w:r>
          </w:p>
        </w:tc>
        <w:tc>
          <w:tcPr>
            <w:shd w:fill="edeff3" w:val="clear"/>
            <w:tcMar>
              <w:top w:w="80.0" w:type="dxa"/>
              <w:left w:w="110.0" w:type="dxa"/>
              <w:bottom w:w="80.0" w:type="dxa"/>
              <w:right w:w="110.0" w:type="dxa"/>
            </w:tcMar>
            <w:vAlign w:val="center"/>
          </w:tcPr>
          <w:p w:rsidR="00000000" w:rsidDel="00000000" w:rsidP="00000000" w:rsidRDefault="00000000" w:rsidRPr="00000000" w14:paraId="000001B4">
            <w:pPr>
              <w:spacing w:after="40" w:line="240" w:lineRule="auto"/>
              <w:jc w:val="left"/>
              <w:rPr/>
            </w:pPr>
            <w:r w:rsidDel="00000000" w:rsidR="00000000" w:rsidRPr="00000000">
              <w:rPr>
                <w:b w:val="1"/>
                <w:bCs w:val="1"/>
                <w:sz w:val="20"/>
                <w:szCs w:val="20"/>
                <w:rtl w:val="0"/>
              </w:rPr>
              <w:t xml:space="preserve">Basis</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B5">
            <w:pPr>
              <w:spacing w:after="0" w:line="250" w:lineRule="auto"/>
              <w:jc w:val="left"/>
              <w:rPr>
                <w:sz w:val="20"/>
                <w:szCs w:val="20"/>
              </w:rPr>
            </w:pPr>
            <w:r w:rsidDel="00000000" w:rsidR="00000000" w:rsidRPr="00000000">
              <w:rPr>
                <w:sz w:val="20"/>
                <w:szCs w:val="20"/>
                <w:rtl w:val="0"/>
              </w:rPr>
              <w:t xml:space="preserve">Architecture components (artefact population)</w:t>
            </w:r>
          </w:p>
        </w:tc>
        <w:tc>
          <w:tcPr>
            <w:tcMar>
              <w:top w:w="70.0" w:type="dxa"/>
              <w:left w:w="110.0" w:type="dxa"/>
              <w:bottom w:w="70.0" w:type="dxa"/>
              <w:right w:w="110.0" w:type="dxa"/>
            </w:tcMar>
          </w:tcPr>
          <w:p w:rsidR="00000000" w:rsidDel="00000000" w:rsidP="00000000" w:rsidRDefault="00000000" w:rsidRPr="00000000" w14:paraId="000001B6">
            <w:pPr>
              <w:spacing w:after="0" w:line="250" w:lineRule="auto"/>
              <w:jc w:val="left"/>
              <w:rPr>
                <w:sz w:val="20"/>
                <w:szCs w:val="20"/>
              </w:rPr>
            </w:pPr>
            <w:r w:rsidDel="00000000" w:rsidR="00000000" w:rsidRPr="00000000">
              <w:rPr>
                <w:sz w:val="20"/>
                <w:szCs w:val="20"/>
                <w:rtl w:val="0"/>
              </w:rPr>
              <w:t xml:space="preserve">To be established in Chapter 4</w:t>
            </w:r>
          </w:p>
        </w:tc>
        <w:tc>
          <w:tcPr>
            <w:tcMar>
              <w:top w:w="70.0" w:type="dxa"/>
              <w:left w:w="110.0" w:type="dxa"/>
              <w:bottom w:w="70.0" w:type="dxa"/>
              <w:right w:w="110.0" w:type="dxa"/>
            </w:tcMar>
          </w:tcPr>
          <w:p w:rsidR="00000000" w:rsidDel="00000000" w:rsidP="00000000" w:rsidRDefault="00000000" w:rsidRPr="00000000" w14:paraId="000001B7">
            <w:pPr>
              <w:spacing w:after="0" w:line="250" w:lineRule="auto"/>
              <w:jc w:val="left"/>
              <w:rPr>
                <w:sz w:val="20"/>
                <w:szCs w:val="20"/>
              </w:rPr>
            </w:pPr>
            <w:r w:rsidDel="00000000" w:rsidR="00000000" w:rsidRPr="00000000">
              <w:rPr>
                <w:sz w:val="20"/>
                <w:szCs w:val="20"/>
                <w:rtl w:val="0"/>
              </w:rPr>
              <w:t xml:space="preserve">Complete inventory produced under Objective 1</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B8">
            <w:pPr>
              <w:spacing w:after="0" w:line="250" w:lineRule="auto"/>
              <w:jc w:val="left"/>
              <w:rPr>
                <w:sz w:val="20"/>
                <w:szCs w:val="20"/>
              </w:rPr>
            </w:pPr>
            <w:r w:rsidDel="00000000" w:rsidR="00000000" w:rsidRPr="00000000">
              <w:rPr>
                <w:sz w:val="20"/>
                <w:szCs w:val="20"/>
                <w:rtl w:val="0"/>
              </w:rPr>
              <w:t xml:space="preserve">Terraform provisioning runs</w:t>
            </w:r>
          </w:p>
        </w:tc>
        <w:tc>
          <w:tcPr>
            <w:tcMar>
              <w:top w:w="70.0" w:type="dxa"/>
              <w:left w:w="110.0" w:type="dxa"/>
              <w:bottom w:w="70.0" w:type="dxa"/>
              <w:right w:w="110.0" w:type="dxa"/>
            </w:tcMar>
          </w:tcPr>
          <w:p w:rsidR="00000000" w:rsidDel="00000000" w:rsidP="00000000" w:rsidRDefault="00000000" w:rsidRPr="00000000" w14:paraId="000001B9">
            <w:pPr>
              <w:spacing w:after="0" w:line="250" w:lineRule="auto"/>
              <w:jc w:val="left"/>
              <w:rPr>
                <w:sz w:val="20"/>
                <w:szCs w:val="20"/>
              </w:rPr>
            </w:pPr>
            <w:r w:rsidDel="00000000" w:rsidR="00000000" w:rsidRPr="00000000">
              <w:rPr>
                <w:sz w:val="20"/>
                <w:szCs w:val="20"/>
                <w:rtl w:val="0"/>
              </w:rPr>
              <w:t xml:space="preserve">30</w:t>
            </w:r>
          </w:p>
        </w:tc>
        <w:tc>
          <w:tcPr>
            <w:tcMar>
              <w:top w:w="70.0" w:type="dxa"/>
              <w:left w:w="110.0" w:type="dxa"/>
              <w:bottom w:w="70.0" w:type="dxa"/>
              <w:right w:w="110.0" w:type="dxa"/>
            </w:tcMar>
          </w:tcPr>
          <w:p w:rsidR="00000000" w:rsidDel="00000000" w:rsidP="00000000" w:rsidRDefault="00000000" w:rsidRPr="00000000" w14:paraId="000001BA">
            <w:pPr>
              <w:spacing w:after="0" w:line="250" w:lineRule="auto"/>
              <w:jc w:val="left"/>
              <w:rPr>
                <w:sz w:val="20"/>
                <w:szCs w:val="20"/>
              </w:rPr>
            </w:pPr>
            <w:r w:rsidDel="00000000" w:rsidR="00000000" w:rsidRPr="00000000">
              <w:rPr>
                <w:sz w:val="20"/>
                <w:szCs w:val="20"/>
                <w:rtl w:val="0"/>
              </w:rPr>
              <w:t xml:space="preserve">Precedent set by Regvart et al. (2026)</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BB">
            <w:pPr>
              <w:spacing w:after="0" w:line="250" w:lineRule="auto"/>
              <w:jc w:val="left"/>
              <w:rPr>
                <w:sz w:val="20"/>
                <w:szCs w:val="20"/>
              </w:rPr>
            </w:pPr>
            <w:r w:rsidDel="00000000" w:rsidR="00000000" w:rsidRPr="00000000">
              <w:rPr>
                <w:sz w:val="20"/>
                <w:szCs w:val="20"/>
                <w:rtl w:val="0"/>
              </w:rPr>
              <w:t xml:space="preserve">Manual provisioning runs</w:t>
            </w:r>
          </w:p>
        </w:tc>
        <w:tc>
          <w:tcPr>
            <w:tcMar>
              <w:top w:w="70.0" w:type="dxa"/>
              <w:left w:w="110.0" w:type="dxa"/>
              <w:bottom w:w="70.0" w:type="dxa"/>
              <w:right w:w="110.0" w:type="dxa"/>
            </w:tcMar>
          </w:tcPr>
          <w:p w:rsidR="00000000" w:rsidDel="00000000" w:rsidP="00000000" w:rsidRDefault="00000000" w:rsidRPr="00000000" w14:paraId="000001BC">
            <w:pPr>
              <w:spacing w:after="0" w:line="250" w:lineRule="auto"/>
              <w:jc w:val="left"/>
              <w:rPr>
                <w:sz w:val="20"/>
                <w:szCs w:val="20"/>
              </w:rPr>
            </w:pPr>
            <w:r w:rsidDel="00000000" w:rsidR="00000000" w:rsidRPr="00000000">
              <w:rPr>
                <w:sz w:val="20"/>
                <w:szCs w:val="20"/>
                <w:rtl w:val="0"/>
              </w:rPr>
              <w:t xml:space="preserve">10</w:t>
            </w:r>
          </w:p>
        </w:tc>
        <w:tc>
          <w:tcPr>
            <w:tcMar>
              <w:top w:w="70.0" w:type="dxa"/>
              <w:left w:w="110.0" w:type="dxa"/>
              <w:bottom w:w="70.0" w:type="dxa"/>
              <w:right w:w="110.0" w:type="dxa"/>
            </w:tcMar>
          </w:tcPr>
          <w:p w:rsidR="00000000" w:rsidDel="00000000" w:rsidP="00000000" w:rsidRDefault="00000000" w:rsidRPr="00000000" w14:paraId="000001BD">
            <w:pPr>
              <w:spacing w:after="0" w:line="250" w:lineRule="auto"/>
              <w:jc w:val="left"/>
              <w:rPr>
                <w:sz w:val="20"/>
                <w:szCs w:val="20"/>
              </w:rPr>
            </w:pPr>
            <w:r w:rsidDel="00000000" w:rsidR="00000000" w:rsidRPr="00000000">
              <w:rPr>
                <w:sz w:val="20"/>
                <w:szCs w:val="20"/>
                <w:rtl w:val="0"/>
              </w:rPr>
              <w:t xml:space="preserve">Constrained by researcher time; learning effect limited and reported</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BE">
            <w:pPr>
              <w:spacing w:after="0" w:line="250" w:lineRule="auto"/>
              <w:jc w:val="left"/>
              <w:rPr>
                <w:sz w:val="20"/>
                <w:szCs w:val="20"/>
              </w:rPr>
            </w:pPr>
            <w:r w:rsidDel="00000000" w:rsidR="00000000" w:rsidRPr="00000000">
              <w:rPr>
                <w:sz w:val="20"/>
                <w:szCs w:val="20"/>
                <w:rtl w:val="0"/>
              </w:rPr>
              <w:t xml:space="preserve">Power requirement per group (d = 0.8, α = .05, power = .80)</w:t>
            </w:r>
          </w:p>
        </w:tc>
        <w:tc>
          <w:tcPr>
            <w:tcMar>
              <w:top w:w="70.0" w:type="dxa"/>
              <w:left w:w="110.0" w:type="dxa"/>
              <w:bottom w:w="70.0" w:type="dxa"/>
              <w:right w:w="110.0" w:type="dxa"/>
            </w:tcMar>
          </w:tcPr>
          <w:p w:rsidR="00000000" w:rsidDel="00000000" w:rsidP="00000000" w:rsidRDefault="00000000" w:rsidRPr="00000000" w14:paraId="000001BF">
            <w:pPr>
              <w:spacing w:after="0" w:line="250" w:lineRule="auto"/>
              <w:jc w:val="left"/>
              <w:rPr>
                <w:sz w:val="20"/>
                <w:szCs w:val="20"/>
              </w:rPr>
            </w:pPr>
            <w:sdt>
              <w:sdtPr>
                <w:id w:val="1411292309"/>
                <w:tag w:val="goog_rdk_1"/>
              </w:sdtPr>
              <w:sdtContent>
                <w:r w:rsidDel="00000000" w:rsidR="00000000" w:rsidRPr="00000000">
                  <w:rPr>
                    <w:rFonts w:ascii="Gungsuh" w:cs="Gungsuh" w:eastAsia="Gungsuh" w:hAnsi="Gungsuh"/>
                    <w:sz w:val="20"/>
                    <w:szCs w:val="20"/>
                    <w:rtl w:val="0"/>
                  </w:rPr>
                  <w:t xml:space="preserve">≈ 26</w:t>
                </w:r>
              </w:sdtContent>
            </w:sdt>
          </w:p>
        </w:tc>
        <w:tc>
          <w:tcPr>
            <w:tcMar>
              <w:top w:w="70.0" w:type="dxa"/>
              <w:left w:w="110.0" w:type="dxa"/>
              <w:bottom w:w="70.0" w:type="dxa"/>
              <w:right w:w="110.0" w:type="dxa"/>
            </w:tcMar>
          </w:tcPr>
          <w:p w:rsidR="00000000" w:rsidDel="00000000" w:rsidP="00000000" w:rsidRDefault="00000000" w:rsidRPr="00000000" w14:paraId="000001C0">
            <w:pPr>
              <w:spacing w:after="0" w:line="250" w:lineRule="auto"/>
              <w:jc w:val="left"/>
              <w:rPr>
                <w:sz w:val="20"/>
                <w:szCs w:val="20"/>
              </w:rPr>
            </w:pPr>
            <w:r w:rsidDel="00000000" w:rsidR="00000000" w:rsidRPr="00000000">
              <w:rPr>
                <w:sz w:val="20"/>
                <w:szCs w:val="20"/>
                <w:rtl w:val="0"/>
              </w:rPr>
              <w:t xml:space="preserve">Faul et al. (2007) conventions</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C1">
            <w:pPr>
              <w:spacing w:after="0" w:line="250" w:lineRule="auto"/>
              <w:jc w:val="left"/>
              <w:rPr>
                <w:sz w:val="20"/>
                <w:szCs w:val="20"/>
              </w:rPr>
            </w:pPr>
            <w:r w:rsidDel="00000000" w:rsidR="00000000" w:rsidRPr="00000000">
              <w:rPr>
                <w:sz w:val="20"/>
                <w:szCs w:val="20"/>
                <w:rtl w:val="0"/>
              </w:rPr>
              <w:t xml:space="preserve">Expected effect size</w:t>
            </w:r>
          </w:p>
        </w:tc>
        <w:tc>
          <w:tcPr>
            <w:tcMar>
              <w:top w:w="70.0" w:type="dxa"/>
              <w:left w:w="110.0" w:type="dxa"/>
              <w:bottom w:w="70.0" w:type="dxa"/>
              <w:right w:w="110.0" w:type="dxa"/>
            </w:tcMar>
          </w:tcPr>
          <w:p w:rsidR="00000000" w:rsidDel="00000000" w:rsidP="00000000" w:rsidRDefault="00000000" w:rsidRPr="00000000" w14:paraId="000001C2">
            <w:pPr>
              <w:spacing w:after="0" w:line="250" w:lineRule="auto"/>
              <w:jc w:val="left"/>
              <w:rPr>
                <w:sz w:val="20"/>
                <w:szCs w:val="20"/>
              </w:rPr>
            </w:pPr>
            <w:r w:rsidDel="00000000" w:rsidR="00000000" w:rsidRPr="00000000">
              <w:rPr>
                <w:sz w:val="20"/>
                <w:szCs w:val="20"/>
                <w:rtl w:val="0"/>
              </w:rPr>
              <w:t xml:space="preserve">Large (d &gt; 1.5)</w:t>
            </w:r>
          </w:p>
        </w:tc>
        <w:tc>
          <w:tcPr>
            <w:tcMar>
              <w:top w:w="70.0" w:type="dxa"/>
              <w:left w:w="110.0" w:type="dxa"/>
              <w:bottom w:w="70.0" w:type="dxa"/>
              <w:right w:w="110.0" w:type="dxa"/>
            </w:tcMar>
          </w:tcPr>
          <w:p w:rsidR="00000000" w:rsidDel="00000000" w:rsidP="00000000" w:rsidRDefault="00000000" w:rsidRPr="00000000" w14:paraId="000001C3">
            <w:pPr>
              <w:spacing w:after="0" w:line="250" w:lineRule="auto"/>
              <w:jc w:val="left"/>
              <w:rPr>
                <w:sz w:val="20"/>
                <w:szCs w:val="20"/>
              </w:rPr>
            </w:pPr>
            <w:r w:rsidDel="00000000" w:rsidR="00000000" w:rsidRPr="00000000">
              <w:rPr>
                <w:sz w:val="20"/>
                <w:szCs w:val="20"/>
                <w:rtl w:val="0"/>
              </w:rPr>
              <w:t xml:space="preserve">Automated minutes versus manual tens of minutes</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C4">
            <w:pPr>
              <w:spacing w:after="0" w:line="250" w:lineRule="auto"/>
              <w:jc w:val="left"/>
              <w:rPr>
                <w:sz w:val="20"/>
                <w:szCs w:val="20"/>
              </w:rPr>
            </w:pPr>
            <w:r w:rsidDel="00000000" w:rsidR="00000000" w:rsidRPr="00000000">
              <w:rPr>
                <w:sz w:val="20"/>
                <w:szCs w:val="20"/>
                <w:rtl w:val="0"/>
              </w:rPr>
              <w:t xml:space="preserve">Environments provisioned</w:t>
            </w:r>
          </w:p>
        </w:tc>
        <w:tc>
          <w:tcPr>
            <w:tcMar>
              <w:top w:w="70.0" w:type="dxa"/>
              <w:left w:w="110.0" w:type="dxa"/>
              <w:bottom w:w="70.0" w:type="dxa"/>
              <w:right w:w="110.0" w:type="dxa"/>
            </w:tcMar>
          </w:tcPr>
          <w:p w:rsidR="00000000" w:rsidDel="00000000" w:rsidP="00000000" w:rsidRDefault="00000000" w:rsidRPr="00000000" w14:paraId="000001C5">
            <w:pPr>
              <w:spacing w:after="0" w:line="250" w:lineRule="auto"/>
              <w:jc w:val="left"/>
              <w:rPr>
                <w:sz w:val="20"/>
                <w:szCs w:val="20"/>
              </w:rPr>
            </w:pPr>
            <w:r w:rsidDel="00000000" w:rsidR="00000000" w:rsidRPr="00000000">
              <w:rPr>
                <w:sz w:val="20"/>
                <w:szCs w:val="20"/>
                <w:rtl w:val="0"/>
              </w:rPr>
              <w:t xml:space="preserve">3 (development, staging, production equivalents)</w:t>
            </w:r>
          </w:p>
        </w:tc>
        <w:tc>
          <w:tcPr>
            <w:tcMar>
              <w:top w:w="70.0" w:type="dxa"/>
              <w:left w:w="110.0" w:type="dxa"/>
              <w:bottom w:w="70.0" w:type="dxa"/>
              <w:right w:w="110.0" w:type="dxa"/>
            </w:tcMar>
          </w:tcPr>
          <w:p w:rsidR="00000000" w:rsidDel="00000000" w:rsidP="00000000" w:rsidRDefault="00000000" w:rsidRPr="00000000" w14:paraId="000001C6">
            <w:pPr>
              <w:spacing w:after="0" w:line="250" w:lineRule="auto"/>
              <w:jc w:val="left"/>
              <w:rPr>
                <w:sz w:val="20"/>
                <w:szCs w:val="20"/>
              </w:rPr>
            </w:pPr>
            <w:r w:rsidDel="00000000" w:rsidR="00000000" w:rsidRPr="00000000">
              <w:rPr>
                <w:sz w:val="20"/>
                <w:szCs w:val="20"/>
                <w:rtl w:val="0"/>
              </w:rPr>
              <w:t xml:space="preserve">Gives 3 pairwise drift comparisons per method</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C7">
            <w:pPr>
              <w:spacing w:after="0" w:line="250" w:lineRule="auto"/>
              <w:jc w:val="left"/>
              <w:rPr>
                <w:sz w:val="20"/>
                <w:szCs w:val="20"/>
              </w:rPr>
            </w:pPr>
            <w:r w:rsidDel="00000000" w:rsidR="00000000" w:rsidRPr="00000000">
              <w:rPr>
                <w:sz w:val="20"/>
                <w:szCs w:val="20"/>
                <w:rtl w:val="0"/>
              </w:rPr>
              <w:t xml:space="preserve">Pipeline integration depth levels</w:t>
            </w:r>
          </w:p>
        </w:tc>
        <w:tc>
          <w:tcPr>
            <w:tcMar>
              <w:top w:w="70.0" w:type="dxa"/>
              <w:left w:w="110.0" w:type="dxa"/>
              <w:bottom w:w="70.0" w:type="dxa"/>
              <w:right w:w="110.0" w:type="dxa"/>
            </w:tcMar>
          </w:tcPr>
          <w:p w:rsidR="00000000" w:rsidDel="00000000" w:rsidP="00000000" w:rsidRDefault="00000000" w:rsidRPr="00000000" w14:paraId="000001C8">
            <w:pPr>
              <w:spacing w:after="0" w:line="250" w:lineRule="auto"/>
              <w:jc w:val="left"/>
              <w:rPr>
                <w:sz w:val="20"/>
                <w:szCs w:val="20"/>
              </w:rPr>
            </w:pPr>
            <w:r w:rsidDel="00000000" w:rsidR="00000000" w:rsidRPr="00000000">
              <w:rPr>
                <w:sz w:val="20"/>
                <w:szCs w:val="20"/>
                <w:rtl w:val="0"/>
              </w:rPr>
              <w:t xml:space="preserve">3</w:t>
            </w:r>
          </w:p>
        </w:tc>
        <w:tc>
          <w:tcPr>
            <w:tcMar>
              <w:top w:w="70.0" w:type="dxa"/>
              <w:left w:w="110.0" w:type="dxa"/>
              <w:bottom w:w="70.0" w:type="dxa"/>
              <w:right w:w="110.0" w:type="dxa"/>
            </w:tcMar>
          </w:tcPr>
          <w:p w:rsidR="00000000" w:rsidDel="00000000" w:rsidP="00000000" w:rsidRDefault="00000000" w:rsidRPr="00000000" w14:paraId="000001C9">
            <w:pPr>
              <w:spacing w:after="0" w:line="250" w:lineRule="auto"/>
              <w:jc w:val="left"/>
              <w:rPr>
                <w:sz w:val="20"/>
                <w:szCs w:val="20"/>
              </w:rPr>
            </w:pPr>
            <w:r w:rsidDel="00000000" w:rsidR="00000000" w:rsidRPr="00000000">
              <w:rPr>
                <w:sz w:val="20"/>
                <w:szCs w:val="20"/>
                <w:rtl w:val="0"/>
              </w:rPr>
              <w:t xml:space="preserve">Local; plan on pull request; gated apply on merge</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CA">
            <w:pPr>
              <w:spacing w:after="0" w:line="250" w:lineRule="auto"/>
              <w:jc w:val="left"/>
              <w:rPr>
                <w:sz w:val="20"/>
                <w:szCs w:val="20"/>
              </w:rPr>
            </w:pPr>
            <w:r w:rsidDel="00000000" w:rsidR="00000000" w:rsidRPr="00000000">
              <w:rPr>
                <w:sz w:val="20"/>
                <w:szCs w:val="20"/>
                <w:rtl w:val="0"/>
              </w:rPr>
              <w:t xml:space="preserve">Destroy-and-rebuild cycles</w:t>
            </w:r>
          </w:p>
        </w:tc>
        <w:tc>
          <w:tcPr>
            <w:tcMar>
              <w:top w:w="70.0" w:type="dxa"/>
              <w:left w:w="110.0" w:type="dxa"/>
              <w:bottom w:w="70.0" w:type="dxa"/>
              <w:right w:w="110.0" w:type="dxa"/>
            </w:tcMar>
          </w:tcPr>
          <w:p w:rsidR="00000000" w:rsidDel="00000000" w:rsidP="00000000" w:rsidRDefault="00000000" w:rsidRPr="00000000" w14:paraId="000001CB">
            <w:pPr>
              <w:spacing w:after="0" w:line="250" w:lineRule="auto"/>
              <w:jc w:val="left"/>
              <w:rPr>
                <w:sz w:val="20"/>
                <w:szCs w:val="20"/>
              </w:rPr>
            </w:pPr>
            <w:r w:rsidDel="00000000" w:rsidR="00000000" w:rsidRPr="00000000">
              <w:rPr>
                <w:sz w:val="20"/>
                <w:szCs w:val="20"/>
                <w:rtl w:val="0"/>
              </w:rPr>
              <w:t xml:space="preserve">10 per method</w:t>
            </w:r>
          </w:p>
        </w:tc>
        <w:tc>
          <w:tcPr>
            <w:tcMar>
              <w:top w:w="70.0" w:type="dxa"/>
              <w:left w:w="110.0" w:type="dxa"/>
              <w:bottom w:w="70.0" w:type="dxa"/>
              <w:right w:w="110.0" w:type="dxa"/>
            </w:tcMar>
          </w:tcPr>
          <w:p w:rsidR="00000000" w:rsidDel="00000000" w:rsidP="00000000" w:rsidRDefault="00000000" w:rsidRPr="00000000" w14:paraId="000001CC">
            <w:pPr>
              <w:spacing w:after="0" w:line="250" w:lineRule="auto"/>
              <w:jc w:val="left"/>
              <w:rPr>
                <w:sz w:val="20"/>
                <w:szCs w:val="20"/>
              </w:rPr>
            </w:pPr>
            <w:r w:rsidDel="00000000" w:rsidR="00000000" w:rsidRPr="00000000">
              <w:rPr>
                <w:sz w:val="20"/>
                <w:szCs w:val="20"/>
                <w:rtl w:val="0"/>
              </w:rPr>
              <w:t xml:space="preserve">Sufficient to estimate a proportion; reported with confidence interval</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CD">
            <w:pPr>
              <w:spacing w:after="0" w:line="250" w:lineRule="auto"/>
              <w:jc w:val="left"/>
              <w:rPr>
                <w:sz w:val="20"/>
                <w:szCs w:val="20"/>
              </w:rPr>
            </w:pPr>
            <w:r w:rsidDel="00000000" w:rsidR="00000000" w:rsidRPr="00000000">
              <w:rPr>
                <w:sz w:val="20"/>
                <w:szCs w:val="20"/>
                <w:rtl w:val="0"/>
              </w:rPr>
              <w:t xml:space="preserve">Pilot runs (excluded from analysis)</w:t>
            </w:r>
          </w:p>
        </w:tc>
        <w:tc>
          <w:tcPr>
            <w:tcMar>
              <w:top w:w="70.0" w:type="dxa"/>
              <w:left w:w="110.0" w:type="dxa"/>
              <w:bottom w:w="70.0" w:type="dxa"/>
              <w:right w:w="110.0" w:type="dxa"/>
            </w:tcMar>
          </w:tcPr>
          <w:p w:rsidR="00000000" w:rsidDel="00000000" w:rsidP="00000000" w:rsidRDefault="00000000" w:rsidRPr="00000000" w14:paraId="000001CE">
            <w:pPr>
              <w:spacing w:after="0" w:line="250" w:lineRule="auto"/>
              <w:jc w:val="left"/>
              <w:rPr>
                <w:sz w:val="20"/>
                <w:szCs w:val="20"/>
              </w:rPr>
            </w:pPr>
            <w:r w:rsidDel="00000000" w:rsidR="00000000" w:rsidRPr="00000000">
              <w:rPr>
                <w:sz w:val="20"/>
                <w:szCs w:val="20"/>
                <w:rtl w:val="0"/>
              </w:rPr>
              <w:t xml:space="preserve">5</w:t>
            </w:r>
          </w:p>
        </w:tc>
        <w:tc>
          <w:tcPr>
            <w:tcMar>
              <w:top w:w="70.0" w:type="dxa"/>
              <w:left w:w="110.0" w:type="dxa"/>
              <w:bottom w:w="70.0" w:type="dxa"/>
              <w:right w:w="110.0" w:type="dxa"/>
            </w:tcMar>
          </w:tcPr>
          <w:p w:rsidR="00000000" w:rsidDel="00000000" w:rsidP="00000000" w:rsidRDefault="00000000" w:rsidRPr="00000000" w14:paraId="000001CF">
            <w:pPr>
              <w:spacing w:after="0" w:line="250" w:lineRule="auto"/>
              <w:jc w:val="left"/>
              <w:rPr>
                <w:sz w:val="20"/>
                <w:szCs w:val="20"/>
              </w:rPr>
            </w:pPr>
            <w:r w:rsidDel="00000000" w:rsidR="00000000" w:rsidRPr="00000000">
              <w:rPr>
                <w:sz w:val="20"/>
                <w:szCs w:val="20"/>
                <w:rtl w:val="0"/>
              </w:rPr>
              <w:t xml:space="preserve">Instrument and procedure verification, Section 3.7.4</w:t>
            </w:r>
          </w:p>
        </w:tc>
      </w:tr>
    </w:tbl>
    <w:p w:rsidR="00000000" w:rsidDel="00000000" w:rsidP="00000000" w:rsidRDefault="00000000" w:rsidRPr="00000000" w14:paraId="000001D0">
      <w:pPr>
        <w:pStyle w:val="Heading3"/>
        <w:keepNext w:val="1"/>
        <w:rPr/>
      </w:pPr>
      <w:r w:rsidDel="00000000" w:rsidR="00000000" w:rsidRPr="00000000">
        <w:rPr>
          <w:rtl w:val="0"/>
        </w:rPr>
        <w:t xml:space="preserve">3.6.2 Qualitative Strand</w:t>
      </w:r>
    </w:p>
    <w:p w:rsidR="00000000" w:rsidDel="00000000" w:rsidP="00000000" w:rsidRDefault="00000000" w:rsidRPr="00000000" w14:paraId="000001D1">
      <w:pPr>
        <w:rPr/>
      </w:pPr>
      <w:r w:rsidDel="00000000" w:rsidR="00000000" w:rsidRPr="00000000">
        <w:rPr>
          <w:rtl w:val="0"/>
        </w:rPr>
        <w:t xml:space="preserve">The qualitative strand does not sample people. Its data source is a structured implementation log kept by the researcher throughout module development and pipeline integration, supplemented by the review comments recorded on pull requests in the project repository. The sampling logic is therefore one of comprehensive coverage followed by purposive selection: every entry made during the twelve-week period is retained, and the entries analysed most closely are those relating to the results that Phase 1 identifies as requiring explanation.</w:t>
      </w:r>
    </w:p>
    <w:p w:rsidR="00000000" w:rsidDel="00000000" w:rsidP="00000000" w:rsidRDefault="00000000" w:rsidRPr="00000000" w14:paraId="000001D2">
      <w:pPr>
        <w:rPr/>
      </w:pPr>
      <w:r w:rsidDel="00000000" w:rsidR="00000000" w:rsidRPr="00000000">
        <w:rPr>
          <w:rtl w:val="0"/>
        </w:rPr>
        <w:t xml:space="preserve">An expected volume of 60 to 100 log entries is anticipated on the basis of the number of components to be migrated, though the actual figure will be reported rather than assumed. Thematic saturation will be assessed empirically: coding will continue until three consecutive coding sessions generate no new codes, and the point at which this occurs will be reported (Guest et al., 2006; Fusch &amp; Ness, 2015).</w:t>
      </w:r>
    </w:p>
    <w:p w:rsidR="00000000" w:rsidDel="00000000" w:rsidP="00000000" w:rsidRDefault="00000000" w:rsidRPr="00000000" w14:paraId="000001D3">
      <w:pPr>
        <w:rPr/>
      </w:pPr>
      <w:r w:rsidDel="00000000" w:rsidR="00000000" w:rsidRPr="00000000">
        <w:rPr>
          <w:rtl w:val="0"/>
        </w:rPr>
        <w:t xml:space="preserve">One limitation of this arrangement should be stated at the outset. The researcher is both the engineer performing the implementation and the analyst interpreting the record of it, which means the qualitative data are self-generated. This is a genuine weakness and it is handled in three ways: entries are written at the time rather than reconstructed afterwards, using a fixed template so that recording does not depend on how significant an event felt at the time; the log is retained in full and made available to the supervisor as an audit trail; and the supervisor reviews the coding frame independently, as set out in Table 3.4. The researcher's position is treated as an analytic resource to be documented rather than a bias that can be eliminated, consistent with the reflexive orientation of the chosen analytic method.</w:t>
      </w:r>
    </w:p>
    <w:p w:rsidR="00000000" w:rsidDel="00000000" w:rsidP="00000000" w:rsidRDefault="00000000" w:rsidRPr="00000000" w14:paraId="000001D4">
      <w:pPr>
        <w:pStyle w:val="Heading2"/>
        <w:keepNext w:val="1"/>
        <w:rPr/>
      </w:pPr>
      <w:r w:rsidDel="00000000" w:rsidR="00000000" w:rsidRPr="00000000">
        <w:rPr>
          <w:rtl w:val="0"/>
        </w:rPr>
        <w:t xml:space="preserve">3.7 Data Collection Methods and Instruments</w:t>
      </w:r>
    </w:p>
    <w:p w:rsidR="00000000" w:rsidDel="00000000" w:rsidP="00000000" w:rsidRDefault="00000000" w:rsidRPr="00000000" w14:paraId="000001D5">
      <w:pPr>
        <w:pStyle w:val="Heading3"/>
        <w:keepNext w:val="1"/>
        <w:rPr/>
      </w:pPr>
      <w:r w:rsidDel="00000000" w:rsidR="00000000" w:rsidRPr="00000000">
        <w:rPr>
          <w:rtl w:val="0"/>
        </w:rPr>
        <w:t xml:space="preserve">3.7.1 Measurement Instruments</w:t>
      </w:r>
    </w:p>
    <w:p w:rsidR="00000000" w:rsidDel="00000000" w:rsidP="00000000" w:rsidRDefault="00000000" w:rsidRPr="00000000" w14:paraId="000001D6">
      <w:pPr>
        <w:rPr/>
      </w:pPr>
      <w:r w:rsidDel="00000000" w:rsidR="00000000" w:rsidRPr="00000000">
        <w:rPr>
          <w:rtl w:val="0"/>
        </w:rPr>
        <w:t xml:space="preserve">The quantitative strand uses instrumentation rather than a questionnaire. Four instruments correspond to the four outcome measures, and each is described below and summarised in Table 3.2.</w:t>
      </w:r>
    </w:p>
    <w:p w:rsidR="00000000" w:rsidDel="00000000" w:rsidP="00000000" w:rsidRDefault="00000000" w:rsidRPr="00000000" w14:paraId="000001D7">
      <w:pPr>
        <w:rPr/>
      </w:pPr>
      <w:r w:rsidDel="00000000" w:rsidR="00000000" w:rsidRPr="00000000">
        <w:rPr>
          <w:rtl w:val="0"/>
        </w:rPr>
        <w:t xml:space="preserve">Provisioning duration is captured by a shell script that records Unix timestamps immediately before and after each stage of the cycle, following the procedure used by Regvart et al. (2026). Stages are recorded separately, covering initialisation, planning, provisioning and destruction for the Terraform condition, and a single provisioning interval plus a destruction interval for the manual condition, since manual work has no planning stage. Timestamps are written to a comma-separated file with the run identifier, condition, stage, start time, end time and elapsed seconds, so that analysis operates on the raw values rather than on figures transcribed by hand.</w:t>
      </w:r>
    </w:p>
    <w:p w:rsidR="00000000" w:rsidDel="00000000" w:rsidP="00000000" w:rsidRDefault="00000000" w:rsidRPr="00000000" w14:paraId="000001D8">
      <w:pPr>
        <w:rPr/>
      </w:pPr>
      <w:r w:rsidDel="00000000" w:rsidR="00000000" w:rsidRPr="00000000">
        <w:rPr>
          <w:rtl w:val="0"/>
        </w:rPr>
        <w:t xml:space="preserve">Configuration drift is measured by comparing resource attributes across environments. For the Terraform condition this uses the plan output produced when the same configuration is evaluated against each environment, which reports any attribute that differs from the declared state. For the manual condition, and as a cross-check on the Terraform condition, an inventory is produced using AWS command line queries against each environment and the resulting attribute sets are compared. A difference counts as drift unless it is intentional, meaning that it is produced by a variable deliberately set to a different value, such as instance count or environment name. A written list of intentional differences will be produced before measurement begins and reported in Chapter 4, so that the classification is fixed in advance rather than decided when the results are already visible.</w:t>
      </w:r>
    </w:p>
    <w:p w:rsidR="00000000" w:rsidDel="00000000" w:rsidP="00000000" w:rsidRDefault="00000000" w:rsidRPr="00000000" w14:paraId="000001D9">
      <w:pPr>
        <w:rPr/>
      </w:pPr>
      <w:r w:rsidDel="00000000" w:rsidR="00000000" w:rsidRPr="00000000">
        <w:rPr>
          <w:rtl w:val="0"/>
        </w:rPr>
        <w:t xml:space="preserve">Reproducibility is measured by destroy-and-rebuild cycles. A baseline attribute inventory is recorded, the environment is destroyed, it is rebuilt, and the new inventory is compared with the baseline. A cycle counts as successful only if zero unintentional attribute differences are found. Ten cycles are performed under each condition and the proportion of successes is reported with a confidence interval.</w:t>
      </w:r>
    </w:p>
    <w:p w:rsidR="00000000" w:rsidDel="00000000" w:rsidP="00000000" w:rsidRDefault="00000000" w:rsidRPr="00000000" w14:paraId="000001DA">
      <w:pPr>
        <w:rPr/>
      </w:pPr>
      <w:r w:rsidDel="00000000" w:rsidR="00000000" w:rsidRPr="00000000">
        <w:rPr>
          <w:rtl w:val="0"/>
        </w:rPr>
        <w:t xml:space="preserve">Version-control coverage is measured by auditing the component inventory against the repository. Each component in the inventory is classified as fully defined in code, partially defined, or not defined, and the coverage percentage is calculated from the fully defined count. Partial definitions are reported separately rather than folded into either category, because components that are half-codified are the interesting cases and collapsing them would hide the study's most practically useful finding.</w:t>
      </w:r>
    </w:p>
    <w:p w:rsidR="00000000" w:rsidDel="00000000" w:rsidP="00000000" w:rsidRDefault="00000000" w:rsidRPr="00000000" w14:paraId="000001DB">
      <w:pPr>
        <w:rPr/>
      </w:pPr>
      <w:r w:rsidDel="00000000" w:rsidR="00000000" w:rsidRPr="00000000">
        <w:rPr>
          <w:rtl w:val="0"/>
        </w:rPr>
        <w:t xml:space="preserve">Module versions are pinned to explicit releases throughout, and the pinned versions are recorded in the audit trail. This decision follows directly from Begoug et al. (2025), whose finding that unpinned module dependencies accumulate technical lag over months means that an unpinned codebase would not be reproducible in the sense this study is measuring.</w:t>
      </w:r>
    </w:p>
    <w:p w:rsidR="00000000" w:rsidDel="00000000" w:rsidP="00000000" w:rsidRDefault="00000000" w:rsidRPr="00000000" w14:paraId="000001DC">
      <w:pPr>
        <w:keepNext w:val="1"/>
        <w:spacing w:after="100" w:before="200" w:line="240" w:lineRule="auto"/>
        <w:jc w:val="left"/>
        <w:rPr/>
      </w:pPr>
      <w:r w:rsidDel="00000000" w:rsidR="00000000" w:rsidRPr="00000000">
        <w:rPr>
          <w:b w:val="1"/>
          <w:bCs w:val="1"/>
          <w:rtl w:val="0"/>
        </w:rPr>
        <w:t xml:space="preserve">Table 3.2 </w:t>
      </w:r>
      <w:r w:rsidDel="00000000" w:rsidR="00000000" w:rsidRPr="00000000">
        <w:rPr>
          <w:i w:val="1"/>
          <w:iCs w:val="1"/>
          <w:rtl w:val="0"/>
        </w:rPr>
        <w:t xml:space="preserve">Questionnaire Constructs, Items and Sources</w:t>
      </w:r>
      <w:r w:rsidDel="00000000" w:rsidR="00000000" w:rsidRPr="00000000">
        <w:rPr>
          <w:rtl w:val="0"/>
        </w:rPr>
      </w:r>
    </w:p>
    <w:tbl>
      <w:tblPr>
        <w:tblStyle w:val="Table7"/>
        <w:tblW w:w="8640.0" w:type="dxa"/>
        <w:jc w:val="left"/>
        <w:tblBorders>
          <w:top w:color="000000" w:space="0" w:sz="6" w:val="single"/>
          <w:left w:color="000000" w:space="0" w:sz="0" w:val="nil"/>
          <w:bottom w:color="000000" w:space="0" w:sz="6" w:val="single"/>
          <w:right w:color="000000" w:space="0" w:sz="0" w:val="nil"/>
          <w:insideH w:color="bfbfbf" w:space="0" w:sz="4" w:val="single"/>
          <w:insideV w:color="000000" w:space="0" w:sz="0" w:val="nil"/>
        </w:tblBorders>
        <w:tblLayout w:type="fixed"/>
        <w:tblLook w:val="0000"/>
      </w:tblPr>
      <w:tblGrid>
        <w:gridCol w:w="1545"/>
        <w:gridCol w:w="2055"/>
        <w:gridCol w:w="1965"/>
        <w:gridCol w:w="1845"/>
        <w:gridCol w:w="1230"/>
        <w:tblGridChange w:id="0">
          <w:tblGrid>
            <w:gridCol w:w="1545"/>
            <w:gridCol w:w="2055"/>
            <w:gridCol w:w="1965"/>
            <w:gridCol w:w="1845"/>
            <w:gridCol w:w="1230"/>
          </w:tblGrid>
        </w:tblGridChange>
      </w:tblGrid>
      <w:tr>
        <w:trPr>
          <w:cantSplit w:val="0"/>
          <w:tblHeader w:val="1"/>
        </w:trPr>
        <w:tc>
          <w:tcPr>
            <w:shd w:fill="edeff3" w:val="clear"/>
            <w:tcMar>
              <w:top w:w="80.0" w:type="dxa"/>
              <w:left w:w="110.0" w:type="dxa"/>
              <w:bottom w:w="80.0" w:type="dxa"/>
              <w:right w:w="110.0" w:type="dxa"/>
            </w:tcMar>
            <w:vAlign w:val="center"/>
          </w:tcPr>
          <w:p w:rsidR="00000000" w:rsidDel="00000000" w:rsidP="00000000" w:rsidRDefault="00000000" w:rsidRPr="00000000" w14:paraId="000001DD">
            <w:pPr>
              <w:spacing w:after="40" w:line="240" w:lineRule="auto"/>
              <w:jc w:val="left"/>
              <w:rPr/>
            </w:pPr>
            <w:r w:rsidDel="00000000" w:rsidR="00000000" w:rsidRPr="00000000">
              <w:rPr>
                <w:b w:val="1"/>
                <w:bCs w:val="1"/>
                <w:sz w:val="20"/>
                <w:szCs w:val="20"/>
                <w:rtl w:val="0"/>
              </w:rPr>
              <w:t xml:space="preserve">Section</w:t>
            </w:r>
            <w:r w:rsidDel="00000000" w:rsidR="00000000" w:rsidRPr="00000000">
              <w:rPr>
                <w:rtl w:val="0"/>
              </w:rPr>
            </w:r>
          </w:p>
        </w:tc>
        <w:tc>
          <w:tcPr>
            <w:shd w:fill="edeff3" w:val="clear"/>
            <w:tcMar>
              <w:top w:w="80.0" w:type="dxa"/>
              <w:left w:w="110.0" w:type="dxa"/>
              <w:bottom w:w="80.0" w:type="dxa"/>
              <w:right w:w="110.0" w:type="dxa"/>
            </w:tcMar>
            <w:vAlign w:val="center"/>
          </w:tcPr>
          <w:p w:rsidR="00000000" w:rsidDel="00000000" w:rsidP="00000000" w:rsidRDefault="00000000" w:rsidRPr="00000000" w14:paraId="000001DE">
            <w:pPr>
              <w:spacing w:after="40" w:line="240" w:lineRule="auto"/>
              <w:jc w:val="left"/>
              <w:rPr/>
            </w:pPr>
            <w:r w:rsidDel="00000000" w:rsidR="00000000" w:rsidRPr="00000000">
              <w:rPr>
                <w:b w:val="1"/>
                <w:bCs w:val="1"/>
                <w:sz w:val="20"/>
                <w:szCs w:val="20"/>
                <w:rtl w:val="0"/>
              </w:rPr>
              <w:t xml:space="preserve">Construct</w:t>
            </w:r>
            <w:r w:rsidDel="00000000" w:rsidR="00000000" w:rsidRPr="00000000">
              <w:rPr>
                <w:rtl w:val="0"/>
              </w:rPr>
            </w:r>
          </w:p>
        </w:tc>
        <w:tc>
          <w:tcPr>
            <w:shd w:fill="edeff3" w:val="clear"/>
            <w:tcMar>
              <w:top w:w="80.0" w:type="dxa"/>
              <w:left w:w="110.0" w:type="dxa"/>
              <w:bottom w:w="80.0" w:type="dxa"/>
              <w:right w:w="110.0" w:type="dxa"/>
            </w:tcMar>
            <w:vAlign w:val="center"/>
          </w:tcPr>
          <w:p w:rsidR="00000000" w:rsidDel="00000000" w:rsidP="00000000" w:rsidRDefault="00000000" w:rsidRPr="00000000" w14:paraId="000001DF">
            <w:pPr>
              <w:spacing w:after="40" w:line="240" w:lineRule="auto"/>
              <w:jc w:val="left"/>
              <w:rPr/>
            </w:pPr>
            <w:r w:rsidDel="00000000" w:rsidR="00000000" w:rsidRPr="00000000">
              <w:rPr>
                <w:b w:val="1"/>
                <w:bCs w:val="1"/>
                <w:sz w:val="20"/>
                <w:szCs w:val="20"/>
                <w:rtl w:val="0"/>
              </w:rPr>
              <w:t xml:space="preserve">Items</w:t>
            </w:r>
            <w:r w:rsidDel="00000000" w:rsidR="00000000" w:rsidRPr="00000000">
              <w:rPr>
                <w:rtl w:val="0"/>
              </w:rPr>
            </w:r>
          </w:p>
        </w:tc>
        <w:tc>
          <w:tcPr>
            <w:shd w:fill="edeff3" w:val="clear"/>
            <w:tcMar>
              <w:top w:w="80.0" w:type="dxa"/>
              <w:left w:w="110.0" w:type="dxa"/>
              <w:bottom w:w="80.0" w:type="dxa"/>
              <w:right w:w="110.0" w:type="dxa"/>
            </w:tcMar>
            <w:vAlign w:val="center"/>
          </w:tcPr>
          <w:p w:rsidR="00000000" w:rsidDel="00000000" w:rsidP="00000000" w:rsidRDefault="00000000" w:rsidRPr="00000000" w14:paraId="000001E0">
            <w:pPr>
              <w:spacing w:after="40" w:line="240" w:lineRule="auto"/>
              <w:jc w:val="left"/>
              <w:rPr/>
            </w:pPr>
            <w:r w:rsidDel="00000000" w:rsidR="00000000" w:rsidRPr="00000000">
              <w:rPr>
                <w:b w:val="1"/>
                <w:bCs w:val="1"/>
                <w:sz w:val="20"/>
                <w:szCs w:val="20"/>
                <w:rtl w:val="0"/>
              </w:rPr>
              <w:t xml:space="preserve">Adapted From</w:t>
            </w:r>
            <w:r w:rsidDel="00000000" w:rsidR="00000000" w:rsidRPr="00000000">
              <w:rPr>
                <w:rtl w:val="0"/>
              </w:rPr>
            </w:r>
          </w:p>
        </w:tc>
        <w:tc>
          <w:tcPr>
            <w:shd w:fill="edeff3" w:val="clear"/>
            <w:tcMar>
              <w:top w:w="80.0" w:type="dxa"/>
              <w:left w:w="110.0" w:type="dxa"/>
              <w:bottom w:w="80.0" w:type="dxa"/>
              <w:right w:w="110.0" w:type="dxa"/>
            </w:tcMar>
            <w:vAlign w:val="center"/>
          </w:tcPr>
          <w:p w:rsidR="00000000" w:rsidDel="00000000" w:rsidP="00000000" w:rsidRDefault="00000000" w:rsidRPr="00000000" w14:paraId="000001E1">
            <w:pPr>
              <w:spacing w:after="40" w:line="240" w:lineRule="auto"/>
              <w:jc w:val="left"/>
              <w:rPr/>
            </w:pPr>
            <w:r w:rsidDel="00000000" w:rsidR="00000000" w:rsidRPr="00000000">
              <w:rPr>
                <w:b w:val="1"/>
                <w:bCs w:val="1"/>
                <w:sz w:val="20"/>
                <w:szCs w:val="20"/>
                <w:rtl w:val="0"/>
              </w:rPr>
              <w:t xml:space="preserve">Reported α</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E2">
            <w:pPr>
              <w:spacing w:after="0" w:line="250" w:lineRule="auto"/>
              <w:jc w:val="left"/>
              <w:rPr>
                <w:sz w:val="20"/>
                <w:szCs w:val="20"/>
              </w:rPr>
            </w:pPr>
            <w:r w:rsidDel="00000000" w:rsidR="00000000" w:rsidRPr="00000000">
              <w:rPr>
                <w:sz w:val="20"/>
                <w:szCs w:val="20"/>
                <w:rtl w:val="0"/>
              </w:rPr>
              <w:t xml:space="preserve">Provisioning duration</w:t>
            </w:r>
          </w:p>
        </w:tc>
        <w:tc>
          <w:tcPr>
            <w:tcMar>
              <w:top w:w="70.0" w:type="dxa"/>
              <w:left w:w="110.0" w:type="dxa"/>
              <w:bottom w:w="70.0" w:type="dxa"/>
              <w:right w:w="110.0" w:type="dxa"/>
            </w:tcMar>
          </w:tcPr>
          <w:p w:rsidR="00000000" w:rsidDel="00000000" w:rsidP="00000000" w:rsidRDefault="00000000" w:rsidRPr="00000000" w14:paraId="000001E3">
            <w:pPr>
              <w:spacing w:after="0" w:line="250" w:lineRule="auto"/>
              <w:jc w:val="left"/>
              <w:rPr>
                <w:sz w:val="20"/>
                <w:szCs w:val="20"/>
              </w:rPr>
            </w:pPr>
            <w:r w:rsidDel="00000000" w:rsidR="00000000" w:rsidRPr="00000000">
              <w:rPr>
                <w:sz w:val="20"/>
                <w:szCs w:val="20"/>
                <w:rtl w:val="0"/>
              </w:rPr>
              <w:t xml:space="preserve">Elapsed seconds per stage</w:t>
            </w:r>
          </w:p>
        </w:tc>
        <w:tc>
          <w:tcPr>
            <w:tcMar>
              <w:top w:w="70.0" w:type="dxa"/>
              <w:left w:w="110.0" w:type="dxa"/>
              <w:bottom w:w="70.0" w:type="dxa"/>
              <w:right w:w="110.0" w:type="dxa"/>
            </w:tcMar>
          </w:tcPr>
          <w:p w:rsidR="00000000" w:rsidDel="00000000" w:rsidP="00000000" w:rsidRDefault="00000000" w:rsidRPr="00000000" w14:paraId="000001E4">
            <w:pPr>
              <w:spacing w:after="0" w:line="250" w:lineRule="auto"/>
              <w:jc w:val="left"/>
              <w:rPr>
                <w:sz w:val="20"/>
                <w:szCs w:val="20"/>
              </w:rPr>
            </w:pPr>
            <w:r w:rsidDel="00000000" w:rsidR="00000000" w:rsidRPr="00000000">
              <w:rPr>
                <w:sz w:val="20"/>
                <w:szCs w:val="20"/>
                <w:rtl w:val="0"/>
              </w:rPr>
              <w:t xml:space="preserve">Shell script recording Unix timestamps to CSV</w:t>
            </w:r>
          </w:p>
        </w:tc>
        <w:tc>
          <w:tcPr>
            <w:tcMar>
              <w:top w:w="70.0" w:type="dxa"/>
              <w:left w:w="110.0" w:type="dxa"/>
              <w:bottom w:w="70.0" w:type="dxa"/>
              <w:right w:w="110.0" w:type="dxa"/>
            </w:tcMar>
          </w:tcPr>
          <w:p w:rsidR="00000000" w:rsidDel="00000000" w:rsidP="00000000" w:rsidRDefault="00000000" w:rsidRPr="00000000" w14:paraId="000001E5">
            <w:pPr>
              <w:spacing w:after="0" w:line="250" w:lineRule="auto"/>
              <w:jc w:val="left"/>
              <w:rPr>
                <w:sz w:val="20"/>
                <w:szCs w:val="20"/>
              </w:rPr>
            </w:pPr>
            <w:r w:rsidDel="00000000" w:rsidR="00000000" w:rsidRPr="00000000">
              <w:rPr>
                <w:sz w:val="20"/>
                <w:szCs w:val="20"/>
                <w:rtl w:val="0"/>
              </w:rPr>
              <w:t xml:space="preserve">Regvart et al. (2026)</w:t>
            </w:r>
          </w:p>
        </w:tc>
        <w:tc>
          <w:tcPr>
            <w:tcMar>
              <w:top w:w="80.0" w:type="dxa"/>
              <w:left w:w="110.0" w:type="dxa"/>
              <w:bottom w:w="80.0" w:type="dxa"/>
              <w:right w:w="110.0" w:type="dxa"/>
            </w:tcMar>
            <w:vAlign w:val="center"/>
          </w:tcPr>
          <w:p w:rsidR="00000000" w:rsidDel="00000000" w:rsidP="00000000" w:rsidRDefault="00000000" w:rsidRPr="00000000" w14:paraId="000001E6">
            <w:pPr>
              <w:spacing w:after="40" w:line="240" w:lineRule="auto"/>
              <w:jc w:val="left"/>
              <w:rPr>
                <w:sz w:val="20"/>
                <w:szCs w:val="20"/>
              </w:rPr>
            </w:pPr>
            <w:r w:rsidDel="00000000" w:rsidR="00000000" w:rsidRPr="00000000">
              <w:rPr>
                <w:sz w:val="20"/>
                <w:szCs w:val="20"/>
                <w:rtl w:val="0"/>
              </w:rPr>
              <w:t xml:space="preserve">n/a</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E7">
            <w:pPr>
              <w:spacing w:after="0" w:line="250" w:lineRule="auto"/>
              <w:jc w:val="left"/>
              <w:rPr>
                <w:sz w:val="20"/>
                <w:szCs w:val="20"/>
              </w:rPr>
            </w:pPr>
            <w:r w:rsidDel="00000000" w:rsidR="00000000" w:rsidRPr="00000000">
              <w:rPr>
                <w:sz w:val="20"/>
                <w:szCs w:val="20"/>
                <w:rtl w:val="0"/>
              </w:rPr>
              <w:t xml:space="preserve">Configuration drift</w:t>
            </w:r>
          </w:p>
        </w:tc>
        <w:tc>
          <w:tcPr>
            <w:tcMar>
              <w:top w:w="70.0" w:type="dxa"/>
              <w:left w:w="110.0" w:type="dxa"/>
              <w:bottom w:w="70.0" w:type="dxa"/>
              <w:right w:w="110.0" w:type="dxa"/>
            </w:tcMar>
          </w:tcPr>
          <w:p w:rsidR="00000000" w:rsidDel="00000000" w:rsidP="00000000" w:rsidRDefault="00000000" w:rsidRPr="00000000" w14:paraId="000001E8">
            <w:pPr>
              <w:spacing w:after="0" w:line="250" w:lineRule="auto"/>
              <w:jc w:val="left"/>
              <w:rPr>
                <w:sz w:val="20"/>
                <w:szCs w:val="20"/>
              </w:rPr>
            </w:pPr>
            <w:r w:rsidDel="00000000" w:rsidR="00000000" w:rsidRPr="00000000">
              <w:rPr>
                <w:sz w:val="20"/>
                <w:szCs w:val="20"/>
                <w:rtl w:val="0"/>
              </w:rPr>
              <w:t xml:space="preserve">Count of unintentional differing attributes per environment pair</w:t>
            </w:r>
          </w:p>
        </w:tc>
        <w:tc>
          <w:tcPr>
            <w:tcMar>
              <w:top w:w="70.0" w:type="dxa"/>
              <w:left w:w="110.0" w:type="dxa"/>
              <w:bottom w:w="70.0" w:type="dxa"/>
              <w:right w:w="110.0" w:type="dxa"/>
            </w:tcMar>
          </w:tcPr>
          <w:p w:rsidR="00000000" w:rsidDel="00000000" w:rsidP="00000000" w:rsidRDefault="00000000" w:rsidRPr="00000000" w14:paraId="000001E9">
            <w:pPr>
              <w:spacing w:after="0" w:line="250" w:lineRule="auto"/>
              <w:jc w:val="left"/>
              <w:rPr>
                <w:sz w:val="20"/>
                <w:szCs w:val="20"/>
              </w:rPr>
            </w:pPr>
            <w:r w:rsidDel="00000000" w:rsidR="00000000" w:rsidRPr="00000000">
              <w:rPr>
                <w:sz w:val="20"/>
                <w:szCs w:val="20"/>
                <w:rtl w:val="0"/>
              </w:rPr>
              <w:t xml:space="preserve">Terraform plan output; AWS CLI inventory comparison</w:t>
            </w:r>
          </w:p>
        </w:tc>
        <w:tc>
          <w:tcPr>
            <w:tcMar>
              <w:top w:w="70.0" w:type="dxa"/>
              <w:left w:w="110.0" w:type="dxa"/>
              <w:bottom w:w="70.0" w:type="dxa"/>
              <w:right w:w="110.0" w:type="dxa"/>
            </w:tcMar>
          </w:tcPr>
          <w:p w:rsidR="00000000" w:rsidDel="00000000" w:rsidP="00000000" w:rsidRDefault="00000000" w:rsidRPr="00000000" w14:paraId="000001EA">
            <w:pPr>
              <w:spacing w:after="0" w:line="250" w:lineRule="auto"/>
              <w:jc w:val="left"/>
              <w:rPr>
                <w:sz w:val="20"/>
                <w:szCs w:val="20"/>
              </w:rPr>
            </w:pPr>
            <w:r w:rsidDel="00000000" w:rsidR="00000000" w:rsidRPr="00000000">
              <w:rPr>
                <w:sz w:val="20"/>
                <w:szCs w:val="20"/>
                <w:rtl w:val="0"/>
              </w:rPr>
              <w:t xml:space="preserve">Kumara et al. (2021); developed for this study</w:t>
            </w:r>
          </w:p>
        </w:tc>
        <w:tc>
          <w:tcPr>
            <w:tcMar>
              <w:top w:w="80.0" w:type="dxa"/>
              <w:left w:w="110.0" w:type="dxa"/>
              <w:bottom w:w="80.0" w:type="dxa"/>
              <w:right w:w="110.0" w:type="dxa"/>
            </w:tcMar>
            <w:vAlign w:val="center"/>
          </w:tcPr>
          <w:p w:rsidR="00000000" w:rsidDel="00000000" w:rsidP="00000000" w:rsidRDefault="00000000" w:rsidRPr="00000000" w14:paraId="000001EB">
            <w:pPr>
              <w:spacing w:after="40" w:line="240" w:lineRule="auto"/>
              <w:jc w:val="left"/>
              <w:rPr>
                <w:sz w:val="20"/>
                <w:szCs w:val="20"/>
              </w:rPr>
            </w:pPr>
            <w:r w:rsidDel="00000000" w:rsidR="00000000" w:rsidRPr="00000000">
              <w:rPr>
                <w:sz w:val="20"/>
                <w:szCs w:val="20"/>
                <w:rtl w:val="0"/>
              </w:rPr>
              <w:t xml:space="preserve">n/a</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EC">
            <w:pPr>
              <w:spacing w:after="0" w:line="250" w:lineRule="auto"/>
              <w:jc w:val="left"/>
              <w:rPr>
                <w:sz w:val="20"/>
                <w:szCs w:val="20"/>
              </w:rPr>
            </w:pPr>
            <w:r w:rsidDel="00000000" w:rsidR="00000000" w:rsidRPr="00000000">
              <w:rPr>
                <w:sz w:val="20"/>
                <w:szCs w:val="20"/>
                <w:rtl w:val="0"/>
              </w:rPr>
              <w:t xml:space="preserve">Reproducibility</w:t>
            </w:r>
          </w:p>
        </w:tc>
        <w:tc>
          <w:tcPr>
            <w:tcMar>
              <w:top w:w="70.0" w:type="dxa"/>
              <w:left w:w="110.0" w:type="dxa"/>
              <w:bottom w:w="70.0" w:type="dxa"/>
              <w:right w:w="110.0" w:type="dxa"/>
            </w:tcMar>
          </w:tcPr>
          <w:p w:rsidR="00000000" w:rsidDel="00000000" w:rsidP="00000000" w:rsidRDefault="00000000" w:rsidRPr="00000000" w14:paraId="000001ED">
            <w:pPr>
              <w:spacing w:after="0" w:line="250" w:lineRule="auto"/>
              <w:jc w:val="left"/>
              <w:rPr>
                <w:sz w:val="20"/>
                <w:szCs w:val="20"/>
              </w:rPr>
            </w:pPr>
            <w:r w:rsidDel="00000000" w:rsidR="00000000" w:rsidRPr="00000000">
              <w:rPr>
                <w:sz w:val="20"/>
                <w:szCs w:val="20"/>
                <w:rtl w:val="0"/>
              </w:rPr>
              <w:t xml:space="preserve">Proportion of destroy-and-rebuild cycles with zero unintentional differences</w:t>
            </w:r>
          </w:p>
        </w:tc>
        <w:tc>
          <w:tcPr>
            <w:tcMar>
              <w:top w:w="70.0" w:type="dxa"/>
              <w:left w:w="110.0" w:type="dxa"/>
              <w:bottom w:w="70.0" w:type="dxa"/>
              <w:right w:w="110.0" w:type="dxa"/>
            </w:tcMar>
          </w:tcPr>
          <w:p w:rsidR="00000000" w:rsidDel="00000000" w:rsidP="00000000" w:rsidRDefault="00000000" w:rsidRPr="00000000" w14:paraId="000001EE">
            <w:pPr>
              <w:spacing w:after="0" w:line="250" w:lineRule="auto"/>
              <w:jc w:val="left"/>
              <w:rPr>
                <w:sz w:val="20"/>
                <w:szCs w:val="20"/>
              </w:rPr>
            </w:pPr>
            <w:r w:rsidDel="00000000" w:rsidR="00000000" w:rsidRPr="00000000">
              <w:rPr>
                <w:sz w:val="20"/>
                <w:szCs w:val="20"/>
                <w:rtl w:val="0"/>
              </w:rPr>
              <w:t xml:space="preserve">Baseline inventory versus post-rebuild inventory</w:t>
            </w:r>
          </w:p>
        </w:tc>
        <w:tc>
          <w:tcPr>
            <w:tcMar>
              <w:top w:w="70.0" w:type="dxa"/>
              <w:left w:w="110.0" w:type="dxa"/>
              <w:bottom w:w="70.0" w:type="dxa"/>
              <w:right w:w="110.0" w:type="dxa"/>
            </w:tcMar>
          </w:tcPr>
          <w:p w:rsidR="00000000" w:rsidDel="00000000" w:rsidP="00000000" w:rsidRDefault="00000000" w:rsidRPr="00000000" w14:paraId="000001EF">
            <w:pPr>
              <w:spacing w:after="0" w:line="250" w:lineRule="auto"/>
              <w:jc w:val="left"/>
              <w:rPr>
                <w:sz w:val="20"/>
                <w:szCs w:val="20"/>
              </w:rPr>
            </w:pPr>
            <w:r w:rsidDel="00000000" w:rsidR="00000000" w:rsidRPr="00000000">
              <w:rPr>
                <w:sz w:val="20"/>
                <w:szCs w:val="20"/>
                <w:rtl w:val="0"/>
              </w:rPr>
              <w:t xml:space="preserve">Developed for this study; procedure after Regvart et al. (2026)</w:t>
            </w:r>
          </w:p>
        </w:tc>
        <w:tc>
          <w:tcPr>
            <w:tcMar>
              <w:top w:w="80.0" w:type="dxa"/>
              <w:left w:w="110.0" w:type="dxa"/>
              <w:bottom w:w="80.0" w:type="dxa"/>
              <w:right w:w="110.0" w:type="dxa"/>
            </w:tcMar>
            <w:vAlign w:val="center"/>
          </w:tcPr>
          <w:p w:rsidR="00000000" w:rsidDel="00000000" w:rsidP="00000000" w:rsidRDefault="00000000" w:rsidRPr="00000000" w14:paraId="000001F0">
            <w:pPr>
              <w:spacing w:after="40" w:line="240" w:lineRule="auto"/>
              <w:jc w:val="left"/>
              <w:rPr>
                <w:sz w:val="20"/>
                <w:szCs w:val="20"/>
              </w:rPr>
            </w:pPr>
            <w:r w:rsidDel="00000000" w:rsidR="00000000" w:rsidRPr="00000000">
              <w:rPr>
                <w:sz w:val="20"/>
                <w:szCs w:val="20"/>
                <w:rtl w:val="0"/>
              </w:rPr>
              <w:t xml:space="preserve">n/a</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F1">
            <w:pPr>
              <w:spacing w:after="0" w:line="250" w:lineRule="auto"/>
              <w:jc w:val="left"/>
              <w:rPr>
                <w:sz w:val="20"/>
                <w:szCs w:val="20"/>
              </w:rPr>
            </w:pPr>
            <w:r w:rsidDel="00000000" w:rsidR="00000000" w:rsidRPr="00000000">
              <w:rPr>
                <w:sz w:val="20"/>
                <w:szCs w:val="20"/>
                <w:rtl w:val="0"/>
              </w:rPr>
              <w:t xml:space="preserve">Version-control coverage</w:t>
            </w:r>
          </w:p>
        </w:tc>
        <w:tc>
          <w:tcPr>
            <w:tcMar>
              <w:top w:w="70.0" w:type="dxa"/>
              <w:left w:w="110.0" w:type="dxa"/>
              <w:bottom w:w="70.0" w:type="dxa"/>
              <w:right w:w="110.0" w:type="dxa"/>
            </w:tcMar>
          </w:tcPr>
          <w:p w:rsidR="00000000" w:rsidDel="00000000" w:rsidP="00000000" w:rsidRDefault="00000000" w:rsidRPr="00000000" w14:paraId="000001F2">
            <w:pPr>
              <w:spacing w:after="0" w:line="250" w:lineRule="auto"/>
              <w:jc w:val="left"/>
              <w:rPr>
                <w:sz w:val="20"/>
                <w:szCs w:val="20"/>
              </w:rPr>
            </w:pPr>
            <w:r w:rsidDel="00000000" w:rsidR="00000000" w:rsidRPr="00000000">
              <w:rPr>
                <w:sz w:val="20"/>
                <w:szCs w:val="20"/>
                <w:rtl w:val="0"/>
              </w:rPr>
              <w:t xml:space="preserve">Percentage of components fully defined in the repository</w:t>
            </w:r>
          </w:p>
        </w:tc>
        <w:tc>
          <w:tcPr>
            <w:tcMar>
              <w:top w:w="70.0" w:type="dxa"/>
              <w:left w:w="110.0" w:type="dxa"/>
              <w:bottom w:w="70.0" w:type="dxa"/>
              <w:right w:w="110.0" w:type="dxa"/>
            </w:tcMar>
          </w:tcPr>
          <w:p w:rsidR="00000000" w:rsidDel="00000000" w:rsidP="00000000" w:rsidRDefault="00000000" w:rsidRPr="00000000" w14:paraId="000001F3">
            <w:pPr>
              <w:spacing w:after="0" w:line="250" w:lineRule="auto"/>
              <w:jc w:val="left"/>
              <w:rPr>
                <w:sz w:val="20"/>
                <w:szCs w:val="20"/>
              </w:rPr>
            </w:pPr>
            <w:r w:rsidDel="00000000" w:rsidR="00000000" w:rsidRPr="00000000">
              <w:rPr>
                <w:sz w:val="20"/>
                <w:szCs w:val="20"/>
                <w:rtl w:val="0"/>
              </w:rPr>
              <w:t xml:space="preserve">Component inventory audited against repository contents</w:t>
            </w:r>
          </w:p>
        </w:tc>
        <w:tc>
          <w:tcPr>
            <w:tcMar>
              <w:top w:w="70.0" w:type="dxa"/>
              <w:left w:w="110.0" w:type="dxa"/>
              <w:bottom w:w="70.0" w:type="dxa"/>
              <w:right w:w="110.0" w:type="dxa"/>
            </w:tcMar>
          </w:tcPr>
          <w:p w:rsidR="00000000" w:rsidDel="00000000" w:rsidP="00000000" w:rsidRDefault="00000000" w:rsidRPr="00000000" w14:paraId="000001F4">
            <w:pPr>
              <w:spacing w:after="0" w:line="250" w:lineRule="auto"/>
              <w:jc w:val="left"/>
              <w:rPr>
                <w:sz w:val="20"/>
                <w:szCs w:val="20"/>
              </w:rPr>
            </w:pPr>
            <w:r w:rsidDel="00000000" w:rsidR="00000000" w:rsidRPr="00000000">
              <w:rPr>
                <w:sz w:val="20"/>
                <w:szCs w:val="20"/>
                <w:rtl w:val="0"/>
              </w:rPr>
              <w:t xml:space="preserve">Developed for this study</w:t>
            </w:r>
          </w:p>
        </w:tc>
        <w:tc>
          <w:tcPr>
            <w:tcMar>
              <w:top w:w="80.0" w:type="dxa"/>
              <w:left w:w="110.0" w:type="dxa"/>
              <w:bottom w:w="80.0" w:type="dxa"/>
              <w:right w:w="110.0" w:type="dxa"/>
            </w:tcMar>
            <w:vAlign w:val="center"/>
          </w:tcPr>
          <w:p w:rsidR="00000000" w:rsidDel="00000000" w:rsidP="00000000" w:rsidRDefault="00000000" w:rsidRPr="00000000" w14:paraId="000001F5">
            <w:pPr>
              <w:spacing w:after="40" w:line="240" w:lineRule="auto"/>
              <w:jc w:val="left"/>
              <w:rPr>
                <w:sz w:val="20"/>
                <w:szCs w:val="20"/>
              </w:rPr>
            </w:pPr>
            <w:r w:rsidDel="00000000" w:rsidR="00000000" w:rsidRPr="00000000">
              <w:rPr>
                <w:sz w:val="20"/>
                <w:szCs w:val="20"/>
                <w:rtl w:val="0"/>
              </w:rPr>
              <w:t xml:space="preserve">n/a</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F6">
            <w:pPr>
              <w:spacing w:after="0" w:line="250" w:lineRule="auto"/>
              <w:jc w:val="left"/>
              <w:rPr>
                <w:sz w:val="20"/>
                <w:szCs w:val="20"/>
              </w:rPr>
            </w:pPr>
            <w:r w:rsidDel="00000000" w:rsidR="00000000" w:rsidRPr="00000000">
              <w:rPr>
                <w:sz w:val="20"/>
                <w:szCs w:val="20"/>
                <w:rtl w:val="0"/>
              </w:rPr>
              <w:t xml:space="preserve">Pipeline integration depth</w:t>
            </w:r>
          </w:p>
        </w:tc>
        <w:tc>
          <w:tcPr>
            <w:tcMar>
              <w:top w:w="70.0" w:type="dxa"/>
              <w:left w:w="110.0" w:type="dxa"/>
              <w:bottom w:w="70.0" w:type="dxa"/>
              <w:right w:w="110.0" w:type="dxa"/>
            </w:tcMar>
          </w:tcPr>
          <w:p w:rsidR="00000000" w:rsidDel="00000000" w:rsidP="00000000" w:rsidRDefault="00000000" w:rsidRPr="00000000" w14:paraId="000001F7">
            <w:pPr>
              <w:spacing w:after="0" w:line="250" w:lineRule="auto"/>
              <w:jc w:val="left"/>
              <w:rPr>
                <w:sz w:val="20"/>
                <w:szCs w:val="20"/>
              </w:rPr>
            </w:pPr>
            <w:r w:rsidDel="00000000" w:rsidR="00000000" w:rsidRPr="00000000">
              <w:rPr>
                <w:sz w:val="20"/>
                <w:szCs w:val="20"/>
                <w:rtl w:val="0"/>
              </w:rPr>
              <w:t xml:space="preserve">Ordered level: local, plan on pull request, gated apply</w:t>
            </w:r>
          </w:p>
        </w:tc>
        <w:tc>
          <w:tcPr>
            <w:tcMar>
              <w:top w:w="70.0" w:type="dxa"/>
              <w:left w:w="110.0" w:type="dxa"/>
              <w:bottom w:w="70.0" w:type="dxa"/>
              <w:right w:w="110.0" w:type="dxa"/>
            </w:tcMar>
          </w:tcPr>
          <w:p w:rsidR="00000000" w:rsidDel="00000000" w:rsidP="00000000" w:rsidRDefault="00000000" w:rsidRPr="00000000" w14:paraId="000001F8">
            <w:pPr>
              <w:spacing w:after="0" w:line="250" w:lineRule="auto"/>
              <w:jc w:val="left"/>
              <w:rPr>
                <w:sz w:val="20"/>
                <w:szCs w:val="20"/>
              </w:rPr>
            </w:pPr>
            <w:r w:rsidDel="00000000" w:rsidR="00000000" w:rsidRPr="00000000">
              <w:rPr>
                <w:sz w:val="20"/>
                <w:szCs w:val="20"/>
                <w:rtl w:val="0"/>
              </w:rPr>
              <w:t xml:space="preserve">GitHub Actions workflow configuration and branch protection settings</w:t>
            </w:r>
          </w:p>
        </w:tc>
        <w:tc>
          <w:tcPr>
            <w:tcMar>
              <w:top w:w="70.0" w:type="dxa"/>
              <w:left w:w="110.0" w:type="dxa"/>
              <w:bottom w:w="70.0" w:type="dxa"/>
              <w:right w:w="110.0" w:type="dxa"/>
            </w:tcMar>
          </w:tcPr>
          <w:p w:rsidR="00000000" w:rsidDel="00000000" w:rsidP="00000000" w:rsidRDefault="00000000" w:rsidRPr="00000000" w14:paraId="000001F9">
            <w:pPr>
              <w:spacing w:after="0" w:line="250" w:lineRule="auto"/>
              <w:jc w:val="left"/>
              <w:rPr>
                <w:sz w:val="20"/>
                <w:szCs w:val="20"/>
              </w:rPr>
            </w:pPr>
            <w:r w:rsidDel="00000000" w:rsidR="00000000" w:rsidRPr="00000000">
              <w:rPr>
                <w:sz w:val="20"/>
                <w:szCs w:val="20"/>
                <w:rtl w:val="0"/>
              </w:rPr>
              <w:t xml:space="preserve">Hilton et al. (2016); Rostami Mazrae et al. (2023)</w:t>
            </w:r>
          </w:p>
        </w:tc>
        <w:tc>
          <w:tcPr>
            <w:tcMar>
              <w:top w:w="80.0" w:type="dxa"/>
              <w:left w:w="110.0" w:type="dxa"/>
              <w:bottom w:w="80.0" w:type="dxa"/>
              <w:right w:w="110.0" w:type="dxa"/>
            </w:tcMar>
            <w:vAlign w:val="center"/>
          </w:tcPr>
          <w:p w:rsidR="00000000" w:rsidDel="00000000" w:rsidP="00000000" w:rsidRDefault="00000000" w:rsidRPr="00000000" w14:paraId="000001FA">
            <w:pPr>
              <w:spacing w:after="40" w:line="240" w:lineRule="auto"/>
              <w:jc w:val="left"/>
              <w:rPr>
                <w:sz w:val="20"/>
                <w:szCs w:val="20"/>
              </w:rPr>
            </w:pPr>
            <w:r w:rsidDel="00000000" w:rsidR="00000000" w:rsidRPr="00000000">
              <w:rPr>
                <w:sz w:val="20"/>
                <w:szCs w:val="20"/>
                <w:rtl w:val="0"/>
              </w:rPr>
              <w:t xml:space="preserve">n/a</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FB">
            <w:pPr>
              <w:spacing w:after="0" w:line="250" w:lineRule="auto"/>
              <w:jc w:val="left"/>
              <w:rPr>
                <w:sz w:val="20"/>
                <w:szCs w:val="20"/>
              </w:rPr>
            </w:pPr>
            <w:r w:rsidDel="00000000" w:rsidR="00000000" w:rsidRPr="00000000">
              <w:rPr>
                <w:sz w:val="20"/>
                <w:szCs w:val="20"/>
                <w:rtl w:val="0"/>
              </w:rPr>
              <w:t xml:space="preserve">Security policy compliance (secondary)</w:t>
            </w:r>
          </w:p>
        </w:tc>
        <w:tc>
          <w:tcPr>
            <w:tcMar>
              <w:top w:w="70.0" w:type="dxa"/>
              <w:left w:w="110.0" w:type="dxa"/>
              <w:bottom w:w="70.0" w:type="dxa"/>
              <w:right w:w="110.0" w:type="dxa"/>
            </w:tcMar>
          </w:tcPr>
          <w:p w:rsidR="00000000" w:rsidDel="00000000" w:rsidP="00000000" w:rsidRDefault="00000000" w:rsidRPr="00000000" w14:paraId="000001FC">
            <w:pPr>
              <w:spacing w:after="0" w:line="250" w:lineRule="auto"/>
              <w:jc w:val="left"/>
              <w:rPr>
                <w:sz w:val="20"/>
                <w:szCs w:val="20"/>
              </w:rPr>
            </w:pPr>
            <w:r w:rsidDel="00000000" w:rsidR="00000000" w:rsidRPr="00000000">
              <w:rPr>
                <w:sz w:val="20"/>
                <w:szCs w:val="20"/>
                <w:rtl w:val="0"/>
              </w:rPr>
              <w:t xml:space="preserve">Count of failed policy checks</w:t>
            </w:r>
          </w:p>
        </w:tc>
        <w:tc>
          <w:tcPr>
            <w:tcMar>
              <w:top w:w="70.0" w:type="dxa"/>
              <w:left w:w="110.0" w:type="dxa"/>
              <w:bottom w:w="70.0" w:type="dxa"/>
              <w:right w:w="110.0" w:type="dxa"/>
            </w:tcMar>
          </w:tcPr>
          <w:p w:rsidR="00000000" w:rsidDel="00000000" w:rsidP="00000000" w:rsidRDefault="00000000" w:rsidRPr="00000000" w14:paraId="000001FD">
            <w:pPr>
              <w:spacing w:after="0" w:line="250" w:lineRule="auto"/>
              <w:jc w:val="left"/>
              <w:rPr>
                <w:sz w:val="20"/>
                <w:szCs w:val="20"/>
              </w:rPr>
            </w:pPr>
            <w:r w:rsidDel="00000000" w:rsidR="00000000" w:rsidRPr="00000000">
              <w:rPr>
                <w:i w:val="1"/>
                <w:iCs w:val="1"/>
                <w:sz w:val="20"/>
                <w:szCs w:val="20"/>
                <w:rtl w:val="0"/>
              </w:rPr>
              <w:t xml:space="preserve">Checkov</w:t>
            </w:r>
            <w:r w:rsidDel="00000000" w:rsidR="00000000" w:rsidRPr="00000000">
              <w:rPr>
                <w:sz w:val="20"/>
                <w:szCs w:val="20"/>
                <w:rtl w:val="0"/>
              </w:rPr>
              <w:t xml:space="preserve"> and </w:t>
            </w:r>
            <w:r w:rsidDel="00000000" w:rsidR="00000000" w:rsidRPr="00000000">
              <w:rPr>
                <w:i w:val="1"/>
                <w:iCs w:val="1"/>
                <w:sz w:val="20"/>
                <w:szCs w:val="20"/>
                <w:rtl w:val="0"/>
              </w:rPr>
              <w:t xml:space="preserve">tfsec</w:t>
            </w:r>
            <w:r w:rsidDel="00000000" w:rsidR="00000000" w:rsidRPr="00000000">
              <w:rPr>
                <w:sz w:val="20"/>
                <w:szCs w:val="20"/>
                <w:rtl w:val="0"/>
              </w:rPr>
              <w:t xml:space="preserve"> scans in the pipeline</w:t>
            </w:r>
          </w:p>
        </w:tc>
        <w:tc>
          <w:tcPr>
            <w:tcMar>
              <w:top w:w="70.0" w:type="dxa"/>
              <w:left w:w="110.0" w:type="dxa"/>
              <w:bottom w:w="70.0" w:type="dxa"/>
              <w:right w:w="110.0" w:type="dxa"/>
            </w:tcMar>
          </w:tcPr>
          <w:p w:rsidR="00000000" w:rsidDel="00000000" w:rsidP="00000000" w:rsidRDefault="00000000" w:rsidRPr="00000000" w14:paraId="000001FE">
            <w:pPr>
              <w:spacing w:after="0" w:line="250" w:lineRule="auto"/>
              <w:jc w:val="left"/>
              <w:rPr>
                <w:sz w:val="20"/>
                <w:szCs w:val="20"/>
              </w:rPr>
            </w:pPr>
            <w:r w:rsidDel="00000000" w:rsidR="00000000" w:rsidRPr="00000000">
              <w:rPr>
                <w:sz w:val="20"/>
                <w:szCs w:val="20"/>
                <w:rtl w:val="0"/>
              </w:rPr>
              <w:t xml:space="preserve">Verdet et al. (2025)</w:t>
            </w:r>
          </w:p>
        </w:tc>
        <w:tc>
          <w:tcPr>
            <w:tcMar>
              <w:top w:w="80.0" w:type="dxa"/>
              <w:left w:w="110.0" w:type="dxa"/>
              <w:bottom w:w="80.0" w:type="dxa"/>
              <w:right w:w="110.0" w:type="dxa"/>
            </w:tcMar>
            <w:vAlign w:val="center"/>
          </w:tcPr>
          <w:p w:rsidR="00000000" w:rsidDel="00000000" w:rsidP="00000000" w:rsidRDefault="00000000" w:rsidRPr="00000000" w14:paraId="000001FF">
            <w:pPr>
              <w:spacing w:after="40" w:line="240" w:lineRule="auto"/>
              <w:jc w:val="left"/>
              <w:rPr>
                <w:sz w:val="20"/>
                <w:szCs w:val="20"/>
              </w:rPr>
            </w:pPr>
            <w:r w:rsidDel="00000000" w:rsidR="00000000" w:rsidRPr="00000000">
              <w:rPr>
                <w:sz w:val="20"/>
                <w:szCs w:val="20"/>
                <w:rtl w:val="0"/>
              </w:rPr>
              <w:t xml:space="preserve">n/a</w:t>
            </w:r>
          </w:p>
        </w:tc>
      </w:tr>
    </w:tbl>
    <w:p w:rsidR="00000000" w:rsidDel="00000000" w:rsidP="00000000" w:rsidRDefault="00000000" w:rsidRPr="00000000" w14:paraId="00000200">
      <w:pPr>
        <w:spacing w:after="200" w:before="60" w:line="240" w:lineRule="auto"/>
        <w:jc w:val="left"/>
        <w:rPr/>
      </w:pPr>
      <w:r w:rsidDel="00000000" w:rsidR="00000000" w:rsidRPr="00000000">
        <w:rPr>
          <w:i w:val="1"/>
          <w:iCs w:val="1"/>
          <w:sz w:val="20"/>
          <w:szCs w:val="20"/>
          <w:rtl w:val="0"/>
        </w:rPr>
        <w:t xml:space="preserve">Note.</w:t>
      </w:r>
      <w:r w:rsidDel="00000000" w:rsidR="00000000" w:rsidRPr="00000000">
        <w:rPr>
          <w:sz w:val="20"/>
          <w:szCs w:val="20"/>
          <w:rtl w:val="0"/>
        </w:rPr>
        <w:t xml:space="preserve"> All instruments produce machine-generated values. No construct in this study is measured by self-report, so the Likert-scale reliability statistics assumed by the template are not applicable; the corresponding quality criteria are set out in Sections 3.10.1 and 3.10.2.</w:t>
      </w:r>
      <w:r w:rsidDel="00000000" w:rsidR="00000000" w:rsidRPr="00000000">
        <w:rPr>
          <w:rtl w:val="0"/>
        </w:rPr>
      </w:r>
    </w:p>
    <w:p w:rsidR="00000000" w:rsidDel="00000000" w:rsidP="00000000" w:rsidRDefault="00000000" w:rsidRPr="00000000" w14:paraId="00000201">
      <w:pPr>
        <w:pStyle w:val="Heading3"/>
        <w:keepNext w:val="1"/>
        <w:rPr/>
      </w:pPr>
      <w:r w:rsidDel="00000000" w:rsidR="00000000" w:rsidRPr="00000000">
        <w:rPr>
          <w:rtl w:val="0"/>
        </w:rPr>
        <w:t xml:space="preserve">3.7.2 Implementation Log Protocol</w:t>
      </w:r>
    </w:p>
    <w:p w:rsidR="00000000" w:rsidDel="00000000" w:rsidP="00000000" w:rsidRDefault="00000000" w:rsidRPr="00000000" w14:paraId="00000202">
      <w:pPr>
        <w:rPr/>
      </w:pPr>
      <w:r w:rsidDel="00000000" w:rsidR="00000000" w:rsidRPr="00000000">
        <w:rPr>
          <w:rtl w:val="0"/>
        </w:rPr>
        <w:t xml:space="preserve">The qualitative instrument is a structured implementation log. Every entry records the date and time, the component or pipeline stage being worked on, what was attempted, what happened, how it was resolved, how long the resolution took, and whether the problem was anticipated from the literature. The fixed template matters: without it, recording tends to capture dramatic failures and omit the slow accumulation of small frictions, which prior work suggests is where much of the real cost of automation lies. Rostami Mazrae et al. (2023) found that the recurring migration difficulty reported by practitioners was not a single blocking failure but the learning curve of a new configuration syntax combined with the inability to test a workflow locally, which forces a commit-push-wait cycle for every correction. A template that only captured outright failures would miss exactly that pattern.</w:t>
      </w:r>
    </w:p>
    <w:p w:rsidR="00000000" w:rsidDel="00000000" w:rsidP="00000000" w:rsidRDefault="00000000" w:rsidRPr="00000000" w14:paraId="00000203">
      <w:pPr>
        <w:rPr/>
      </w:pPr>
      <w:r w:rsidDel="00000000" w:rsidR="00000000" w:rsidRPr="00000000">
        <w:rPr>
          <w:rtl w:val="0"/>
        </w:rPr>
        <w:t xml:space="preserve">Pull request review comments form the second qualitative data source. These are generated naturally by the pipeline integration itself, since the gated-apply configuration requires each infrastructure change to be opened as a pull request, and they provide a record that the researcher did not author alone.</w:t>
      </w:r>
    </w:p>
    <w:p w:rsidR="00000000" w:rsidDel="00000000" w:rsidP="00000000" w:rsidRDefault="00000000" w:rsidRPr="00000000" w14:paraId="00000204">
      <w:pPr>
        <w:rPr/>
      </w:pPr>
      <w:r w:rsidDel="00000000" w:rsidR="00000000" w:rsidRPr="00000000">
        <w:rPr>
          <w:rtl w:val="0"/>
        </w:rPr>
        <w:t xml:space="preserve">The log template is provided in Appendix B. It will be revised after the first week if fields prove ambiguous or redundant, with any revision documented in the audit trail and the reason recorded.</w:t>
      </w:r>
    </w:p>
    <w:p w:rsidR="00000000" w:rsidDel="00000000" w:rsidP="00000000" w:rsidRDefault="00000000" w:rsidRPr="00000000" w14:paraId="00000205">
      <w:pPr>
        <w:pStyle w:val="Heading3"/>
        <w:keepNext w:val="1"/>
        <w:rPr/>
      </w:pPr>
      <w:r w:rsidDel="00000000" w:rsidR="00000000" w:rsidRPr="00000000">
        <w:rPr>
          <w:rtl w:val="0"/>
        </w:rPr>
        <w:t xml:space="preserve">3.7.3 Environment Control and Instrument Calibration</w:t>
      </w:r>
    </w:p>
    <w:p w:rsidR="00000000" w:rsidDel="00000000" w:rsidP="00000000" w:rsidRDefault="00000000" w:rsidRPr="00000000" w14:paraId="00000206">
      <w:pPr>
        <w:rPr/>
      </w:pPr>
      <w:r w:rsidDel="00000000" w:rsidR="00000000" w:rsidRPr="00000000">
        <w:rPr>
          <w:rtl w:val="0"/>
        </w:rPr>
        <w:t xml:space="preserve">Because the measurements are timings taken against a shared cloud platform, the validity of the comparison depends on holding the measurement environment constant. The template's corresponding section concerns translation and cultural adaptation of a questionnaire; the equivalent requirement here is that the instrument produce comparable values across runs, and the following controls are applied to that end.</w:t>
      </w:r>
    </w:p>
    <w:p w:rsidR="00000000" w:rsidDel="00000000" w:rsidP="00000000" w:rsidRDefault="00000000" w:rsidRPr="00000000" w14:paraId="00000207">
      <w:pPr>
        <w:rPr/>
      </w:pPr>
      <w:r w:rsidDel="00000000" w:rsidR="00000000" w:rsidRPr="00000000">
        <w:rPr>
          <w:rtl w:val="0"/>
        </w:rPr>
        <w:t xml:space="preserve">All runs use the same AWS account, the same region, the same set of credentials and the same permission level. All runs are executed from the same machine over the same wired network connection. No other provisioning activity takes place in the account during a measurement window. Every run begins from a verified empty state, confirmed by an inventory query rather than assumed, so that a residual resource from a previous run cannot shorten the next one. Tool versions, namely the Terraform binary version, provider plugin versions and the GitHub Actions runner image, are recorded for every run and reported in Chapter 4, since a version change mid-study would compromise comparability.</w:t>
      </w:r>
    </w:p>
    <w:p w:rsidR="00000000" w:rsidDel="00000000" w:rsidP="00000000" w:rsidRDefault="00000000" w:rsidRPr="00000000" w14:paraId="00000208">
      <w:pPr>
        <w:rPr/>
      </w:pPr>
      <w:r w:rsidDel="00000000" w:rsidR="00000000" w:rsidRPr="00000000">
        <w:rPr>
          <w:rtl w:val="0"/>
        </w:rPr>
        <w:t xml:space="preserve">Two sources of variability cannot be controlled and are handled by design instead. AWS API responsiveness varies with platform load, and manual provisioning speed varies with researcher familiarity. The first is addressed by interleaving conditions and randomising run order, so that platform variation is distributed across both conditions; the second is addressed by reporting duration against run order so that any learning trend is visible to the reader rather than concealed in a mean.</w:t>
      </w:r>
    </w:p>
    <w:p w:rsidR="00000000" w:rsidDel="00000000" w:rsidP="00000000" w:rsidRDefault="00000000" w:rsidRPr="00000000" w14:paraId="00000209">
      <w:pPr>
        <w:rPr/>
      </w:pPr>
      <w:r w:rsidDel="00000000" w:rsidR="00000000" w:rsidRPr="00000000">
        <w:rPr>
          <w:rtl w:val="0"/>
        </w:rPr>
        <w:t xml:space="preserve">Calibration is verified before the main study by executing the timing script against a single trivial resource whose creation time is known and stable, confirming that the recorded interval matches wall-clock time to within one second.</w:t>
      </w:r>
    </w:p>
    <w:p w:rsidR="00000000" w:rsidDel="00000000" w:rsidP="00000000" w:rsidRDefault="00000000" w:rsidRPr="00000000" w14:paraId="0000020A">
      <w:pPr>
        <w:pStyle w:val="Heading3"/>
        <w:keepNext w:val="1"/>
        <w:rPr/>
      </w:pPr>
      <w:r w:rsidDel="00000000" w:rsidR="00000000" w:rsidRPr="00000000">
        <w:rPr>
          <w:rtl w:val="0"/>
        </w:rPr>
        <w:t xml:space="preserve">3.7.4 Pilot Study</w:t>
      </w:r>
    </w:p>
    <w:p w:rsidR="00000000" w:rsidDel="00000000" w:rsidP="00000000" w:rsidRDefault="00000000" w:rsidRPr="00000000" w14:paraId="0000020B">
      <w:pPr>
        <w:rPr/>
      </w:pPr>
      <w:r w:rsidDel="00000000" w:rsidR="00000000" w:rsidRPr="00000000">
        <w:rPr>
          <w:rtl w:val="0"/>
        </w:rPr>
        <w:t xml:space="preserve">A pilot will be conducted before the main study, covering one module only, namely the Virtual Private Cloud and its subnets. Five pilot runs will be performed and excluded from the analysis. The pilot serves four purposes: to confirm that the timing script records every stage correctly and writes valid output; to confirm that the drift comparison procedure detects a difference that has been deliberately introduced, which tests the instrument's sensitivity rather than merely its operation; to estimate how long a full run will take, so that the measurement schedule in Table 3.5 is realistic; and to test the log template on real entries.</w:t>
      </w:r>
    </w:p>
    <w:p w:rsidR="00000000" w:rsidDel="00000000" w:rsidP="00000000" w:rsidRDefault="00000000" w:rsidRPr="00000000" w14:paraId="0000020C">
      <w:pPr>
        <w:rPr/>
      </w:pPr>
      <w:r w:rsidDel="00000000" w:rsidR="00000000" w:rsidRPr="00000000">
        <w:rPr>
          <w:rtl w:val="0"/>
        </w:rPr>
        <w:t xml:space="preserve">The deliberate-difference test is the most important of the four. An instrument that reports zero drift may be working correctly or may be failing to look in the right place, and the two cannot be distinguished without introducing a known difference and confirming that it is caught. Any instrument problem identified in the pilot will be corrected and the correction reported in Chapter 4.</w:t>
      </w:r>
    </w:p>
    <w:p w:rsidR="00000000" w:rsidDel="00000000" w:rsidP="00000000" w:rsidRDefault="00000000" w:rsidRPr="00000000" w14:paraId="0000020D">
      <w:pPr>
        <w:pStyle w:val="Heading2"/>
        <w:keepNext w:val="1"/>
        <w:rPr/>
      </w:pPr>
      <w:r w:rsidDel="00000000" w:rsidR="00000000" w:rsidRPr="00000000">
        <w:rPr>
          <w:rtl w:val="0"/>
        </w:rPr>
        <w:t xml:space="preserve">3.8 Data Collection Procedure</w:t>
      </w:r>
    </w:p>
    <w:p w:rsidR="00000000" w:rsidDel="00000000" w:rsidP="00000000" w:rsidRDefault="00000000" w:rsidRPr="00000000" w14:paraId="0000020E">
      <w:pPr>
        <w:rPr/>
      </w:pPr>
      <w:r w:rsidDel="00000000" w:rsidR="00000000" w:rsidRPr="00000000">
        <w:rPr>
          <w:rtl w:val="0"/>
        </w:rPr>
        <w:t xml:space="preserve">Data collection will proceed in a documented sequence. Approval is obtained first. Written permission to use the architecture as a case study, and to create an isolated AWS account for the purpose, will be obtained from the management of the case organisation before any technical work begins, and institutional approval will be sought from the University of Puthisastra as described in Section 3.11.</w:t>
      </w:r>
    </w:p>
    <w:p w:rsidR="00000000" w:rsidDel="00000000" w:rsidP="00000000" w:rsidRDefault="00000000" w:rsidRPr="00000000" w14:paraId="0000020F">
      <w:pPr>
        <w:rPr/>
      </w:pPr>
      <w:r w:rsidDel="00000000" w:rsidR="00000000" w:rsidRPr="00000000">
        <w:rPr>
          <w:rtl w:val="0"/>
        </w:rPr>
        <w:t xml:space="preserve">The component inventory is then produced, addressing Objective 1 and RQ1 and establishing the denominator for the version-control coverage measure. Manual provisioning runs are performed at this stage rather than later, because performing them after the Terraform modules are written would mean the researcher had spent weeks studying the architecture in detail beforehand, which would make the manual runs unrepresentatively fast. Conducting them first preserves the baseline.</w:t>
      </w:r>
    </w:p>
    <w:p w:rsidR="00000000" w:rsidDel="00000000" w:rsidP="00000000" w:rsidRDefault="00000000" w:rsidRPr="00000000" w14:paraId="00000210">
      <w:pPr>
        <w:rPr/>
      </w:pPr>
      <w:r w:rsidDel="00000000" w:rsidR="00000000" w:rsidRPr="00000000">
        <w:rPr>
          <w:rtl w:val="0"/>
        </w:rPr>
        <w:t xml:space="preserve">Module development follows, working from the network layer outward, with each module validated in isolation before being composed. Pipeline integration comes next, adding configuration validation, a plan on every pull request and a gated apply on merge alongside the existing build, test and scanning stages, together with the static security scans indicated by Verdet et al. (2025). The implementation log is maintained continuously throughout both of these activities, not written up afterwards.</w:t>
      </w:r>
    </w:p>
    <w:p w:rsidR="00000000" w:rsidDel="00000000" w:rsidP="00000000" w:rsidRDefault="00000000" w:rsidRPr="00000000" w14:paraId="00000211">
      <w:pPr>
        <w:rPr/>
      </w:pPr>
      <w:r w:rsidDel="00000000" w:rsidR="00000000" w:rsidRPr="00000000">
        <w:rPr>
          <w:rtl w:val="0"/>
        </w:rPr>
        <w:t xml:space="preserve">The main measurement campaign then runs the thirty Terraform cycles, interleaved and randomised as described in Section 3.6.1, followed by the drift comparisons across three environments at each of the three integration depths and the ten destroy-and-rebuild cycles per condition. Phase 1 data will be cleaned and analysed before Phase 2 analysis begins, since the selection of log entries for close reading depends on the quantitative results.</w:t>
      </w:r>
    </w:p>
    <w:p w:rsidR="00000000" w:rsidDel="00000000" w:rsidP="00000000" w:rsidRDefault="00000000" w:rsidRPr="00000000" w14:paraId="00000212">
      <w:pPr>
        <w:rPr/>
      </w:pPr>
      <w:r w:rsidDel="00000000" w:rsidR="00000000" w:rsidRPr="00000000">
        <w:rPr>
          <w:rtl w:val="0"/>
        </w:rPr>
        <w:t xml:space="preserve">Cost control operates throughout. Every environment is destroyed immediately after its measurement cycle completes, an account budget alarm is configured before the first run, and the total cloud spend is recorded and reported.</w:t>
      </w:r>
    </w:p>
    <w:p w:rsidR="00000000" w:rsidDel="00000000" w:rsidP="00000000" w:rsidRDefault="00000000" w:rsidRPr="00000000" w14:paraId="00000213">
      <w:pPr>
        <w:pStyle w:val="Heading2"/>
        <w:keepNext w:val="1"/>
        <w:rPr/>
      </w:pPr>
      <w:r w:rsidDel="00000000" w:rsidR="00000000" w:rsidRPr="00000000">
        <w:rPr>
          <w:rtl w:val="0"/>
        </w:rPr>
        <w:t xml:space="preserve">3.9 Data Analysis</w:t>
      </w:r>
    </w:p>
    <w:p w:rsidR="00000000" w:rsidDel="00000000" w:rsidP="00000000" w:rsidRDefault="00000000" w:rsidRPr="00000000" w14:paraId="00000214">
      <w:pPr>
        <w:pStyle w:val="Heading3"/>
        <w:keepNext w:val="1"/>
        <w:rPr/>
      </w:pPr>
      <w:r w:rsidDel="00000000" w:rsidR="00000000" w:rsidRPr="00000000">
        <w:rPr>
          <w:rtl w:val="0"/>
        </w:rPr>
        <w:t xml:space="preserve">3.9.1 Quantitative Analysis</w:t>
      </w:r>
    </w:p>
    <w:p w:rsidR="00000000" w:rsidDel="00000000" w:rsidP="00000000" w:rsidRDefault="00000000" w:rsidRPr="00000000" w14:paraId="00000215">
      <w:pPr>
        <w:rPr/>
      </w:pPr>
      <w:r w:rsidDel="00000000" w:rsidR="00000000" w:rsidRPr="00000000">
        <w:rPr>
          <w:rtl w:val="0"/>
        </w:rPr>
        <w:t xml:space="preserve">Quantitative data will be analysed in Python using the pandas, SciPy and statsmodels libraries, with the analysis scripts retained so that the computation can be repeated from the raw files. Data will be screened before analysis for missing or malformed timing records, for runs meeting the exclusion criteria in Section 3.5, and for outliers, which will be examined individually rather than removed automatically, since an unusually long provisioning run may reflect a genuine platform event worth reporting.</w:t>
      </w:r>
    </w:p>
    <w:p w:rsidR="00000000" w:rsidDel="00000000" w:rsidP="00000000" w:rsidRDefault="00000000" w:rsidRPr="00000000" w14:paraId="00000216">
      <w:pPr>
        <w:rPr/>
      </w:pPr>
      <w:r w:rsidDel="00000000" w:rsidR="00000000" w:rsidRPr="00000000">
        <w:rPr>
          <w:rtl w:val="0"/>
        </w:rPr>
        <w:t xml:space="preserve">Descriptive statistics, namely means, standard deviations, medians and ranges, will characterise each condition and answer RQ1. Distributional shape will be assessed by skewness and kurtosis and by the Shapiro–Wilk test, following Regvart et al. (2026), who reported skewness explicitly and used it to distinguish a consistently performing tool from one with occasional long runs.</w:t>
      </w:r>
    </w:p>
    <w:p w:rsidR="00000000" w:rsidDel="00000000" w:rsidP="00000000" w:rsidRDefault="00000000" w:rsidRPr="00000000" w14:paraId="00000217">
      <w:pPr>
        <w:rPr/>
      </w:pPr>
      <w:r w:rsidDel="00000000" w:rsidR="00000000" w:rsidRPr="00000000">
        <w:rPr>
          <w:rtl w:val="0"/>
        </w:rPr>
        <w:t xml:space="preserve">H1 will be tested by comparing provisioning duration between conditions. Because group sizes are unequal and normality cannot be assumed at n = 10, both Welch's t-test, which does not assume equal variances, and the Mann–Whitney U test, which does not assume normality, will be reported. Reporting both is deliberate: if the two agree, the conclusion is robust to the assumption, and if they disagree, that disagreement is itself informative and will be discussed rather than resolved by selecting the more favourable result. Effect size will be reported as Cohen's d with a confidence interval.</w:t>
      </w:r>
    </w:p>
    <w:p w:rsidR="00000000" w:rsidDel="00000000" w:rsidP="00000000" w:rsidRDefault="00000000" w:rsidRPr="00000000" w14:paraId="00000218">
      <w:pPr>
        <w:rPr/>
      </w:pPr>
      <w:r w:rsidDel="00000000" w:rsidR="00000000" w:rsidRPr="00000000">
        <w:rPr>
          <w:rtl w:val="0"/>
        </w:rPr>
        <w:t xml:space="preserve">H2 will be tested by comparing counts of unintentional differing attributes between conditions. Because these are counts rather than continuous measures, and expected frequencies in some cells may be small, Fisher's exact test will be used in preference to the chi-square test.</w:t>
      </w:r>
    </w:p>
    <w:p w:rsidR="00000000" w:rsidDel="00000000" w:rsidP="00000000" w:rsidRDefault="00000000" w:rsidRPr="00000000" w14:paraId="00000219">
      <w:pPr>
        <w:rPr/>
      </w:pPr>
      <w:r w:rsidDel="00000000" w:rsidR="00000000" w:rsidRPr="00000000">
        <w:rPr>
          <w:rtl w:val="0"/>
        </w:rPr>
        <w:t xml:space="preserve">H3 will be tested by comparing the proportion of successful destroy-and-rebuild cycles between conditions using Fisher's exact test, with both proportions reported with confidence intervals.</w:t>
      </w:r>
    </w:p>
    <w:p w:rsidR="00000000" w:rsidDel="00000000" w:rsidP="00000000" w:rsidRDefault="00000000" w:rsidRPr="00000000" w14:paraId="0000021A">
      <w:pPr>
        <w:rPr/>
      </w:pPr>
      <w:r w:rsidDel="00000000" w:rsidR="00000000" w:rsidRPr="00000000">
        <w:rPr>
          <w:rtl w:val="0"/>
        </w:rPr>
        <w:t xml:space="preserve">H4 will be tested by comparing version-control coverage before and after implementation. This is a census of the component inventory rather than a sample, so the comparison is descriptive and no inferential test is appropriate; the figure will be reported directly, with partially defined components listed separately.</w:t>
      </w:r>
    </w:p>
    <w:p w:rsidR="00000000" w:rsidDel="00000000" w:rsidP="00000000" w:rsidRDefault="00000000" w:rsidRPr="00000000" w14:paraId="0000021B">
      <w:pPr>
        <w:rPr/>
      </w:pPr>
      <w:r w:rsidDel="00000000" w:rsidR="00000000" w:rsidRPr="00000000">
        <w:rPr>
          <w:rtl w:val="0"/>
        </w:rPr>
        <w:t xml:space="preserve">H5 will be tested by comparing drift counts across the three levels of pipeline integration depth using the Kruskal–Wallis test, with pairwise follow-up comparisons if the overall test is significant. A moderation effect is indicated if the reduction in drift attributable to Terraform is larger at greater integration depth. The limits of this test should be acknowledged in advance: with three environments per condition the number of observations is small, so a non-significant result would not establish the absence of moderation, and the finding will be reported with that qualification rather than as a null result.</w:t>
      </w:r>
    </w:p>
    <w:p w:rsidR="00000000" w:rsidDel="00000000" w:rsidP="00000000" w:rsidRDefault="00000000" w:rsidRPr="00000000" w14:paraId="0000021C">
      <w:pPr>
        <w:rPr/>
      </w:pPr>
      <w:r w:rsidDel="00000000" w:rsidR="00000000" w:rsidRPr="00000000">
        <w:rPr>
          <w:rtl w:val="0"/>
        </w:rPr>
        <w:t xml:space="preserve">Statistical significance is set at p &lt; .05 and effect sizes will be reported alongside p values throughout (Cohen, 1988; Field, 2018).</w:t>
      </w:r>
    </w:p>
    <w:p w:rsidR="00000000" w:rsidDel="00000000" w:rsidP="00000000" w:rsidRDefault="00000000" w:rsidRPr="00000000" w14:paraId="0000021D">
      <w:pPr>
        <w:pStyle w:val="Heading3"/>
        <w:keepNext w:val="1"/>
        <w:rPr/>
      </w:pPr>
      <w:r w:rsidDel="00000000" w:rsidR="00000000" w:rsidRPr="00000000">
        <w:rPr>
          <w:rtl w:val="0"/>
        </w:rPr>
        <w:t xml:space="preserve">3.9.2 Qualitative Analysis</w:t>
      </w:r>
    </w:p>
    <w:p w:rsidR="00000000" w:rsidDel="00000000" w:rsidP="00000000" w:rsidRDefault="00000000" w:rsidRPr="00000000" w14:paraId="0000021E">
      <w:pPr>
        <w:rPr/>
      </w:pPr>
      <w:r w:rsidDel="00000000" w:rsidR="00000000" w:rsidRPr="00000000">
        <w:rPr>
          <w:rtl w:val="0"/>
        </w:rPr>
        <w:t xml:space="preserve">The implementation log and pull request comments will be analysed using reflexive thematic analysis following the six phases described by Braun and Clarke (2006, 2021): familiarisation through repeated reading; systematic generation of initial codes across the whole dataset; construction of candidate themes from clustered codes; review of themes against coded extracts and the full dataset; definition and naming of themes; and production of the written account with illustrative extracts. Coding will be conducted manually, and the codebook, coding decisions and reflexive memos will be retained as an audit trail (Nowell et al., 2017; Saldaña, 2021).</w:t>
      </w:r>
    </w:p>
    <w:p w:rsidR="00000000" w:rsidDel="00000000" w:rsidP="00000000" w:rsidRDefault="00000000" w:rsidRPr="00000000" w14:paraId="0000021F">
      <w:pPr>
        <w:rPr/>
      </w:pPr>
      <w:r w:rsidDel="00000000" w:rsidR="00000000" w:rsidRPr="00000000">
        <w:rPr>
          <w:rtl w:val="0"/>
        </w:rPr>
        <w:t xml:space="preserve">Reflexive thematic analysis is chosen over content analysis because the aim is interpretive explanation of what made the implementation difficult, not a frequency count of error types. Counting how often a particular error appeared would say little, since one architectural misunderstanding may generate twenty log entries while a single unresolved permissions problem may consume two days and generate one. Coding will be predominantly inductive, with the framework informing interpretation at the reporting stage rather than dictating the initial codes.</w:t>
      </w:r>
    </w:p>
    <w:p w:rsidR="00000000" w:rsidDel="00000000" w:rsidP="00000000" w:rsidRDefault="00000000" w:rsidRPr="00000000" w14:paraId="00000220">
      <w:pPr>
        <w:rPr/>
      </w:pPr>
      <w:r w:rsidDel="00000000" w:rsidR="00000000" w:rsidRPr="00000000">
        <w:rPr>
          <w:rtl w:val="0"/>
        </w:rPr>
        <w:t xml:space="preserve">The researcher's dual role as implementer and analyst is the principal threat to this strand and is addressed by the measures described in Section 3.6.2 and Table 3.4.</w:t>
      </w:r>
    </w:p>
    <w:p w:rsidR="00000000" w:rsidDel="00000000" w:rsidP="00000000" w:rsidRDefault="00000000" w:rsidRPr="00000000" w14:paraId="00000221">
      <w:pPr>
        <w:pStyle w:val="Heading3"/>
        <w:keepNext w:val="1"/>
        <w:rPr/>
      </w:pPr>
      <w:r w:rsidDel="00000000" w:rsidR="00000000" w:rsidRPr="00000000">
        <w:rPr>
          <w:rtl w:val="0"/>
        </w:rPr>
        <w:t xml:space="preserve">3.9.3 Integration of Quantitative and Qualitative Findings</w:t>
      </w:r>
    </w:p>
    <w:p w:rsidR="00000000" w:rsidDel="00000000" w:rsidP="00000000" w:rsidRDefault="00000000" w:rsidRPr="00000000" w14:paraId="00000222">
      <w:pPr>
        <w:rPr/>
      </w:pPr>
      <w:r w:rsidDel="00000000" w:rsidR="00000000" w:rsidRPr="00000000">
        <w:rPr>
          <w:rtl w:val="0"/>
        </w:rPr>
        <w:t xml:space="preserve">Integration will occur at three points (Fetters et al., 2013). Integration through building occurs when the Phase 1 results determine which log entries receive close reading. Integration through connecting occurs because both datasets are generated by the same implementation, so every measured run has a corresponding record. Integration through merging occurs at the interpretation stage, where a joint display will array each research question and hypothesis against the quantitative result, the corresponding qualitative finding and a meta-inference stating whether the two converge, complement or diverge.</w:t>
      </w:r>
    </w:p>
    <w:p w:rsidR="00000000" w:rsidDel="00000000" w:rsidP="00000000" w:rsidRDefault="00000000" w:rsidRPr="00000000" w14:paraId="00000223">
      <w:pPr>
        <w:rPr/>
      </w:pPr>
      <w:r w:rsidDel="00000000" w:rsidR="00000000" w:rsidRPr="00000000">
        <w:rPr>
          <w:rtl w:val="0"/>
        </w:rPr>
        <w:t xml:space="preserve">Divergence will be reported rather than reconciled. If, for example, the measurements show a large reduction in provisioning duration while the log records that the modules took four weeks to write and repeatedly failed on permissions, the honest conclusion is that the benefit is real but the cost of obtaining it is substantial, and both halves of that statement matter to a team deciding whether to adopt the practice. Each instance of divergence will be examined for possible explanation in the measurement, the procedure or the theoretical specification.</w:t>
      </w:r>
    </w:p>
    <w:p w:rsidR="00000000" w:rsidDel="00000000" w:rsidP="00000000" w:rsidRDefault="00000000" w:rsidRPr="00000000" w14:paraId="00000224">
      <w:pPr>
        <w:pStyle w:val="Heading2"/>
        <w:keepNext w:val="1"/>
        <w:rPr/>
      </w:pPr>
      <w:r w:rsidDel="00000000" w:rsidR="00000000" w:rsidRPr="00000000">
        <w:rPr>
          <w:rtl w:val="0"/>
        </w:rPr>
        <w:t xml:space="preserve">3.10 Validity, Reliability and Trustworthiness</w:t>
      </w:r>
    </w:p>
    <w:p w:rsidR="00000000" w:rsidDel="00000000" w:rsidP="00000000" w:rsidRDefault="00000000" w:rsidRPr="00000000" w14:paraId="00000225">
      <w:pPr>
        <w:pStyle w:val="Heading3"/>
        <w:keepNext w:val="1"/>
        <w:rPr/>
      </w:pPr>
      <w:r w:rsidDel="00000000" w:rsidR="00000000" w:rsidRPr="00000000">
        <w:rPr>
          <w:rtl w:val="0"/>
        </w:rPr>
        <w:t xml:space="preserve">3.10.1 Validity of the Quantitative Strand</w:t>
      </w:r>
    </w:p>
    <w:p w:rsidR="00000000" w:rsidDel="00000000" w:rsidP="00000000" w:rsidRDefault="00000000" w:rsidRPr="00000000" w14:paraId="00000226">
      <w:pPr>
        <w:rPr/>
      </w:pPr>
      <w:r w:rsidDel="00000000" w:rsidR="00000000" w:rsidRPr="00000000">
        <w:rPr>
          <w:rtl w:val="0"/>
        </w:rPr>
        <w:t xml:space="preserve">Construct validity concerns whether the four metrics measure what they claim to. Provisioning duration is a direct measure and raises no interpretive difficulty. Configuration drift is the weakest of the four, because it depends on a judgement about which differences are intentional; this is addressed by fixing the list of intentional differences in writing before measurement begins, so that the classification cannot be adjusted once results are visible. Version-control coverage is a direct count but treats all components as equivalent, whereas a codified security group and a codified monitoring alarm are not equally consequential; this limitation is stated rather than corrected, and the component list will be reported in full so that a reader can weigh it differently.</w:t>
      </w:r>
    </w:p>
    <w:p w:rsidR="00000000" w:rsidDel="00000000" w:rsidP="00000000" w:rsidRDefault="00000000" w:rsidRPr="00000000" w14:paraId="00000227">
      <w:pPr>
        <w:rPr/>
      </w:pPr>
      <w:r w:rsidDel="00000000" w:rsidR="00000000" w:rsidRPr="00000000">
        <w:rPr>
          <w:rtl w:val="0"/>
        </w:rPr>
        <w:t xml:space="preserve">Internal validity is supported by the environmental controls in Section 3.7.3, by randomising run order and by recording tool versions. The principal residual threat is the learning effect in the manual condition, which is mitigated by conducting manual runs before module development and reported by plotting duration against run order.</w:t>
      </w:r>
    </w:p>
    <w:p w:rsidR="00000000" w:rsidDel="00000000" w:rsidP="00000000" w:rsidRDefault="00000000" w:rsidRPr="00000000" w14:paraId="00000228">
      <w:pPr>
        <w:rPr/>
      </w:pPr>
      <w:r w:rsidDel="00000000" w:rsidR="00000000" w:rsidRPr="00000000">
        <w:rPr>
          <w:rtl w:val="0"/>
        </w:rPr>
        <w:t xml:space="preserve">External validity is limited by design. One architecture, one account, one region, one researcher, twelve weeks. The study can establish what happened in this case and cannot establish what happens generally, and reporting the architecture, the procedure and the tool versions in full is what allows a reader to judge how far the finding might travel.</w:t>
      </w:r>
    </w:p>
    <w:p w:rsidR="00000000" w:rsidDel="00000000" w:rsidP="00000000" w:rsidRDefault="00000000" w:rsidRPr="00000000" w14:paraId="00000229">
      <w:pPr>
        <w:rPr/>
      </w:pPr>
      <w:r w:rsidDel="00000000" w:rsidR="00000000" w:rsidRPr="00000000">
        <w:rPr>
          <w:rtl w:val="0"/>
        </w:rPr>
        <w:t xml:space="preserve">Content validity is addressed by review rather than by expert panel rating. The component inventory, the intentional-difference list and the measurement scripts will be reviewed by the supervisor and by one senior engineer in the case organisation before measurement begins, and any disagreement about whether the inventory is complete will be resolved and documented.</w:t>
      </w:r>
    </w:p>
    <w:p w:rsidR="00000000" w:rsidDel="00000000" w:rsidP="00000000" w:rsidRDefault="00000000" w:rsidRPr="00000000" w14:paraId="0000022A">
      <w:pPr>
        <w:pStyle w:val="Heading3"/>
        <w:keepNext w:val="1"/>
        <w:rPr/>
      </w:pPr>
      <w:r w:rsidDel="00000000" w:rsidR="00000000" w:rsidRPr="00000000">
        <w:rPr>
          <w:rtl w:val="0"/>
        </w:rPr>
        <w:t xml:space="preserve">3.10.2 Reliability of the Quantitative Strand</w:t>
      </w:r>
    </w:p>
    <w:p w:rsidR="00000000" w:rsidDel="00000000" w:rsidP="00000000" w:rsidRDefault="00000000" w:rsidRPr="00000000" w14:paraId="0000022B">
      <w:pPr>
        <w:rPr/>
      </w:pPr>
      <w:r w:rsidDel="00000000" w:rsidR="00000000" w:rsidRPr="00000000">
        <w:rPr>
          <w:rtl w:val="0"/>
        </w:rPr>
        <w:t xml:space="preserve">Reliability here means that a repeated measurement produces a comparable value, and it is supported by four features of the design. Measurement is automated, so the recorded value does not depend on the researcher reading a clock. Each condition is repeated, thirty times for Terraform and ten times for manual provisioning, so the variability of the measure is itself reported rather than hidden behind a single figure. The scripts, the Terraform configuration and the analysis code will be published so that the procedure can be inspected and repeated. Raw output files will be retained unmodified, with all cleaning performed in scripts that operate on copies, so that the path from raw data to reported figure is traceable.</w:t>
      </w:r>
    </w:p>
    <w:p w:rsidR="00000000" w:rsidDel="00000000" w:rsidP="00000000" w:rsidRDefault="00000000" w:rsidRPr="00000000" w14:paraId="0000022C">
      <w:pPr>
        <w:rPr/>
      </w:pPr>
      <w:r w:rsidDel="00000000" w:rsidR="00000000" w:rsidRPr="00000000">
        <w:rPr>
          <w:rtl w:val="0"/>
        </w:rPr>
        <w:t xml:space="preserve">The internal consistency statistics assumed by the template, namely Cronbach's alpha and composite reliability, do not apply, because no construct is measured by a multi-item scale. Test–retest reliability is addressed inherently by the repeated-run design.</w:t>
      </w:r>
    </w:p>
    <w:p w:rsidR="00000000" w:rsidDel="00000000" w:rsidP="00000000" w:rsidRDefault="00000000" w:rsidRPr="00000000" w14:paraId="0000022D">
      <w:pPr>
        <w:pStyle w:val="Heading3"/>
        <w:keepNext w:val="1"/>
        <w:rPr/>
      </w:pPr>
      <w:r w:rsidDel="00000000" w:rsidR="00000000" w:rsidRPr="00000000">
        <w:rPr>
          <w:rtl w:val="0"/>
        </w:rPr>
        <w:t xml:space="preserve">3.10.3 Instrumentation and Researcher Bias</w:t>
      </w:r>
    </w:p>
    <w:p w:rsidR="00000000" w:rsidDel="00000000" w:rsidP="00000000" w:rsidRDefault="00000000" w:rsidRPr="00000000" w14:paraId="0000022E">
      <w:pPr>
        <w:rPr/>
      </w:pPr>
      <w:r w:rsidDel="00000000" w:rsidR="00000000" w:rsidRPr="00000000">
        <w:rPr>
          <w:rtl w:val="0"/>
        </w:rPr>
        <w:t xml:space="preserve">Common method bias, as conventionally understood, does not arise: the variables are not self-reported, so there is no shared reporting method to inflate correlations (Podsakoff et al., 2003). Three analogous threats do arise and are addressed.</w:t>
      </w:r>
    </w:p>
    <w:p w:rsidR="00000000" w:rsidDel="00000000" w:rsidP="00000000" w:rsidRDefault="00000000" w:rsidRPr="00000000" w14:paraId="0000022F">
      <w:pPr>
        <w:rPr/>
      </w:pPr>
      <w:r w:rsidDel="00000000" w:rsidR="00000000" w:rsidRPr="00000000">
        <w:rPr>
          <w:rtl w:val="0"/>
        </w:rPr>
        <w:t xml:space="preserve">The first is instrumentation bias. If the timing script measured the two conditions differently, for example by including tool initialisation in one and excluding preparatory console navigation in the other, the comparison would be invalid. Stage boundaries are therefore defined in writing before measurement, and the manual condition's start point is defined as the first console action taken with the intent to create a resource, not the moment the browser opens.</w:t>
      </w:r>
    </w:p>
    <w:p w:rsidR="00000000" w:rsidDel="00000000" w:rsidP="00000000" w:rsidRDefault="00000000" w:rsidRPr="00000000" w14:paraId="00000230">
      <w:pPr>
        <w:rPr/>
      </w:pPr>
      <w:r w:rsidDel="00000000" w:rsidR="00000000" w:rsidRPr="00000000">
        <w:rPr>
          <w:rtl w:val="0"/>
        </w:rPr>
        <w:t xml:space="preserve">The second is expectancy bias. The researcher expects Terraform to win, and performs the manual runs personally. A researcher who expects the manual condition to be slow may unconsciously work less efficiently. This cannot be eliminated in a single-researcher study and is mitigated by conducting the manual runs first, before any module development creates an investment in the automated result, by following a written console procedure for each manual run rather than improvising, and by reporting the manual procedure in full so that a reader can judge whether it was performed competently.</w:t>
      </w:r>
    </w:p>
    <w:p w:rsidR="00000000" w:rsidDel="00000000" w:rsidP="00000000" w:rsidRDefault="00000000" w:rsidRPr="00000000" w14:paraId="00000231">
      <w:pPr>
        <w:rPr/>
      </w:pPr>
      <w:r w:rsidDel="00000000" w:rsidR="00000000" w:rsidRPr="00000000">
        <w:rPr>
          <w:rtl w:val="0"/>
        </w:rPr>
        <w:t xml:space="preserve">The third is selective recording in the qualitative log, addressed by the fixed template described in Section 3.7.2.</w:t>
      </w:r>
    </w:p>
    <w:p w:rsidR="00000000" w:rsidDel="00000000" w:rsidP="00000000" w:rsidRDefault="00000000" w:rsidRPr="00000000" w14:paraId="00000232">
      <w:pPr>
        <w:pStyle w:val="Heading3"/>
        <w:keepNext w:val="1"/>
        <w:rPr/>
      </w:pPr>
      <w:r w:rsidDel="00000000" w:rsidR="00000000" w:rsidRPr="00000000">
        <w:rPr>
          <w:rtl w:val="0"/>
        </w:rPr>
        <w:t xml:space="preserve">3.10.4 Trustworthiness of the Qualitative Strand</w:t>
      </w:r>
    </w:p>
    <w:p w:rsidR="00000000" w:rsidDel="00000000" w:rsidP="00000000" w:rsidRDefault="00000000" w:rsidRPr="00000000" w14:paraId="00000233">
      <w:pPr>
        <w:rPr/>
      </w:pPr>
      <w:r w:rsidDel="00000000" w:rsidR="00000000" w:rsidRPr="00000000">
        <w:rPr>
          <w:rtl w:val="0"/>
        </w:rPr>
        <w:t xml:space="preserve">The qualitative strand is evaluated against credibility, transferability, dependability and confirmability rather than by validity and reliability, which presuppose a realist measurement model (Lincoln &amp; Guba, 1985; Morse, 2015). Table 3.4 states the strategy adopted for each criterion. The self-generated nature of the data makes this strand the weaker of the two, and the strategies below are stated with that in mind rather than presented as a full remedy.</w:t>
      </w:r>
    </w:p>
    <w:p w:rsidR="00000000" w:rsidDel="00000000" w:rsidP="00000000" w:rsidRDefault="00000000" w:rsidRPr="00000000" w14:paraId="00000234">
      <w:pPr>
        <w:keepNext w:val="1"/>
        <w:spacing w:after="100" w:before="200" w:line="240" w:lineRule="auto"/>
        <w:jc w:val="left"/>
        <w:rPr/>
      </w:pPr>
      <w:r w:rsidDel="00000000" w:rsidR="00000000" w:rsidRPr="00000000">
        <w:rPr>
          <w:b w:val="1"/>
          <w:bCs w:val="1"/>
          <w:rtl w:val="0"/>
        </w:rPr>
        <w:t xml:space="preserve">Table 3.4 </w:t>
      </w:r>
      <w:r w:rsidDel="00000000" w:rsidR="00000000" w:rsidRPr="00000000">
        <w:rPr>
          <w:i w:val="1"/>
          <w:iCs w:val="1"/>
          <w:rtl w:val="0"/>
        </w:rPr>
        <w:t xml:space="preserve">Strategies for Establishing Trustworthiness</w:t>
      </w:r>
      <w:r w:rsidDel="00000000" w:rsidR="00000000" w:rsidRPr="00000000">
        <w:rPr>
          <w:rtl w:val="0"/>
        </w:rPr>
      </w:r>
    </w:p>
    <w:tbl>
      <w:tblPr>
        <w:tblStyle w:val="Table8"/>
        <w:tblW w:w="8640.0" w:type="dxa"/>
        <w:jc w:val="left"/>
        <w:tblBorders>
          <w:top w:color="000000" w:space="0" w:sz="6" w:val="single"/>
          <w:left w:color="000000" w:space="0" w:sz="0" w:val="nil"/>
          <w:bottom w:color="000000" w:space="0" w:sz="6" w:val="single"/>
          <w:right w:color="000000" w:space="0" w:sz="0" w:val="nil"/>
          <w:insideH w:color="bfbfbf" w:space="0" w:sz="4" w:val="single"/>
          <w:insideV w:color="000000" w:space="0" w:sz="0" w:val="nil"/>
        </w:tblBorders>
        <w:tblLayout w:type="fixed"/>
        <w:tblLook w:val="0000"/>
      </w:tblPr>
      <w:tblGrid>
        <w:gridCol w:w="1500"/>
        <w:gridCol w:w="2700"/>
        <w:gridCol w:w="4440"/>
        <w:tblGridChange w:id="0">
          <w:tblGrid>
            <w:gridCol w:w="1500"/>
            <w:gridCol w:w="2700"/>
            <w:gridCol w:w="4440"/>
          </w:tblGrid>
        </w:tblGridChange>
      </w:tblGrid>
      <w:tr>
        <w:trPr>
          <w:cantSplit w:val="0"/>
          <w:tblHeader w:val="1"/>
        </w:trPr>
        <w:tc>
          <w:tcPr>
            <w:shd w:fill="edeff3" w:val="clear"/>
            <w:tcMar>
              <w:top w:w="80.0" w:type="dxa"/>
              <w:left w:w="110.0" w:type="dxa"/>
              <w:bottom w:w="80.0" w:type="dxa"/>
              <w:right w:w="110.0" w:type="dxa"/>
            </w:tcMar>
            <w:vAlign w:val="center"/>
          </w:tcPr>
          <w:p w:rsidR="00000000" w:rsidDel="00000000" w:rsidP="00000000" w:rsidRDefault="00000000" w:rsidRPr="00000000" w14:paraId="00000235">
            <w:pPr>
              <w:spacing w:after="40" w:line="240" w:lineRule="auto"/>
              <w:jc w:val="left"/>
              <w:rPr/>
            </w:pPr>
            <w:r w:rsidDel="00000000" w:rsidR="00000000" w:rsidRPr="00000000">
              <w:rPr>
                <w:b w:val="1"/>
                <w:bCs w:val="1"/>
                <w:sz w:val="20"/>
                <w:szCs w:val="20"/>
                <w:rtl w:val="0"/>
              </w:rPr>
              <w:t xml:space="preserve">Criterion</w:t>
            </w:r>
            <w:r w:rsidDel="00000000" w:rsidR="00000000" w:rsidRPr="00000000">
              <w:rPr>
                <w:rtl w:val="0"/>
              </w:rPr>
            </w:r>
          </w:p>
        </w:tc>
        <w:tc>
          <w:tcPr>
            <w:shd w:fill="edeff3" w:val="clear"/>
            <w:tcMar>
              <w:top w:w="80.0" w:type="dxa"/>
              <w:left w:w="110.0" w:type="dxa"/>
              <w:bottom w:w="80.0" w:type="dxa"/>
              <w:right w:w="110.0" w:type="dxa"/>
            </w:tcMar>
            <w:vAlign w:val="center"/>
          </w:tcPr>
          <w:p w:rsidR="00000000" w:rsidDel="00000000" w:rsidP="00000000" w:rsidRDefault="00000000" w:rsidRPr="00000000" w14:paraId="00000236">
            <w:pPr>
              <w:spacing w:after="40" w:line="240" w:lineRule="auto"/>
              <w:jc w:val="left"/>
              <w:rPr/>
            </w:pPr>
            <w:r w:rsidDel="00000000" w:rsidR="00000000" w:rsidRPr="00000000">
              <w:rPr>
                <w:b w:val="1"/>
                <w:bCs w:val="1"/>
                <w:sz w:val="20"/>
                <w:szCs w:val="20"/>
                <w:rtl w:val="0"/>
              </w:rPr>
              <w:t xml:space="preserve">Definition</w:t>
            </w:r>
            <w:r w:rsidDel="00000000" w:rsidR="00000000" w:rsidRPr="00000000">
              <w:rPr>
                <w:rtl w:val="0"/>
              </w:rPr>
            </w:r>
          </w:p>
        </w:tc>
        <w:tc>
          <w:tcPr>
            <w:shd w:fill="edeff3" w:val="clear"/>
            <w:tcMar>
              <w:top w:w="80.0" w:type="dxa"/>
              <w:left w:w="110.0" w:type="dxa"/>
              <w:bottom w:w="80.0" w:type="dxa"/>
              <w:right w:w="110.0" w:type="dxa"/>
            </w:tcMar>
            <w:vAlign w:val="center"/>
          </w:tcPr>
          <w:p w:rsidR="00000000" w:rsidDel="00000000" w:rsidP="00000000" w:rsidRDefault="00000000" w:rsidRPr="00000000" w14:paraId="00000237">
            <w:pPr>
              <w:spacing w:after="40" w:line="240" w:lineRule="auto"/>
              <w:jc w:val="left"/>
              <w:rPr/>
            </w:pPr>
            <w:r w:rsidDel="00000000" w:rsidR="00000000" w:rsidRPr="00000000">
              <w:rPr>
                <w:b w:val="1"/>
                <w:bCs w:val="1"/>
                <w:sz w:val="20"/>
                <w:szCs w:val="20"/>
                <w:rtl w:val="0"/>
              </w:rPr>
              <w:t xml:space="preserve">Strategy Applied in This Study</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38">
            <w:pPr>
              <w:spacing w:after="0" w:line="250" w:lineRule="auto"/>
              <w:jc w:val="left"/>
              <w:rPr>
                <w:sz w:val="20"/>
                <w:szCs w:val="20"/>
              </w:rPr>
            </w:pPr>
            <w:r w:rsidDel="00000000" w:rsidR="00000000" w:rsidRPr="00000000">
              <w:rPr>
                <w:sz w:val="20"/>
                <w:szCs w:val="20"/>
                <w:rtl w:val="0"/>
              </w:rPr>
              <w:t xml:space="preserve">Credibility</w:t>
            </w:r>
          </w:p>
        </w:tc>
        <w:tc>
          <w:tcPr>
            <w:tcMar>
              <w:top w:w="70.0" w:type="dxa"/>
              <w:left w:w="110.0" w:type="dxa"/>
              <w:bottom w:w="70.0" w:type="dxa"/>
              <w:right w:w="110.0" w:type="dxa"/>
            </w:tcMar>
          </w:tcPr>
          <w:p w:rsidR="00000000" w:rsidDel="00000000" w:rsidP="00000000" w:rsidRDefault="00000000" w:rsidRPr="00000000" w14:paraId="00000239">
            <w:pPr>
              <w:spacing w:after="0" w:line="250" w:lineRule="auto"/>
              <w:jc w:val="left"/>
              <w:rPr>
                <w:sz w:val="20"/>
                <w:szCs w:val="20"/>
              </w:rPr>
            </w:pPr>
            <w:r w:rsidDel="00000000" w:rsidR="00000000" w:rsidRPr="00000000">
              <w:rPr>
                <w:sz w:val="20"/>
                <w:szCs w:val="20"/>
                <w:rtl w:val="0"/>
              </w:rPr>
              <w:t xml:space="preserve">Confidence in the truth of the findings</w:t>
            </w:r>
          </w:p>
        </w:tc>
        <w:tc>
          <w:tcPr>
            <w:tcMar>
              <w:top w:w="70.0" w:type="dxa"/>
              <w:left w:w="110.0" w:type="dxa"/>
              <w:bottom w:w="70.0" w:type="dxa"/>
              <w:right w:w="110.0" w:type="dxa"/>
            </w:tcMar>
          </w:tcPr>
          <w:p w:rsidR="00000000" w:rsidDel="00000000" w:rsidP="00000000" w:rsidRDefault="00000000" w:rsidRPr="00000000" w14:paraId="0000023A">
            <w:pPr>
              <w:spacing w:after="0" w:line="250" w:lineRule="auto"/>
              <w:jc w:val="left"/>
              <w:rPr>
                <w:sz w:val="20"/>
                <w:szCs w:val="20"/>
              </w:rPr>
            </w:pPr>
            <w:r w:rsidDel="00000000" w:rsidR="00000000" w:rsidRPr="00000000">
              <w:rPr>
                <w:sz w:val="20"/>
                <w:szCs w:val="20"/>
                <w:rtl w:val="0"/>
              </w:rPr>
              <w:t xml:space="preserve">Entries written at the time of the event using a fixed template, not reconstructed; triangulation against the quantitative timings and against pull request comments authored by others; peer debriefing with the supervisor at the end of each phase</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3B">
            <w:pPr>
              <w:spacing w:after="0" w:line="250" w:lineRule="auto"/>
              <w:jc w:val="left"/>
              <w:rPr>
                <w:sz w:val="20"/>
                <w:szCs w:val="20"/>
              </w:rPr>
            </w:pPr>
            <w:r w:rsidDel="00000000" w:rsidR="00000000" w:rsidRPr="00000000">
              <w:rPr>
                <w:sz w:val="20"/>
                <w:szCs w:val="20"/>
                <w:rtl w:val="0"/>
              </w:rPr>
              <w:t xml:space="preserve">Transferability</w:t>
            </w:r>
          </w:p>
        </w:tc>
        <w:tc>
          <w:tcPr>
            <w:tcMar>
              <w:top w:w="70.0" w:type="dxa"/>
              <w:left w:w="110.0" w:type="dxa"/>
              <w:bottom w:w="70.0" w:type="dxa"/>
              <w:right w:w="110.0" w:type="dxa"/>
            </w:tcMar>
          </w:tcPr>
          <w:p w:rsidR="00000000" w:rsidDel="00000000" w:rsidP="00000000" w:rsidRDefault="00000000" w:rsidRPr="00000000" w14:paraId="0000023C">
            <w:pPr>
              <w:spacing w:after="0" w:line="250" w:lineRule="auto"/>
              <w:jc w:val="left"/>
              <w:rPr>
                <w:sz w:val="20"/>
                <w:szCs w:val="20"/>
              </w:rPr>
            </w:pPr>
            <w:r w:rsidDel="00000000" w:rsidR="00000000" w:rsidRPr="00000000">
              <w:rPr>
                <w:sz w:val="20"/>
                <w:szCs w:val="20"/>
                <w:rtl w:val="0"/>
              </w:rPr>
              <w:t xml:space="preserve">Applicability to other contexts</w:t>
            </w:r>
          </w:p>
        </w:tc>
        <w:tc>
          <w:tcPr>
            <w:tcMar>
              <w:top w:w="70.0" w:type="dxa"/>
              <w:left w:w="110.0" w:type="dxa"/>
              <w:bottom w:w="70.0" w:type="dxa"/>
              <w:right w:w="110.0" w:type="dxa"/>
            </w:tcMar>
          </w:tcPr>
          <w:p w:rsidR="00000000" w:rsidDel="00000000" w:rsidP="00000000" w:rsidRDefault="00000000" w:rsidRPr="00000000" w14:paraId="0000023D">
            <w:pPr>
              <w:spacing w:after="0" w:line="250" w:lineRule="auto"/>
              <w:jc w:val="left"/>
              <w:rPr>
                <w:sz w:val="20"/>
                <w:szCs w:val="20"/>
              </w:rPr>
            </w:pPr>
            <w:r w:rsidDel="00000000" w:rsidR="00000000" w:rsidRPr="00000000">
              <w:rPr>
                <w:sz w:val="20"/>
                <w:szCs w:val="20"/>
                <w:rtl w:val="0"/>
              </w:rPr>
              <w:t xml:space="preserve">Full description of the architecture, tool versions, team context and procedure; complete component inventory reported; measurement scripts published</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3E">
            <w:pPr>
              <w:spacing w:after="0" w:line="250" w:lineRule="auto"/>
              <w:jc w:val="left"/>
              <w:rPr>
                <w:sz w:val="20"/>
                <w:szCs w:val="20"/>
              </w:rPr>
            </w:pPr>
            <w:r w:rsidDel="00000000" w:rsidR="00000000" w:rsidRPr="00000000">
              <w:rPr>
                <w:sz w:val="20"/>
                <w:szCs w:val="20"/>
                <w:rtl w:val="0"/>
              </w:rPr>
              <w:t xml:space="preserve">Dependability</w:t>
            </w:r>
          </w:p>
        </w:tc>
        <w:tc>
          <w:tcPr>
            <w:tcMar>
              <w:top w:w="70.0" w:type="dxa"/>
              <w:left w:w="110.0" w:type="dxa"/>
              <w:bottom w:w="70.0" w:type="dxa"/>
              <w:right w:w="110.0" w:type="dxa"/>
            </w:tcMar>
          </w:tcPr>
          <w:p w:rsidR="00000000" w:rsidDel="00000000" w:rsidP="00000000" w:rsidRDefault="00000000" w:rsidRPr="00000000" w14:paraId="0000023F">
            <w:pPr>
              <w:spacing w:after="0" w:line="250" w:lineRule="auto"/>
              <w:jc w:val="left"/>
              <w:rPr>
                <w:sz w:val="20"/>
                <w:szCs w:val="20"/>
              </w:rPr>
            </w:pPr>
            <w:r w:rsidDel="00000000" w:rsidR="00000000" w:rsidRPr="00000000">
              <w:rPr>
                <w:sz w:val="20"/>
                <w:szCs w:val="20"/>
                <w:rtl w:val="0"/>
              </w:rPr>
              <w:t xml:space="preserve">Consistency and repeatability of the process</w:t>
            </w:r>
          </w:p>
        </w:tc>
        <w:tc>
          <w:tcPr>
            <w:tcMar>
              <w:top w:w="70.0" w:type="dxa"/>
              <w:left w:w="110.0" w:type="dxa"/>
              <w:bottom w:w="70.0" w:type="dxa"/>
              <w:right w:w="110.0" w:type="dxa"/>
            </w:tcMar>
          </w:tcPr>
          <w:p w:rsidR="00000000" w:rsidDel="00000000" w:rsidP="00000000" w:rsidRDefault="00000000" w:rsidRPr="00000000" w14:paraId="00000240">
            <w:pPr>
              <w:spacing w:after="0" w:line="250" w:lineRule="auto"/>
              <w:jc w:val="left"/>
              <w:rPr>
                <w:sz w:val="20"/>
                <w:szCs w:val="20"/>
              </w:rPr>
            </w:pPr>
            <w:r w:rsidDel="00000000" w:rsidR="00000000" w:rsidRPr="00000000">
              <w:rPr>
                <w:sz w:val="20"/>
                <w:szCs w:val="20"/>
                <w:rtl w:val="0"/>
              </w:rPr>
              <w:t xml:space="preserve">Audit trail of coding decisions; documented codebook; log retained in full and supplied to the supervisor; template revisions recorded with reasons</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41">
            <w:pPr>
              <w:spacing w:after="0" w:line="250" w:lineRule="auto"/>
              <w:jc w:val="left"/>
              <w:rPr>
                <w:sz w:val="20"/>
                <w:szCs w:val="20"/>
              </w:rPr>
            </w:pPr>
            <w:r w:rsidDel="00000000" w:rsidR="00000000" w:rsidRPr="00000000">
              <w:rPr>
                <w:sz w:val="20"/>
                <w:szCs w:val="20"/>
                <w:rtl w:val="0"/>
              </w:rPr>
              <w:t xml:space="preserve">Confirmability</w:t>
            </w:r>
          </w:p>
        </w:tc>
        <w:tc>
          <w:tcPr>
            <w:tcMar>
              <w:top w:w="70.0" w:type="dxa"/>
              <w:left w:w="110.0" w:type="dxa"/>
              <w:bottom w:w="70.0" w:type="dxa"/>
              <w:right w:w="110.0" w:type="dxa"/>
            </w:tcMar>
          </w:tcPr>
          <w:p w:rsidR="00000000" w:rsidDel="00000000" w:rsidP="00000000" w:rsidRDefault="00000000" w:rsidRPr="00000000" w14:paraId="00000242">
            <w:pPr>
              <w:spacing w:after="0" w:line="250" w:lineRule="auto"/>
              <w:jc w:val="left"/>
              <w:rPr>
                <w:sz w:val="20"/>
                <w:szCs w:val="20"/>
              </w:rPr>
            </w:pPr>
            <w:r w:rsidDel="00000000" w:rsidR="00000000" w:rsidRPr="00000000">
              <w:rPr>
                <w:sz w:val="20"/>
                <w:szCs w:val="20"/>
                <w:rtl w:val="0"/>
              </w:rPr>
              <w:t xml:space="preserve">Findings shaped by the data rather than researcher preference</w:t>
            </w:r>
          </w:p>
        </w:tc>
        <w:tc>
          <w:tcPr>
            <w:tcMar>
              <w:top w:w="70.0" w:type="dxa"/>
              <w:left w:w="110.0" w:type="dxa"/>
              <w:bottom w:w="70.0" w:type="dxa"/>
              <w:right w:w="110.0" w:type="dxa"/>
            </w:tcMar>
          </w:tcPr>
          <w:p w:rsidR="00000000" w:rsidDel="00000000" w:rsidP="00000000" w:rsidRDefault="00000000" w:rsidRPr="00000000" w14:paraId="00000243">
            <w:pPr>
              <w:spacing w:after="0" w:line="250" w:lineRule="auto"/>
              <w:jc w:val="left"/>
              <w:rPr>
                <w:sz w:val="20"/>
                <w:szCs w:val="20"/>
              </w:rPr>
            </w:pPr>
            <w:r w:rsidDel="00000000" w:rsidR="00000000" w:rsidRPr="00000000">
              <w:rPr>
                <w:sz w:val="20"/>
                <w:szCs w:val="20"/>
                <w:rtl w:val="0"/>
              </w:rPr>
              <w:t xml:space="preserve">Reflexive journal maintained throughout, recording the researcher's expectation that Terraform would perform better and how that expectation was checked; verbatim extracts supporting every theme; independent supervisor review of the coding frame</w:t>
            </w:r>
          </w:p>
        </w:tc>
      </w:tr>
    </w:tbl>
    <w:p w:rsidR="00000000" w:rsidDel="00000000" w:rsidP="00000000" w:rsidRDefault="00000000" w:rsidRPr="00000000" w14:paraId="00000244">
      <w:pPr>
        <w:pStyle w:val="Heading2"/>
        <w:keepNext w:val="1"/>
        <w:rPr/>
      </w:pPr>
      <w:r w:rsidDel="00000000" w:rsidR="00000000" w:rsidRPr="00000000">
        <w:rPr>
          <w:rtl w:val="0"/>
        </w:rPr>
        <w:t xml:space="preserve">3.11 Ethical Considerations</w:t>
      </w:r>
    </w:p>
    <w:p w:rsidR="00000000" w:rsidDel="00000000" w:rsidP="00000000" w:rsidRDefault="00000000" w:rsidRPr="00000000" w14:paraId="00000245">
      <w:pPr>
        <w:rPr/>
      </w:pPr>
      <w:r w:rsidDel="00000000" w:rsidR="00000000" w:rsidRPr="00000000">
        <w:rPr>
          <w:rtl w:val="0"/>
        </w:rPr>
        <w:t xml:space="preserve">This study involves no human participants. No survey is administered, no person is interviewed, and no personal data are collected, so the informed consent and confidentiality procedures that dominate the template's corresponding section do not apply in their usual form. The study will nonetheless be submitted to the relevant University of Puthisastra committee for confirmation that no ethical approval is required, and that confirmation will be recorded in Appendix D rather than assumed, since a researcher is not the right person to rule on the ethical status of his own project.</w:t>
      </w:r>
    </w:p>
    <w:p w:rsidR="00000000" w:rsidDel="00000000" w:rsidP="00000000" w:rsidRDefault="00000000" w:rsidRPr="00000000" w14:paraId="00000246">
      <w:pPr>
        <w:rPr/>
      </w:pPr>
      <w:r w:rsidDel="00000000" w:rsidR="00000000" w:rsidRPr="00000000">
        <w:rPr>
          <w:rtl w:val="0"/>
        </w:rPr>
        <w:t xml:space="preserve">Four ethical matters do arise and are addressed directly.</w:t>
      </w:r>
    </w:p>
    <w:p w:rsidR="00000000" w:rsidDel="00000000" w:rsidP="00000000" w:rsidRDefault="00000000" w:rsidRPr="00000000" w14:paraId="00000247">
      <w:pPr>
        <w:rPr/>
      </w:pPr>
      <w:r w:rsidDel="00000000" w:rsidR="00000000" w:rsidRPr="00000000">
        <w:rPr>
          <w:rtl w:val="0"/>
        </w:rPr>
        <w:t xml:space="preserve">The first is organisational consent and confidentiality. The architecture studied belongs to the case organisation, and written permission from its management will be obtained before any work begins. The organisation is not named in this dissertation, and the reported architecture description is limited to service types and topology. No account identifier, resource name, internal hostname, IP range, security group rule or Identity and Access Management policy document will be published, because such detail could assist an attacker. Where a concrete example is needed for the reader to follow the argument, values will be substituted with placeholders.</w:t>
      </w:r>
    </w:p>
    <w:p w:rsidR="00000000" w:rsidDel="00000000" w:rsidP="00000000" w:rsidRDefault="00000000" w:rsidRPr="00000000" w14:paraId="00000248">
      <w:pPr>
        <w:rPr/>
      </w:pPr>
      <w:r w:rsidDel="00000000" w:rsidR="00000000" w:rsidRPr="00000000">
        <w:rPr>
          <w:rtl w:val="0"/>
        </w:rPr>
        <w:t xml:space="preserve">The second is data protection. No production environment is touched at any point and no customer data is accessed. All work is performed in an isolated AWS account created for the study, holding no real data. The test workload is a container image with no data dependency.</w:t>
      </w:r>
    </w:p>
    <w:p w:rsidR="00000000" w:rsidDel="00000000" w:rsidP="00000000" w:rsidRDefault="00000000" w:rsidRPr="00000000" w14:paraId="00000249">
      <w:pPr>
        <w:rPr/>
      </w:pPr>
      <w:r w:rsidDel="00000000" w:rsidR="00000000" w:rsidRPr="00000000">
        <w:rPr>
          <w:rtl w:val="0"/>
        </w:rPr>
        <w:t xml:space="preserve">The third is credential handling. Credentials will not be stored in the repository. Authentication between GitHub Actions and AWS will use short-lived tokens issued through OpenID Connect rather than long-lived access keys, and secrets will be injected at run time. This is both an ethical safeguard and a design decision supported by the literature: Guerriero et al. (2019) found hardcoded credentials to be the most frequently cited bad practice in IaC, and Verdet et al. (2025) demonstrated that credential and encryption failures are common in real Terraform code. A study that measured IaC quality while committing secrets to its own repository would be self-refuting.</w:t>
      </w:r>
    </w:p>
    <w:p w:rsidR="00000000" w:rsidDel="00000000" w:rsidP="00000000" w:rsidRDefault="00000000" w:rsidRPr="00000000" w14:paraId="0000024A">
      <w:pPr>
        <w:rPr/>
      </w:pPr>
      <w:r w:rsidDel="00000000" w:rsidR="00000000" w:rsidRPr="00000000">
        <w:rPr>
          <w:rtl w:val="0"/>
        </w:rPr>
        <w:t xml:space="preserve">The fourth is cost and resource responsibility. Cloud resources cost money and consume energy. Every environment will be destroyed immediately after its measurement cycle, a budget alarm will be configured before the first run, and total spend will be reported in Chapter 4. The number of runs is set at the minimum that the sample size justification in Section 3.6.1 supports, rather than at the maximum the schedule would allow.</w:t>
      </w:r>
    </w:p>
    <w:p w:rsidR="00000000" w:rsidDel="00000000" w:rsidP="00000000" w:rsidRDefault="00000000" w:rsidRPr="00000000" w14:paraId="0000024B">
      <w:pPr>
        <w:rPr/>
      </w:pPr>
      <w:r w:rsidDel="00000000" w:rsidR="00000000" w:rsidRPr="00000000">
        <w:rPr>
          <w:rtl w:val="0"/>
        </w:rPr>
        <w:t xml:space="preserve">Findings will be shared with the case organisation in summary form so that the research returns value to the organisation that made it possible.</w:t>
      </w:r>
    </w:p>
    <w:p w:rsidR="00000000" w:rsidDel="00000000" w:rsidP="00000000" w:rsidRDefault="00000000" w:rsidRPr="00000000" w14:paraId="0000024C">
      <w:pPr>
        <w:pStyle w:val="Heading2"/>
        <w:keepNext w:val="1"/>
        <w:rPr/>
      </w:pPr>
      <w:r w:rsidDel="00000000" w:rsidR="00000000" w:rsidRPr="00000000">
        <w:rPr>
          <w:rtl w:val="0"/>
        </w:rPr>
        <w:t xml:space="preserve">3.12 Methodological Limitations</w:t>
      </w:r>
    </w:p>
    <w:p w:rsidR="00000000" w:rsidDel="00000000" w:rsidP="00000000" w:rsidRDefault="00000000" w:rsidRPr="00000000" w14:paraId="0000024D">
      <w:pPr>
        <w:rPr/>
      </w:pPr>
      <w:r w:rsidDel="00000000" w:rsidR="00000000" w:rsidRPr="00000000">
        <w:rPr>
          <w:rtl w:val="0"/>
        </w:rPr>
        <w:t xml:space="preserve">Five limitations follow from the design and should be borne in mind when the findings are read.</w:t>
      </w:r>
    </w:p>
    <w:p w:rsidR="00000000" w:rsidDel="00000000" w:rsidP="00000000" w:rsidRDefault="00000000" w:rsidRPr="00000000" w14:paraId="0000024E">
      <w:pPr>
        <w:rPr/>
      </w:pPr>
      <w:r w:rsidDel="00000000" w:rsidR="00000000" w:rsidRPr="00000000">
        <w:rPr>
          <w:rtl w:val="0"/>
        </w:rPr>
        <w:t xml:space="preserve">First, this is a single case. One architecture, one AWS account, one region, one organisation, one researcher. The study establishes what happened here and cannot establish that the same would happen elsewhere. Generalisation, if any, is analytical rather than statistical.</w:t>
      </w:r>
    </w:p>
    <w:p w:rsidR="00000000" w:rsidDel="00000000" w:rsidP="00000000" w:rsidRDefault="00000000" w:rsidRPr="00000000" w14:paraId="0000024F">
      <w:pPr>
        <w:rPr/>
      </w:pPr>
      <w:r w:rsidDel="00000000" w:rsidR="00000000" w:rsidRPr="00000000">
        <w:rPr>
          <w:rtl w:val="0"/>
        </w:rPr>
        <w:t xml:space="preserve">Second, the manual condition has ten runs against the Terraform condition's thirty, and the manual runs are subject to a learning effect that cannot be removed. The mitigations described in Sections 3.6.1 and 3.10.3 limit and expose this effect but do not eliminate it, and the manual mean should be read as an estimate with wider uncertainty than the automated one.</w:t>
      </w:r>
    </w:p>
    <w:p w:rsidR="00000000" w:rsidDel="00000000" w:rsidP="00000000" w:rsidRDefault="00000000" w:rsidRPr="00000000" w14:paraId="00000250">
      <w:pPr>
        <w:rPr/>
      </w:pPr>
      <w:r w:rsidDel="00000000" w:rsidR="00000000" w:rsidRPr="00000000">
        <w:rPr>
          <w:rtl w:val="0"/>
        </w:rPr>
        <w:t xml:space="preserve">Third, the researcher is not independent of the object of study. He implements the Terraform, performs the manual runs, keeps the log, and interprets the result, while holding a prior expectation about which condition will perform better. The procedural safeguards in Section 3.10.3 are the honest best available in a single-researcher dissertation, and readers should weigh the qualitative findings in that light.</w:t>
      </w:r>
    </w:p>
    <w:p w:rsidR="00000000" w:rsidDel="00000000" w:rsidP="00000000" w:rsidRDefault="00000000" w:rsidRPr="00000000" w14:paraId="00000251">
      <w:pPr>
        <w:rPr/>
      </w:pPr>
      <w:r w:rsidDel="00000000" w:rsidR="00000000" w:rsidRPr="00000000">
        <w:rPr>
          <w:rtl w:val="0"/>
        </w:rPr>
        <w:t xml:space="preserve">Fourth, the study measures four outcomes and not others that matter. Monthly cloud cost, incident frequency, onboarding time for new engineers and the long-term maintenance burden of the modules all fall outside the twelve-week window. The last of these is a particular limitation given the finding of Begoug et al. (2025) that module maintenance problems accumulate over months: a twelve-week study is structurally incapable of observing the cost it flags as most likely to appear later.</w:t>
      </w:r>
    </w:p>
    <w:p w:rsidR="00000000" w:rsidDel="00000000" w:rsidP="00000000" w:rsidRDefault="00000000" w:rsidRPr="00000000" w14:paraId="00000252">
      <w:pPr>
        <w:rPr/>
      </w:pPr>
      <w:r w:rsidDel="00000000" w:rsidR="00000000" w:rsidRPr="00000000">
        <w:rPr>
          <w:rtl w:val="0"/>
        </w:rPr>
        <w:t xml:space="preserve">Fifth, the tooling moves. Terraform, its AWS provider and GitHub Actions all release frequently, so results are specific to the versions recorded in Chapter 4 and may not hold for later ones.</w:t>
      </w:r>
    </w:p>
    <w:p w:rsidR="00000000" w:rsidDel="00000000" w:rsidP="00000000" w:rsidRDefault="00000000" w:rsidRPr="00000000" w14:paraId="00000253">
      <w:pPr>
        <w:rPr/>
      </w:pPr>
      <w:r w:rsidDel="00000000" w:rsidR="00000000" w:rsidRPr="00000000">
        <w:rPr>
          <w:rtl w:val="0"/>
        </w:rPr>
        <w:t xml:space="preserve">These limitations are consequences of deliberate trade-offs made to keep the study achievable within the constraints of a bachelor's dissertation. Each will be revisited in Chapter 5, with recommendations for designs that could address them, including multi-organisation replication and a longitudinal follow-up on module maintenance.</w:t>
      </w:r>
    </w:p>
    <w:p w:rsidR="00000000" w:rsidDel="00000000" w:rsidP="00000000" w:rsidRDefault="00000000" w:rsidRPr="00000000" w14:paraId="00000254">
      <w:pPr>
        <w:pStyle w:val="Heading2"/>
        <w:keepNext w:val="1"/>
        <w:rPr/>
      </w:pPr>
      <w:r w:rsidDel="00000000" w:rsidR="00000000" w:rsidRPr="00000000">
        <w:rPr>
          <w:rtl w:val="0"/>
        </w:rPr>
        <w:t xml:space="preserve">3.13 Chapter Summary</w:t>
      </w:r>
    </w:p>
    <w:p w:rsidR="00000000" w:rsidDel="00000000" w:rsidP="00000000" w:rsidRDefault="00000000" w:rsidRPr="00000000" w14:paraId="00000255">
      <w:pPr>
        <w:rPr/>
      </w:pPr>
      <w:r w:rsidDel="00000000" w:rsidR="00000000" w:rsidRPr="00000000">
        <w:rPr>
          <w:rtl w:val="0"/>
        </w:rPr>
        <w:t xml:space="preserve">This chapter has set out the methodology of the study. A pragmatist philosophy justifies an abductive approach and an explanatory sequential mixed methods design in which a controlled repeated-deployment experiment, comprising thirty Terraform runs and ten manual runs in an isolated AWS account, is followed by reflexive thematic analysis of a structured implementation log.</w:t>
      </w:r>
    </w:p>
    <w:p w:rsidR="00000000" w:rsidDel="00000000" w:rsidP="00000000" w:rsidRDefault="00000000" w:rsidRPr="00000000" w14:paraId="00000256">
      <w:pPr>
        <w:rPr/>
      </w:pPr>
      <w:r w:rsidDel="00000000" w:rsidR="00000000" w:rsidRPr="00000000">
        <w:rPr>
          <w:rtl w:val="0"/>
        </w:rPr>
        <w:t xml:space="preserve">Four instruments measure provisioning duration, configuration drift, reproducibility and version-control coverage, all producing machine-generated values rather than self-report, with the consequence that the Likert-scale reliability statistics assumed by the template do not apply and are replaced by the criteria in Sections 3.10.1 to 3.10.3. Measurement conditions are controlled by holding account, region, credentials, machine and network constant, by randomising run order and by recording tool versions for every run. A five-run pilot verifies that the instruments work and, importantly, that the drift instrument detects a difference deliberately introduced to test its sensitivity.</w:t>
      </w:r>
    </w:p>
    <w:p w:rsidR="00000000" w:rsidDel="00000000" w:rsidP="00000000" w:rsidRDefault="00000000" w:rsidRPr="00000000" w14:paraId="00000257">
      <w:pPr>
        <w:rPr/>
      </w:pPr>
      <w:r w:rsidDel="00000000" w:rsidR="00000000" w:rsidRPr="00000000">
        <w:rPr>
          <w:rtl w:val="0"/>
        </w:rPr>
        <w:t xml:space="preserve">Analysis proceeds by descriptive statistics, Welch's t-test and the Mann–Whitney U test for provisioning duration, Fisher's exact test for drift and reproducibility, and the Kruskal–Wallis test for the moderation hypothesis, with effect sizes reported throughout. The qualitative strand uses reflexive thematic analysis, and the two strands are integrated in a joint display in which divergence is reported rather than reconciled.</w:t>
      </w:r>
    </w:p>
    <w:p w:rsidR="00000000" w:rsidDel="00000000" w:rsidP="00000000" w:rsidRDefault="00000000" w:rsidRPr="00000000" w14:paraId="00000258">
      <w:pPr>
        <w:rPr/>
      </w:pPr>
      <w:r w:rsidDel="00000000" w:rsidR="00000000" w:rsidRPr="00000000">
        <w:rPr>
          <w:rtl w:val="0"/>
        </w:rPr>
        <w:t xml:space="preserve">Because the study involves no human participants, the ethical safeguards address organisational consent, confidentiality of architectural detail, isolation from production data, credential handling through short-lived tokens, and responsible cloud spend. Five limitations are acknowledged: the single-case design, the unequal and learning-affected manual condition, the researcher's lack of independence from the object of study, the outcomes not measured within a twelve-week window, and the moving target of tool versions. The indicative timeline for implementing this methodology is presented in Table 3.5 and repeated in Appendix E.</w:t>
      </w:r>
    </w:p>
    <w:p w:rsidR="00000000" w:rsidDel="00000000" w:rsidP="00000000" w:rsidRDefault="00000000" w:rsidRPr="00000000" w14:paraId="00000259">
      <w:pPr>
        <w:keepNext w:val="1"/>
        <w:spacing w:after="100" w:before="200" w:line="240" w:lineRule="auto"/>
        <w:jc w:val="left"/>
        <w:rPr>
          <w:i w:val="1"/>
          <w:iCs w:val="1"/>
        </w:rPr>
      </w:pPr>
      <w:r w:rsidDel="00000000" w:rsidR="00000000" w:rsidRPr="00000000">
        <w:rPr>
          <w:b w:val="1"/>
          <w:bCs w:val="1"/>
          <w:rtl w:val="0"/>
        </w:rPr>
        <w:t xml:space="preserve">Table 3.5 </w:t>
      </w:r>
      <w:r w:rsidDel="00000000" w:rsidR="00000000" w:rsidRPr="00000000">
        <w:rPr>
          <w:i w:val="1"/>
          <w:iCs w:val="1"/>
          <w:rtl w:val="0"/>
        </w:rPr>
        <w:t xml:space="preserve">Indicative Research Timeline</w:t>
      </w:r>
    </w:p>
    <w:tbl>
      <w:tblPr>
        <w:tblStyle w:val="Table9"/>
        <w:tblW w:w="8640.0" w:type="dxa"/>
        <w:jc w:val="left"/>
        <w:tblBorders>
          <w:top w:color="000000" w:space="0" w:sz="6" w:val="single"/>
          <w:left w:color="000000" w:space="0" w:sz="0" w:val="nil"/>
          <w:bottom w:color="000000" w:space="0" w:sz="6" w:val="single"/>
          <w:right w:color="000000" w:space="0" w:sz="0" w:val="nil"/>
          <w:insideH w:color="bfbfbf" w:space="0" w:sz="4" w:val="single"/>
          <w:insideV w:color="000000" w:space="0" w:sz="0" w:val="nil"/>
        </w:tblBorders>
        <w:tblLayout w:type="fixed"/>
        <w:tblLook w:val="0000"/>
      </w:tblPr>
      <w:tblGrid>
        <w:gridCol w:w="1300"/>
        <w:gridCol w:w="4140"/>
        <w:gridCol w:w="1500"/>
        <w:gridCol w:w="1700"/>
        <w:tblGridChange w:id="0">
          <w:tblGrid>
            <w:gridCol w:w="1300"/>
            <w:gridCol w:w="4140"/>
            <w:gridCol w:w="1500"/>
            <w:gridCol w:w="1700"/>
          </w:tblGrid>
        </w:tblGridChange>
      </w:tblGrid>
      <w:tr>
        <w:trPr>
          <w:cantSplit w:val="0"/>
          <w:tblHeader w:val="1"/>
        </w:trPr>
        <w:tc>
          <w:tcPr>
            <w:shd w:fill="edeff3" w:val="clear"/>
            <w:tcMar>
              <w:top w:w="80.0" w:type="dxa"/>
              <w:left w:w="110.0" w:type="dxa"/>
              <w:bottom w:w="80.0" w:type="dxa"/>
              <w:right w:w="110.0" w:type="dxa"/>
            </w:tcMar>
            <w:vAlign w:val="center"/>
          </w:tcPr>
          <w:p w:rsidR="00000000" w:rsidDel="00000000" w:rsidP="00000000" w:rsidRDefault="00000000" w:rsidRPr="00000000" w14:paraId="0000025A">
            <w:pPr>
              <w:spacing w:after="40" w:line="240" w:lineRule="auto"/>
              <w:jc w:val="left"/>
              <w:rPr/>
            </w:pPr>
            <w:r w:rsidDel="00000000" w:rsidR="00000000" w:rsidRPr="00000000">
              <w:rPr>
                <w:b w:val="1"/>
                <w:bCs w:val="1"/>
                <w:sz w:val="20"/>
                <w:szCs w:val="20"/>
                <w:rtl w:val="0"/>
              </w:rPr>
              <w:t xml:space="preserve">Phase</w:t>
            </w:r>
            <w:r w:rsidDel="00000000" w:rsidR="00000000" w:rsidRPr="00000000">
              <w:rPr>
                <w:rtl w:val="0"/>
              </w:rPr>
            </w:r>
          </w:p>
        </w:tc>
        <w:tc>
          <w:tcPr>
            <w:shd w:fill="edeff3" w:val="clear"/>
            <w:tcMar>
              <w:top w:w="80.0" w:type="dxa"/>
              <w:left w:w="110.0" w:type="dxa"/>
              <w:bottom w:w="80.0" w:type="dxa"/>
              <w:right w:w="110.0" w:type="dxa"/>
            </w:tcMar>
            <w:vAlign w:val="center"/>
          </w:tcPr>
          <w:p w:rsidR="00000000" w:rsidDel="00000000" w:rsidP="00000000" w:rsidRDefault="00000000" w:rsidRPr="00000000" w14:paraId="0000025B">
            <w:pPr>
              <w:spacing w:after="40" w:line="240" w:lineRule="auto"/>
              <w:jc w:val="left"/>
              <w:rPr/>
            </w:pPr>
            <w:r w:rsidDel="00000000" w:rsidR="00000000" w:rsidRPr="00000000">
              <w:rPr>
                <w:b w:val="1"/>
                <w:bCs w:val="1"/>
                <w:sz w:val="20"/>
                <w:szCs w:val="20"/>
                <w:rtl w:val="0"/>
              </w:rPr>
              <w:t xml:space="preserve">Activity</w:t>
            </w:r>
            <w:r w:rsidDel="00000000" w:rsidR="00000000" w:rsidRPr="00000000">
              <w:rPr>
                <w:rtl w:val="0"/>
              </w:rPr>
            </w:r>
          </w:p>
        </w:tc>
        <w:tc>
          <w:tcPr>
            <w:shd w:fill="edeff3" w:val="clear"/>
            <w:tcMar>
              <w:top w:w="80.0" w:type="dxa"/>
              <w:left w:w="110.0" w:type="dxa"/>
              <w:bottom w:w="80.0" w:type="dxa"/>
              <w:right w:w="110.0" w:type="dxa"/>
            </w:tcMar>
            <w:vAlign w:val="center"/>
          </w:tcPr>
          <w:p w:rsidR="00000000" w:rsidDel="00000000" w:rsidP="00000000" w:rsidRDefault="00000000" w:rsidRPr="00000000" w14:paraId="0000025C">
            <w:pPr>
              <w:spacing w:after="40" w:line="240" w:lineRule="auto"/>
              <w:jc w:val="left"/>
              <w:rPr/>
            </w:pPr>
            <w:r w:rsidDel="00000000" w:rsidR="00000000" w:rsidRPr="00000000">
              <w:rPr>
                <w:b w:val="1"/>
                <w:bCs w:val="1"/>
                <w:sz w:val="20"/>
                <w:szCs w:val="20"/>
                <w:rtl w:val="0"/>
              </w:rPr>
              <w:t xml:space="preserve">Duration</w:t>
            </w:r>
            <w:r w:rsidDel="00000000" w:rsidR="00000000" w:rsidRPr="00000000">
              <w:rPr>
                <w:rtl w:val="0"/>
              </w:rPr>
            </w:r>
          </w:p>
        </w:tc>
        <w:tc>
          <w:tcPr>
            <w:shd w:fill="edeff3" w:val="clear"/>
            <w:tcMar>
              <w:top w:w="80.0" w:type="dxa"/>
              <w:left w:w="110.0" w:type="dxa"/>
              <w:bottom w:w="80.0" w:type="dxa"/>
              <w:right w:w="110.0" w:type="dxa"/>
            </w:tcMar>
            <w:vAlign w:val="center"/>
          </w:tcPr>
          <w:p w:rsidR="00000000" w:rsidDel="00000000" w:rsidP="00000000" w:rsidRDefault="00000000" w:rsidRPr="00000000" w14:paraId="0000025D">
            <w:pPr>
              <w:spacing w:after="40" w:line="240" w:lineRule="auto"/>
              <w:jc w:val="left"/>
              <w:rPr/>
            </w:pPr>
            <w:r w:rsidDel="00000000" w:rsidR="00000000" w:rsidRPr="00000000">
              <w:rPr>
                <w:b w:val="1"/>
                <w:bCs w:val="1"/>
                <w:sz w:val="20"/>
                <w:szCs w:val="20"/>
                <w:rtl w:val="0"/>
              </w:rPr>
              <w:t xml:space="preserve">Target Completion</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5E">
            <w:pPr>
              <w:spacing w:after="0" w:line="250" w:lineRule="auto"/>
              <w:jc w:val="left"/>
              <w:rPr>
                <w:sz w:val="20"/>
                <w:szCs w:val="20"/>
              </w:rPr>
            </w:pPr>
            <w:r w:rsidDel="00000000" w:rsidR="00000000" w:rsidRPr="00000000">
              <w:rPr>
                <w:sz w:val="20"/>
                <w:szCs w:val="20"/>
                <w:rtl w:val="0"/>
              </w:rPr>
              <w:t xml:space="preserve">Preparation</w:t>
            </w:r>
          </w:p>
        </w:tc>
        <w:tc>
          <w:tcPr>
            <w:tcMar>
              <w:top w:w="70.0" w:type="dxa"/>
              <w:left w:w="110.0" w:type="dxa"/>
              <w:bottom w:w="70.0" w:type="dxa"/>
              <w:right w:w="110.0" w:type="dxa"/>
            </w:tcMar>
          </w:tcPr>
          <w:p w:rsidR="00000000" w:rsidDel="00000000" w:rsidP="00000000" w:rsidRDefault="00000000" w:rsidRPr="00000000" w14:paraId="0000025F">
            <w:pPr>
              <w:spacing w:after="0" w:line="250" w:lineRule="auto"/>
              <w:jc w:val="left"/>
              <w:rPr>
                <w:sz w:val="20"/>
                <w:szCs w:val="20"/>
              </w:rPr>
            </w:pPr>
            <w:r w:rsidDel="00000000" w:rsidR="00000000" w:rsidRPr="00000000">
              <w:rPr>
                <w:sz w:val="20"/>
                <w:szCs w:val="20"/>
                <w:rtl w:val="0"/>
              </w:rPr>
              <w:t xml:space="preserve">Literature review; component inventory; permission and approval; instrument scripting</w:t>
            </w:r>
          </w:p>
        </w:tc>
        <w:tc>
          <w:tcPr>
            <w:tcMar>
              <w:top w:w="70.0" w:type="dxa"/>
              <w:left w:w="110.0" w:type="dxa"/>
              <w:bottom w:w="70.0" w:type="dxa"/>
              <w:right w:w="110.0" w:type="dxa"/>
            </w:tcMar>
          </w:tcPr>
          <w:p w:rsidR="00000000" w:rsidDel="00000000" w:rsidP="00000000" w:rsidRDefault="00000000" w:rsidRPr="00000000" w14:paraId="00000260">
            <w:pPr>
              <w:spacing w:after="0" w:line="250" w:lineRule="auto"/>
              <w:jc w:val="left"/>
              <w:rPr>
                <w:sz w:val="20"/>
                <w:szCs w:val="20"/>
              </w:rPr>
            </w:pPr>
            <w:r w:rsidDel="00000000" w:rsidR="00000000" w:rsidRPr="00000000">
              <w:rPr>
                <w:sz w:val="20"/>
                <w:szCs w:val="20"/>
                <w:rtl w:val="0"/>
              </w:rPr>
              <w:t xml:space="preserve">Weeks 1–3</w:t>
            </w:r>
          </w:p>
        </w:tc>
        <w:tc>
          <w:tcPr>
            <w:tcMar>
              <w:top w:w="70.0" w:type="dxa"/>
              <w:left w:w="110.0" w:type="dxa"/>
              <w:bottom w:w="70.0" w:type="dxa"/>
              <w:right w:w="110.0" w:type="dxa"/>
            </w:tcMar>
          </w:tcPr>
          <w:p w:rsidR="00000000" w:rsidDel="00000000" w:rsidP="00000000" w:rsidRDefault="00000000" w:rsidRPr="00000000" w14:paraId="00000261">
            <w:pPr>
              <w:spacing w:after="0" w:line="250" w:lineRule="auto"/>
              <w:jc w:val="left"/>
              <w:rPr>
                <w:sz w:val="20"/>
                <w:szCs w:val="20"/>
              </w:rPr>
            </w:pPr>
            <w:r w:rsidDel="00000000" w:rsidR="00000000" w:rsidRPr="00000000">
              <w:rPr>
                <w:sz w:val="20"/>
                <w:szCs w:val="20"/>
                <w:rtl w:val="0"/>
              </w:rPr>
              <w:t xml:space="preserve">July 2026</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62">
            <w:pPr>
              <w:spacing w:after="0" w:line="250" w:lineRule="auto"/>
              <w:jc w:val="left"/>
              <w:rPr>
                <w:sz w:val="20"/>
                <w:szCs w:val="20"/>
              </w:rPr>
            </w:pPr>
            <w:r w:rsidDel="00000000" w:rsidR="00000000" w:rsidRPr="00000000">
              <w:rPr>
                <w:sz w:val="20"/>
                <w:szCs w:val="20"/>
                <w:rtl w:val="0"/>
              </w:rPr>
              <w:t xml:space="preserve">Baseline</w:t>
            </w:r>
          </w:p>
        </w:tc>
        <w:tc>
          <w:tcPr>
            <w:tcMar>
              <w:top w:w="70.0" w:type="dxa"/>
              <w:left w:w="110.0" w:type="dxa"/>
              <w:bottom w:w="70.0" w:type="dxa"/>
              <w:right w:w="110.0" w:type="dxa"/>
            </w:tcMar>
          </w:tcPr>
          <w:p w:rsidR="00000000" w:rsidDel="00000000" w:rsidP="00000000" w:rsidRDefault="00000000" w:rsidRPr="00000000" w14:paraId="00000263">
            <w:pPr>
              <w:spacing w:after="0" w:line="250" w:lineRule="auto"/>
              <w:jc w:val="left"/>
              <w:rPr>
                <w:sz w:val="20"/>
                <w:szCs w:val="20"/>
              </w:rPr>
            </w:pPr>
            <w:r w:rsidDel="00000000" w:rsidR="00000000" w:rsidRPr="00000000">
              <w:rPr>
                <w:sz w:val="20"/>
                <w:szCs w:val="20"/>
                <w:rtl w:val="0"/>
              </w:rPr>
              <w:t xml:space="preserve">Manual provisioning runs (10) performed before module development</w:t>
            </w:r>
          </w:p>
        </w:tc>
        <w:tc>
          <w:tcPr>
            <w:tcMar>
              <w:top w:w="70.0" w:type="dxa"/>
              <w:left w:w="110.0" w:type="dxa"/>
              <w:bottom w:w="70.0" w:type="dxa"/>
              <w:right w:w="110.0" w:type="dxa"/>
            </w:tcMar>
          </w:tcPr>
          <w:p w:rsidR="00000000" w:rsidDel="00000000" w:rsidP="00000000" w:rsidRDefault="00000000" w:rsidRPr="00000000" w14:paraId="00000264">
            <w:pPr>
              <w:spacing w:after="0" w:line="250" w:lineRule="auto"/>
              <w:jc w:val="left"/>
              <w:rPr>
                <w:sz w:val="20"/>
                <w:szCs w:val="20"/>
              </w:rPr>
            </w:pPr>
            <w:r w:rsidDel="00000000" w:rsidR="00000000" w:rsidRPr="00000000">
              <w:rPr>
                <w:sz w:val="20"/>
                <w:szCs w:val="20"/>
                <w:rtl w:val="0"/>
              </w:rPr>
              <w:t xml:space="preserve">Week 3</w:t>
            </w:r>
          </w:p>
        </w:tc>
        <w:tc>
          <w:tcPr>
            <w:tcMar>
              <w:top w:w="70.0" w:type="dxa"/>
              <w:left w:w="110.0" w:type="dxa"/>
              <w:bottom w:w="70.0" w:type="dxa"/>
              <w:right w:w="110.0" w:type="dxa"/>
            </w:tcMar>
          </w:tcPr>
          <w:p w:rsidR="00000000" w:rsidDel="00000000" w:rsidP="00000000" w:rsidRDefault="00000000" w:rsidRPr="00000000" w14:paraId="00000265">
            <w:pPr>
              <w:spacing w:after="0" w:line="250" w:lineRule="auto"/>
              <w:jc w:val="left"/>
              <w:rPr>
                <w:sz w:val="20"/>
                <w:szCs w:val="20"/>
              </w:rPr>
            </w:pPr>
            <w:r w:rsidDel="00000000" w:rsidR="00000000" w:rsidRPr="00000000">
              <w:rPr>
                <w:sz w:val="20"/>
                <w:szCs w:val="20"/>
                <w:rtl w:val="0"/>
              </w:rPr>
              <w:t xml:space="preserve">July 2026</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66">
            <w:pPr>
              <w:spacing w:after="0" w:line="250" w:lineRule="auto"/>
              <w:jc w:val="left"/>
              <w:rPr>
                <w:sz w:val="20"/>
                <w:szCs w:val="20"/>
              </w:rPr>
            </w:pPr>
            <w:r w:rsidDel="00000000" w:rsidR="00000000" w:rsidRPr="00000000">
              <w:rPr>
                <w:sz w:val="20"/>
                <w:szCs w:val="20"/>
                <w:rtl w:val="0"/>
              </w:rPr>
              <w:t xml:space="preserve">Pilot</w:t>
            </w:r>
          </w:p>
        </w:tc>
        <w:tc>
          <w:tcPr>
            <w:tcMar>
              <w:top w:w="70.0" w:type="dxa"/>
              <w:left w:w="110.0" w:type="dxa"/>
              <w:bottom w:w="70.0" w:type="dxa"/>
              <w:right w:w="110.0" w:type="dxa"/>
            </w:tcMar>
          </w:tcPr>
          <w:p w:rsidR="00000000" w:rsidDel="00000000" w:rsidP="00000000" w:rsidRDefault="00000000" w:rsidRPr="00000000" w14:paraId="00000267">
            <w:pPr>
              <w:spacing w:after="0" w:line="250" w:lineRule="auto"/>
              <w:jc w:val="left"/>
              <w:rPr>
                <w:sz w:val="20"/>
                <w:szCs w:val="20"/>
              </w:rPr>
            </w:pPr>
            <w:r w:rsidDel="00000000" w:rsidR="00000000" w:rsidRPr="00000000">
              <w:rPr>
                <w:sz w:val="20"/>
                <w:szCs w:val="20"/>
                <w:rtl w:val="0"/>
              </w:rPr>
              <w:t xml:space="preserve">Five pilot runs on the VPC module; instrument sensitivity test</w:t>
            </w:r>
          </w:p>
        </w:tc>
        <w:tc>
          <w:tcPr>
            <w:tcMar>
              <w:top w:w="70.0" w:type="dxa"/>
              <w:left w:w="110.0" w:type="dxa"/>
              <w:bottom w:w="70.0" w:type="dxa"/>
              <w:right w:w="110.0" w:type="dxa"/>
            </w:tcMar>
          </w:tcPr>
          <w:p w:rsidR="00000000" w:rsidDel="00000000" w:rsidP="00000000" w:rsidRDefault="00000000" w:rsidRPr="00000000" w14:paraId="00000268">
            <w:pPr>
              <w:spacing w:after="0" w:line="250" w:lineRule="auto"/>
              <w:jc w:val="left"/>
              <w:rPr>
                <w:sz w:val="20"/>
                <w:szCs w:val="20"/>
              </w:rPr>
            </w:pPr>
            <w:r w:rsidDel="00000000" w:rsidR="00000000" w:rsidRPr="00000000">
              <w:rPr>
                <w:sz w:val="20"/>
                <w:szCs w:val="20"/>
                <w:rtl w:val="0"/>
              </w:rPr>
              <w:t xml:space="preserve">Week 4</w:t>
            </w:r>
          </w:p>
        </w:tc>
        <w:tc>
          <w:tcPr>
            <w:tcMar>
              <w:top w:w="70.0" w:type="dxa"/>
              <w:left w:w="110.0" w:type="dxa"/>
              <w:bottom w:w="70.0" w:type="dxa"/>
              <w:right w:w="110.0" w:type="dxa"/>
            </w:tcMar>
          </w:tcPr>
          <w:p w:rsidR="00000000" w:rsidDel="00000000" w:rsidP="00000000" w:rsidRDefault="00000000" w:rsidRPr="00000000" w14:paraId="00000269">
            <w:pPr>
              <w:spacing w:after="0" w:line="250" w:lineRule="auto"/>
              <w:jc w:val="left"/>
              <w:rPr>
                <w:sz w:val="20"/>
                <w:szCs w:val="20"/>
              </w:rPr>
            </w:pPr>
            <w:r w:rsidDel="00000000" w:rsidR="00000000" w:rsidRPr="00000000">
              <w:rPr>
                <w:sz w:val="20"/>
                <w:szCs w:val="20"/>
                <w:rtl w:val="0"/>
              </w:rPr>
              <w:t xml:space="preserve">July 2026</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6A">
            <w:pPr>
              <w:spacing w:after="0" w:line="250" w:lineRule="auto"/>
              <w:jc w:val="left"/>
              <w:rPr>
                <w:sz w:val="20"/>
                <w:szCs w:val="20"/>
              </w:rPr>
            </w:pPr>
            <w:r w:rsidDel="00000000" w:rsidR="00000000" w:rsidRPr="00000000">
              <w:rPr>
                <w:sz w:val="20"/>
                <w:szCs w:val="20"/>
                <w:rtl w:val="0"/>
              </w:rPr>
              <w:t xml:space="preserve">Build</w:t>
            </w:r>
          </w:p>
        </w:tc>
        <w:tc>
          <w:tcPr>
            <w:tcMar>
              <w:top w:w="70.0" w:type="dxa"/>
              <w:left w:w="110.0" w:type="dxa"/>
              <w:bottom w:w="70.0" w:type="dxa"/>
              <w:right w:w="110.0" w:type="dxa"/>
            </w:tcMar>
          </w:tcPr>
          <w:p w:rsidR="00000000" w:rsidDel="00000000" w:rsidP="00000000" w:rsidRDefault="00000000" w:rsidRPr="00000000" w14:paraId="0000026B">
            <w:pPr>
              <w:spacing w:after="0" w:line="250" w:lineRule="auto"/>
              <w:jc w:val="left"/>
              <w:rPr>
                <w:sz w:val="20"/>
                <w:szCs w:val="20"/>
              </w:rPr>
            </w:pPr>
            <w:r w:rsidDel="00000000" w:rsidR="00000000" w:rsidRPr="00000000">
              <w:rPr>
                <w:sz w:val="20"/>
                <w:szCs w:val="20"/>
                <w:rtl w:val="0"/>
              </w:rPr>
              <w:t xml:space="preserve">Terraform module development, working outward from the network layer</w:t>
            </w:r>
          </w:p>
        </w:tc>
        <w:tc>
          <w:tcPr>
            <w:tcMar>
              <w:top w:w="70.0" w:type="dxa"/>
              <w:left w:w="110.0" w:type="dxa"/>
              <w:bottom w:w="70.0" w:type="dxa"/>
              <w:right w:w="110.0" w:type="dxa"/>
            </w:tcMar>
          </w:tcPr>
          <w:p w:rsidR="00000000" w:rsidDel="00000000" w:rsidP="00000000" w:rsidRDefault="00000000" w:rsidRPr="00000000" w14:paraId="0000026C">
            <w:pPr>
              <w:spacing w:after="0" w:line="250" w:lineRule="auto"/>
              <w:jc w:val="left"/>
              <w:rPr>
                <w:sz w:val="20"/>
                <w:szCs w:val="20"/>
              </w:rPr>
            </w:pPr>
            <w:r w:rsidDel="00000000" w:rsidR="00000000" w:rsidRPr="00000000">
              <w:rPr>
                <w:sz w:val="20"/>
                <w:szCs w:val="20"/>
                <w:rtl w:val="0"/>
              </w:rPr>
              <w:t xml:space="preserve">Weeks 4–7</w:t>
            </w:r>
          </w:p>
        </w:tc>
        <w:tc>
          <w:tcPr>
            <w:tcMar>
              <w:top w:w="70.0" w:type="dxa"/>
              <w:left w:w="110.0" w:type="dxa"/>
              <w:bottom w:w="70.0" w:type="dxa"/>
              <w:right w:w="110.0" w:type="dxa"/>
            </w:tcMar>
          </w:tcPr>
          <w:p w:rsidR="00000000" w:rsidDel="00000000" w:rsidP="00000000" w:rsidRDefault="00000000" w:rsidRPr="00000000" w14:paraId="0000026D">
            <w:pPr>
              <w:spacing w:after="0" w:line="250" w:lineRule="auto"/>
              <w:jc w:val="left"/>
              <w:rPr>
                <w:sz w:val="20"/>
                <w:szCs w:val="20"/>
              </w:rPr>
            </w:pPr>
            <w:r w:rsidDel="00000000" w:rsidR="00000000" w:rsidRPr="00000000">
              <w:rPr>
                <w:sz w:val="20"/>
                <w:szCs w:val="20"/>
                <w:rtl w:val="0"/>
              </w:rPr>
              <w:t xml:space="preserve">August 2026</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6E">
            <w:pPr>
              <w:spacing w:after="0" w:line="250" w:lineRule="auto"/>
              <w:jc w:val="left"/>
              <w:rPr>
                <w:sz w:val="20"/>
                <w:szCs w:val="20"/>
              </w:rPr>
            </w:pPr>
            <w:r w:rsidDel="00000000" w:rsidR="00000000" w:rsidRPr="00000000">
              <w:rPr>
                <w:sz w:val="20"/>
                <w:szCs w:val="20"/>
                <w:rtl w:val="0"/>
              </w:rPr>
              <w:t xml:space="preserve">Build</w:t>
            </w:r>
          </w:p>
        </w:tc>
        <w:tc>
          <w:tcPr>
            <w:tcMar>
              <w:top w:w="70.0" w:type="dxa"/>
              <w:left w:w="110.0" w:type="dxa"/>
              <w:bottom w:w="70.0" w:type="dxa"/>
              <w:right w:w="110.0" w:type="dxa"/>
            </w:tcMar>
          </w:tcPr>
          <w:p w:rsidR="00000000" w:rsidDel="00000000" w:rsidP="00000000" w:rsidRDefault="00000000" w:rsidRPr="00000000" w14:paraId="0000026F">
            <w:pPr>
              <w:spacing w:after="0" w:line="250" w:lineRule="auto"/>
              <w:jc w:val="left"/>
              <w:rPr>
                <w:sz w:val="20"/>
                <w:szCs w:val="20"/>
              </w:rPr>
            </w:pPr>
            <w:r w:rsidDel="00000000" w:rsidR="00000000" w:rsidRPr="00000000">
              <w:rPr>
                <w:sz w:val="20"/>
                <w:szCs w:val="20"/>
                <w:rtl w:val="0"/>
              </w:rPr>
              <w:t xml:space="preserve">GitHub Actions integration: validate, plan on pull request, gated apply, security scans</w:t>
            </w:r>
          </w:p>
        </w:tc>
        <w:tc>
          <w:tcPr>
            <w:tcMar>
              <w:top w:w="70.0" w:type="dxa"/>
              <w:left w:w="110.0" w:type="dxa"/>
              <w:bottom w:w="70.0" w:type="dxa"/>
              <w:right w:w="110.0" w:type="dxa"/>
            </w:tcMar>
          </w:tcPr>
          <w:p w:rsidR="00000000" w:rsidDel="00000000" w:rsidP="00000000" w:rsidRDefault="00000000" w:rsidRPr="00000000" w14:paraId="00000270">
            <w:pPr>
              <w:spacing w:after="0" w:line="250" w:lineRule="auto"/>
              <w:jc w:val="left"/>
              <w:rPr>
                <w:sz w:val="20"/>
                <w:szCs w:val="20"/>
              </w:rPr>
            </w:pPr>
            <w:r w:rsidDel="00000000" w:rsidR="00000000" w:rsidRPr="00000000">
              <w:rPr>
                <w:sz w:val="20"/>
                <w:szCs w:val="20"/>
                <w:rtl w:val="0"/>
              </w:rPr>
              <w:t xml:space="preserve">Weeks 7–8</w:t>
            </w:r>
          </w:p>
        </w:tc>
        <w:tc>
          <w:tcPr>
            <w:tcMar>
              <w:top w:w="70.0" w:type="dxa"/>
              <w:left w:w="110.0" w:type="dxa"/>
              <w:bottom w:w="70.0" w:type="dxa"/>
              <w:right w:w="110.0" w:type="dxa"/>
            </w:tcMar>
          </w:tcPr>
          <w:p w:rsidR="00000000" w:rsidDel="00000000" w:rsidP="00000000" w:rsidRDefault="00000000" w:rsidRPr="00000000" w14:paraId="00000271">
            <w:pPr>
              <w:spacing w:after="0" w:line="250" w:lineRule="auto"/>
              <w:jc w:val="left"/>
              <w:rPr>
                <w:sz w:val="20"/>
                <w:szCs w:val="20"/>
              </w:rPr>
            </w:pPr>
            <w:r w:rsidDel="00000000" w:rsidR="00000000" w:rsidRPr="00000000">
              <w:rPr>
                <w:sz w:val="20"/>
                <w:szCs w:val="20"/>
                <w:rtl w:val="0"/>
              </w:rPr>
              <w:t xml:space="preserve">August 2026</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72">
            <w:pPr>
              <w:spacing w:after="0" w:line="250" w:lineRule="auto"/>
              <w:jc w:val="left"/>
              <w:rPr>
                <w:sz w:val="20"/>
                <w:szCs w:val="20"/>
              </w:rPr>
            </w:pPr>
            <w:r w:rsidDel="00000000" w:rsidR="00000000" w:rsidRPr="00000000">
              <w:rPr>
                <w:sz w:val="20"/>
                <w:szCs w:val="20"/>
                <w:rtl w:val="0"/>
              </w:rPr>
              <w:t xml:space="preserve">Phase 1</w:t>
            </w:r>
          </w:p>
        </w:tc>
        <w:tc>
          <w:tcPr>
            <w:tcMar>
              <w:top w:w="70.0" w:type="dxa"/>
              <w:left w:w="110.0" w:type="dxa"/>
              <w:bottom w:w="70.0" w:type="dxa"/>
              <w:right w:w="110.0" w:type="dxa"/>
            </w:tcMar>
          </w:tcPr>
          <w:p w:rsidR="00000000" w:rsidDel="00000000" w:rsidP="00000000" w:rsidRDefault="00000000" w:rsidRPr="00000000" w14:paraId="00000273">
            <w:pPr>
              <w:spacing w:after="0" w:line="250" w:lineRule="auto"/>
              <w:jc w:val="left"/>
              <w:rPr>
                <w:sz w:val="20"/>
                <w:szCs w:val="20"/>
              </w:rPr>
            </w:pPr>
            <w:r w:rsidDel="00000000" w:rsidR="00000000" w:rsidRPr="00000000">
              <w:rPr>
                <w:sz w:val="20"/>
                <w:szCs w:val="20"/>
                <w:rtl w:val="0"/>
              </w:rPr>
              <w:t xml:space="preserve">Main measurement campaign: 30 Terraform runs; drift comparisons; rebuild cycles</w:t>
            </w:r>
          </w:p>
        </w:tc>
        <w:tc>
          <w:tcPr>
            <w:tcMar>
              <w:top w:w="70.0" w:type="dxa"/>
              <w:left w:w="110.0" w:type="dxa"/>
              <w:bottom w:w="70.0" w:type="dxa"/>
              <w:right w:w="110.0" w:type="dxa"/>
            </w:tcMar>
          </w:tcPr>
          <w:p w:rsidR="00000000" w:rsidDel="00000000" w:rsidP="00000000" w:rsidRDefault="00000000" w:rsidRPr="00000000" w14:paraId="00000274">
            <w:pPr>
              <w:spacing w:after="0" w:line="250" w:lineRule="auto"/>
              <w:jc w:val="left"/>
              <w:rPr>
                <w:sz w:val="20"/>
                <w:szCs w:val="20"/>
              </w:rPr>
            </w:pPr>
            <w:r w:rsidDel="00000000" w:rsidR="00000000" w:rsidRPr="00000000">
              <w:rPr>
                <w:sz w:val="20"/>
                <w:szCs w:val="20"/>
                <w:rtl w:val="0"/>
              </w:rPr>
              <w:t xml:space="preserve">Weeks 9–10</w:t>
            </w:r>
          </w:p>
        </w:tc>
        <w:tc>
          <w:tcPr>
            <w:tcMar>
              <w:top w:w="70.0" w:type="dxa"/>
              <w:left w:w="110.0" w:type="dxa"/>
              <w:bottom w:w="70.0" w:type="dxa"/>
              <w:right w:w="110.0" w:type="dxa"/>
            </w:tcMar>
          </w:tcPr>
          <w:p w:rsidR="00000000" w:rsidDel="00000000" w:rsidP="00000000" w:rsidRDefault="00000000" w:rsidRPr="00000000" w14:paraId="00000275">
            <w:pPr>
              <w:spacing w:after="0" w:line="250" w:lineRule="auto"/>
              <w:jc w:val="left"/>
              <w:rPr>
                <w:sz w:val="20"/>
                <w:szCs w:val="20"/>
              </w:rPr>
            </w:pPr>
            <w:r w:rsidDel="00000000" w:rsidR="00000000" w:rsidRPr="00000000">
              <w:rPr>
                <w:sz w:val="20"/>
                <w:szCs w:val="20"/>
                <w:rtl w:val="0"/>
              </w:rPr>
              <w:t xml:space="preserve">September 2026</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76">
            <w:pPr>
              <w:spacing w:after="0" w:line="250" w:lineRule="auto"/>
              <w:jc w:val="left"/>
              <w:rPr>
                <w:sz w:val="20"/>
                <w:szCs w:val="20"/>
              </w:rPr>
            </w:pPr>
            <w:r w:rsidDel="00000000" w:rsidR="00000000" w:rsidRPr="00000000">
              <w:rPr>
                <w:sz w:val="20"/>
                <w:szCs w:val="20"/>
                <w:rtl w:val="0"/>
              </w:rPr>
              <w:t xml:space="preserve">Phase 1</w:t>
            </w:r>
          </w:p>
        </w:tc>
        <w:tc>
          <w:tcPr>
            <w:tcMar>
              <w:top w:w="70.0" w:type="dxa"/>
              <w:left w:w="110.0" w:type="dxa"/>
              <w:bottom w:w="70.0" w:type="dxa"/>
              <w:right w:w="110.0" w:type="dxa"/>
            </w:tcMar>
          </w:tcPr>
          <w:p w:rsidR="00000000" w:rsidDel="00000000" w:rsidP="00000000" w:rsidRDefault="00000000" w:rsidRPr="00000000" w14:paraId="00000277">
            <w:pPr>
              <w:spacing w:after="0" w:line="250" w:lineRule="auto"/>
              <w:jc w:val="left"/>
              <w:rPr>
                <w:sz w:val="20"/>
                <w:szCs w:val="20"/>
              </w:rPr>
            </w:pPr>
            <w:r w:rsidDel="00000000" w:rsidR="00000000" w:rsidRPr="00000000">
              <w:rPr>
                <w:sz w:val="20"/>
                <w:szCs w:val="20"/>
                <w:rtl w:val="0"/>
              </w:rPr>
              <w:t xml:space="preserve">Quantitative analysis and hypothesis testing</w:t>
            </w:r>
          </w:p>
        </w:tc>
        <w:tc>
          <w:tcPr>
            <w:tcMar>
              <w:top w:w="70.0" w:type="dxa"/>
              <w:left w:w="110.0" w:type="dxa"/>
              <w:bottom w:w="70.0" w:type="dxa"/>
              <w:right w:w="110.0" w:type="dxa"/>
            </w:tcMar>
          </w:tcPr>
          <w:p w:rsidR="00000000" w:rsidDel="00000000" w:rsidP="00000000" w:rsidRDefault="00000000" w:rsidRPr="00000000" w14:paraId="00000278">
            <w:pPr>
              <w:spacing w:after="0" w:line="250" w:lineRule="auto"/>
              <w:jc w:val="left"/>
              <w:rPr>
                <w:sz w:val="20"/>
                <w:szCs w:val="20"/>
              </w:rPr>
            </w:pPr>
            <w:r w:rsidDel="00000000" w:rsidR="00000000" w:rsidRPr="00000000">
              <w:rPr>
                <w:sz w:val="20"/>
                <w:szCs w:val="20"/>
                <w:rtl w:val="0"/>
              </w:rPr>
              <w:t xml:space="preserve">Week 10</w:t>
            </w:r>
          </w:p>
        </w:tc>
        <w:tc>
          <w:tcPr>
            <w:tcMar>
              <w:top w:w="70.0" w:type="dxa"/>
              <w:left w:w="110.0" w:type="dxa"/>
              <w:bottom w:w="70.0" w:type="dxa"/>
              <w:right w:w="110.0" w:type="dxa"/>
            </w:tcMar>
          </w:tcPr>
          <w:p w:rsidR="00000000" w:rsidDel="00000000" w:rsidP="00000000" w:rsidRDefault="00000000" w:rsidRPr="00000000" w14:paraId="00000279">
            <w:pPr>
              <w:spacing w:after="0" w:line="250" w:lineRule="auto"/>
              <w:jc w:val="left"/>
              <w:rPr>
                <w:sz w:val="20"/>
                <w:szCs w:val="20"/>
              </w:rPr>
            </w:pPr>
            <w:r w:rsidDel="00000000" w:rsidR="00000000" w:rsidRPr="00000000">
              <w:rPr>
                <w:sz w:val="20"/>
                <w:szCs w:val="20"/>
                <w:rtl w:val="0"/>
              </w:rPr>
              <w:t xml:space="preserve">September 2026</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7A">
            <w:pPr>
              <w:spacing w:after="0" w:line="250" w:lineRule="auto"/>
              <w:jc w:val="left"/>
              <w:rPr>
                <w:sz w:val="20"/>
                <w:szCs w:val="20"/>
              </w:rPr>
            </w:pPr>
            <w:r w:rsidDel="00000000" w:rsidR="00000000" w:rsidRPr="00000000">
              <w:rPr>
                <w:sz w:val="20"/>
                <w:szCs w:val="20"/>
                <w:rtl w:val="0"/>
              </w:rPr>
              <w:t xml:space="preserve">Phase 2</w:t>
            </w:r>
          </w:p>
        </w:tc>
        <w:tc>
          <w:tcPr>
            <w:tcMar>
              <w:top w:w="70.0" w:type="dxa"/>
              <w:left w:w="110.0" w:type="dxa"/>
              <w:bottom w:w="70.0" w:type="dxa"/>
              <w:right w:w="110.0" w:type="dxa"/>
            </w:tcMar>
          </w:tcPr>
          <w:p w:rsidR="00000000" w:rsidDel="00000000" w:rsidP="00000000" w:rsidRDefault="00000000" w:rsidRPr="00000000" w14:paraId="0000027B">
            <w:pPr>
              <w:spacing w:after="0" w:line="250" w:lineRule="auto"/>
              <w:jc w:val="left"/>
              <w:rPr>
                <w:sz w:val="20"/>
                <w:szCs w:val="20"/>
              </w:rPr>
            </w:pPr>
            <w:r w:rsidDel="00000000" w:rsidR="00000000" w:rsidRPr="00000000">
              <w:rPr>
                <w:sz w:val="20"/>
                <w:szCs w:val="20"/>
                <w:rtl w:val="0"/>
              </w:rPr>
              <w:t xml:space="preserve">Thematic analysis of the implementation log</w:t>
            </w:r>
          </w:p>
        </w:tc>
        <w:tc>
          <w:tcPr>
            <w:tcMar>
              <w:top w:w="70.0" w:type="dxa"/>
              <w:left w:w="110.0" w:type="dxa"/>
              <w:bottom w:w="70.0" w:type="dxa"/>
              <w:right w:w="110.0" w:type="dxa"/>
            </w:tcMar>
          </w:tcPr>
          <w:p w:rsidR="00000000" w:rsidDel="00000000" w:rsidP="00000000" w:rsidRDefault="00000000" w:rsidRPr="00000000" w14:paraId="0000027C">
            <w:pPr>
              <w:spacing w:after="0" w:line="250" w:lineRule="auto"/>
              <w:jc w:val="left"/>
              <w:rPr>
                <w:sz w:val="20"/>
                <w:szCs w:val="20"/>
              </w:rPr>
            </w:pPr>
            <w:r w:rsidDel="00000000" w:rsidR="00000000" w:rsidRPr="00000000">
              <w:rPr>
                <w:sz w:val="20"/>
                <w:szCs w:val="20"/>
                <w:rtl w:val="0"/>
              </w:rPr>
              <w:t xml:space="preserve">Week 11</w:t>
            </w:r>
          </w:p>
        </w:tc>
        <w:tc>
          <w:tcPr>
            <w:tcMar>
              <w:top w:w="70.0" w:type="dxa"/>
              <w:left w:w="110.0" w:type="dxa"/>
              <w:bottom w:w="70.0" w:type="dxa"/>
              <w:right w:w="110.0" w:type="dxa"/>
            </w:tcMar>
          </w:tcPr>
          <w:p w:rsidR="00000000" w:rsidDel="00000000" w:rsidP="00000000" w:rsidRDefault="00000000" w:rsidRPr="00000000" w14:paraId="0000027D">
            <w:pPr>
              <w:spacing w:after="0" w:line="250" w:lineRule="auto"/>
              <w:jc w:val="left"/>
              <w:rPr>
                <w:sz w:val="20"/>
                <w:szCs w:val="20"/>
              </w:rPr>
            </w:pPr>
            <w:r w:rsidDel="00000000" w:rsidR="00000000" w:rsidRPr="00000000">
              <w:rPr>
                <w:sz w:val="20"/>
                <w:szCs w:val="20"/>
                <w:rtl w:val="0"/>
              </w:rPr>
              <w:t xml:space="preserve">September 2026</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7E">
            <w:pPr>
              <w:spacing w:after="0" w:line="250" w:lineRule="auto"/>
              <w:jc w:val="left"/>
              <w:rPr>
                <w:sz w:val="20"/>
                <w:szCs w:val="20"/>
              </w:rPr>
            </w:pPr>
            <w:r w:rsidDel="00000000" w:rsidR="00000000" w:rsidRPr="00000000">
              <w:rPr>
                <w:sz w:val="20"/>
                <w:szCs w:val="20"/>
                <w:rtl w:val="0"/>
              </w:rPr>
              <w:t xml:space="preserve">Phase 3</w:t>
            </w:r>
          </w:p>
        </w:tc>
        <w:tc>
          <w:tcPr>
            <w:tcMar>
              <w:top w:w="70.0" w:type="dxa"/>
              <w:left w:w="110.0" w:type="dxa"/>
              <w:bottom w:w="70.0" w:type="dxa"/>
              <w:right w:w="110.0" w:type="dxa"/>
            </w:tcMar>
          </w:tcPr>
          <w:p w:rsidR="00000000" w:rsidDel="00000000" w:rsidP="00000000" w:rsidRDefault="00000000" w:rsidRPr="00000000" w14:paraId="0000027F">
            <w:pPr>
              <w:spacing w:after="0" w:line="250" w:lineRule="auto"/>
              <w:jc w:val="left"/>
              <w:rPr>
                <w:sz w:val="20"/>
                <w:szCs w:val="20"/>
              </w:rPr>
            </w:pPr>
            <w:r w:rsidDel="00000000" w:rsidR="00000000" w:rsidRPr="00000000">
              <w:rPr>
                <w:sz w:val="20"/>
                <w:szCs w:val="20"/>
                <w:rtl w:val="0"/>
              </w:rPr>
              <w:t xml:space="preserve">Integration, joint display, writing of Chapters 4–5, submission</w:t>
            </w:r>
          </w:p>
        </w:tc>
        <w:tc>
          <w:tcPr>
            <w:tcMar>
              <w:top w:w="70.0" w:type="dxa"/>
              <w:left w:w="110.0" w:type="dxa"/>
              <w:bottom w:w="70.0" w:type="dxa"/>
              <w:right w:w="110.0" w:type="dxa"/>
            </w:tcMar>
          </w:tcPr>
          <w:p w:rsidR="00000000" w:rsidDel="00000000" w:rsidP="00000000" w:rsidRDefault="00000000" w:rsidRPr="00000000" w14:paraId="00000280">
            <w:pPr>
              <w:spacing w:after="0" w:line="250" w:lineRule="auto"/>
              <w:jc w:val="left"/>
              <w:rPr>
                <w:sz w:val="20"/>
                <w:szCs w:val="20"/>
              </w:rPr>
            </w:pPr>
            <w:r w:rsidDel="00000000" w:rsidR="00000000" w:rsidRPr="00000000">
              <w:rPr>
                <w:sz w:val="20"/>
                <w:szCs w:val="20"/>
                <w:rtl w:val="0"/>
              </w:rPr>
              <w:t xml:space="preserve">Week 12</w:t>
            </w:r>
          </w:p>
        </w:tc>
        <w:tc>
          <w:tcPr>
            <w:tcMar>
              <w:top w:w="70.0" w:type="dxa"/>
              <w:left w:w="110.0" w:type="dxa"/>
              <w:bottom w:w="70.0" w:type="dxa"/>
              <w:right w:w="110.0" w:type="dxa"/>
            </w:tcMar>
          </w:tcPr>
          <w:p w:rsidR="00000000" w:rsidDel="00000000" w:rsidP="00000000" w:rsidRDefault="00000000" w:rsidRPr="00000000" w14:paraId="00000281">
            <w:pPr>
              <w:spacing w:after="0" w:line="250" w:lineRule="auto"/>
              <w:jc w:val="left"/>
              <w:rPr>
                <w:sz w:val="20"/>
                <w:szCs w:val="20"/>
              </w:rPr>
            </w:pPr>
            <w:r w:rsidDel="00000000" w:rsidR="00000000" w:rsidRPr="00000000">
              <w:rPr>
                <w:sz w:val="20"/>
                <w:szCs w:val="20"/>
                <w:rtl w:val="0"/>
              </w:rPr>
              <w:t xml:space="preserve">September 2026</w:t>
              <w:br w:type="textWrapping"/>
            </w:r>
          </w:p>
        </w:tc>
      </w:tr>
    </w:tbl>
    <w:p w:rsidR="00000000" w:rsidDel="00000000" w:rsidP="00000000" w:rsidRDefault="00000000" w:rsidRPr="00000000" w14:paraId="00000282">
      <w:pPr>
        <w:spacing w:after="200" w:before="60" w:line="240" w:lineRule="auto"/>
        <w:jc w:val="left"/>
        <w:rPr>
          <w:i w:val="1"/>
          <w:iCs w:val="1"/>
          <w:sz w:val="20"/>
          <w:szCs w:val="20"/>
        </w:rPr>
      </w:pPr>
      <w:r w:rsidDel="00000000" w:rsidR="00000000" w:rsidRPr="00000000">
        <w:rPr>
          <w:i w:val="1"/>
          <w:iCs w:val="1"/>
          <w:sz w:val="20"/>
          <w:szCs w:val="20"/>
          <w:rtl w:val="0"/>
        </w:rPr>
        <w:t xml:space="preserve">Note. </w:t>
      </w:r>
      <w:r w:rsidDel="00000000" w:rsidR="00000000" w:rsidRPr="00000000">
        <w:rPr>
          <w:sz w:val="20"/>
          <w:szCs w:val="20"/>
          <w:rtl w:val="0"/>
        </w:rPr>
        <w:t xml:space="preserve">The twelve-week schedule reflects the time available for this dissertation. The implementation log is maintained continuously from Week 4 to Week 10 rather than in a discrete phase.</w:t>
      </w:r>
      <w:r w:rsidDel="00000000" w:rsidR="00000000" w:rsidRPr="00000000">
        <w:rPr>
          <w:rtl w:val="0"/>
        </w:rPr>
      </w:r>
    </w:p>
    <w:p w:rsidR="00000000" w:rsidDel="00000000" w:rsidP="00000000" w:rsidRDefault="00000000" w:rsidRPr="00000000" w14:paraId="00000283">
      <w:pPr>
        <w:pStyle w:val="Heading1"/>
        <w:pageBreakBefore w:val="1"/>
        <w:rPr/>
      </w:pPr>
      <w:r w:rsidDel="00000000" w:rsidR="00000000" w:rsidRPr="00000000">
        <w:rPr>
          <w:rtl w:val="0"/>
        </w:rPr>
        <w:t xml:space="preserve">REFERENCES</w:t>
      </w:r>
    </w:p>
    <w:p w:rsidR="00000000" w:rsidDel="00000000" w:rsidP="00000000" w:rsidRDefault="00000000" w:rsidRPr="00000000" w14:paraId="00000284">
      <w:pPr>
        <w:spacing w:after="240" w:lineRule="auto"/>
        <w:rPr/>
      </w:pPr>
      <w:r w:rsidDel="00000000" w:rsidR="00000000" w:rsidRPr="00000000">
        <w:rPr>
          <w:rtl w:val="0"/>
        </w:rPr>
        <w:t xml:space="preserve">All sources are formatted in accordance with the seventh edition of the Publication Manual of the American Psychological Association (American Psychological Association, 2020) and are listed alphabetically by author surname with a hanging indent of 0.5 inch. Entries in square brackets are placeholders to be replaced with the topic-specific sources cited in your own text; every in-text citation must appear here, and every entry here must be cited in the text.</w:t>
      </w:r>
    </w:p>
    <w:p w:rsidR="00000000" w:rsidDel="00000000" w:rsidP="00000000" w:rsidRDefault="00000000" w:rsidRPr="00000000" w14:paraId="00000285">
      <w:pPr>
        <w:spacing w:after="120" w:lineRule="auto"/>
        <w:ind w:left="720" w:hanging="720"/>
        <w:jc w:val="left"/>
        <w:rPr/>
      </w:pPr>
      <w:r w:rsidDel="00000000" w:rsidR="00000000" w:rsidRPr="00000000">
        <w:rPr>
          <w:rtl w:val="0"/>
        </w:rPr>
        <w:t xml:space="preserve">Ajzen, I. (1991). The theory of planned behavior. Organizational Behavior and Human Decision Processes, 50(2), 179–211. https://doi.org/10.1016/0749-5978(91)90020-T</w:t>
      </w:r>
    </w:p>
    <w:p w:rsidR="00000000" w:rsidDel="00000000" w:rsidP="00000000" w:rsidRDefault="00000000" w:rsidRPr="00000000" w14:paraId="00000286">
      <w:pPr>
        <w:spacing w:after="120" w:lineRule="auto"/>
        <w:ind w:left="720" w:hanging="720"/>
        <w:jc w:val="left"/>
        <w:rPr/>
      </w:pPr>
      <w:r w:rsidDel="00000000" w:rsidR="00000000" w:rsidRPr="00000000">
        <w:rPr>
          <w:rtl w:val="0"/>
        </w:rPr>
        <w:t xml:space="preserve">American Psychological Association. (2020). Publication manual of the American Psychological Association (7th ed.). https://doi.org/10.1037/0000165-000</w:t>
      </w:r>
    </w:p>
    <w:p w:rsidR="00000000" w:rsidDel="00000000" w:rsidP="00000000" w:rsidRDefault="00000000" w:rsidRPr="00000000" w14:paraId="00000287">
      <w:pPr>
        <w:spacing w:after="120" w:lineRule="auto"/>
        <w:ind w:left="720" w:hanging="720"/>
        <w:jc w:val="left"/>
        <w:rPr/>
      </w:pPr>
      <w:r w:rsidDel="00000000" w:rsidR="00000000" w:rsidRPr="00000000">
        <w:rPr>
          <w:rtl w:val="0"/>
        </w:rPr>
        <w:t xml:space="preserve">Begoug, M., Ouni, A., &amp; Chouchen, M. (2025). How do infrastructure-as-code practitioners update their dependencies? An empirical study on Terraform module updates. In Proceedings of the 2025 IEEE/ACM 22nd International Conference on Mining Software Repositories (MSR) (pp. 642–653). IEEE. https://doi.org/10.1109/MSR66628.2025.00100</w:t>
      </w:r>
    </w:p>
    <w:p w:rsidR="00000000" w:rsidDel="00000000" w:rsidP="00000000" w:rsidRDefault="00000000" w:rsidRPr="00000000" w14:paraId="00000288">
      <w:pPr>
        <w:spacing w:after="120" w:lineRule="auto"/>
        <w:ind w:left="720" w:hanging="720"/>
        <w:jc w:val="left"/>
        <w:rPr/>
      </w:pPr>
      <w:r w:rsidDel="00000000" w:rsidR="00000000" w:rsidRPr="00000000">
        <w:rPr>
          <w:rtl w:val="0"/>
        </w:rPr>
        <w:t xml:space="preserve">Braun, V., &amp; Clarke, V. (2006). Using thematic analysis in psychology. Qualitative Research in Psychology, 3(2), 77–101. https://doi.org/10.1191/1478088706qp063oa</w:t>
      </w:r>
    </w:p>
    <w:p w:rsidR="00000000" w:rsidDel="00000000" w:rsidP="00000000" w:rsidRDefault="00000000" w:rsidRPr="00000000" w14:paraId="00000289">
      <w:pPr>
        <w:spacing w:after="120" w:lineRule="auto"/>
        <w:ind w:left="720" w:hanging="720"/>
        <w:jc w:val="left"/>
        <w:rPr/>
      </w:pPr>
      <w:r w:rsidDel="00000000" w:rsidR="00000000" w:rsidRPr="00000000">
        <w:rPr>
          <w:rtl w:val="0"/>
        </w:rPr>
        <w:t xml:space="preserve">Braun, V., &amp; Clarke, V. (2021). One size fits all? What counts as quality practice in (reflexive) thematic analysis? Qualitative Research in Psychology, 18(3), 328–352. https://doi.org/10.1080/14780887.2020.1769238</w:t>
      </w:r>
    </w:p>
    <w:p w:rsidR="00000000" w:rsidDel="00000000" w:rsidP="00000000" w:rsidRDefault="00000000" w:rsidRPr="00000000" w14:paraId="0000028A">
      <w:pPr>
        <w:spacing w:after="120" w:lineRule="auto"/>
        <w:ind w:left="720" w:hanging="720"/>
        <w:jc w:val="left"/>
        <w:rPr/>
      </w:pPr>
      <w:r w:rsidDel="00000000" w:rsidR="00000000" w:rsidRPr="00000000">
        <w:rPr>
          <w:rtl w:val="0"/>
        </w:rPr>
        <w:t xml:space="preserve">Cohen, J. (1988). Statistical power analysis for the behavioral sciences (2nd ed.). Lawrence Erlbaum Associates.</w:t>
      </w:r>
    </w:p>
    <w:p w:rsidR="00000000" w:rsidDel="00000000" w:rsidP="00000000" w:rsidRDefault="00000000" w:rsidRPr="00000000" w14:paraId="0000028B">
      <w:pPr>
        <w:spacing w:after="120" w:lineRule="auto"/>
        <w:ind w:left="720" w:hanging="720"/>
        <w:jc w:val="left"/>
        <w:rPr/>
      </w:pPr>
      <w:r w:rsidDel="00000000" w:rsidR="00000000" w:rsidRPr="00000000">
        <w:rPr>
          <w:rtl w:val="0"/>
        </w:rPr>
        <w:t xml:space="preserve">Creswell, J. W., &amp; Plano Clark, V. L. (2018). Designing and conducting mixed methods research (3rd ed.). SAGE Publications.</w:t>
      </w:r>
    </w:p>
    <w:p w:rsidR="00000000" w:rsidDel="00000000" w:rsidP="00000000" w:rsidRDefault="00000000" w:rsidRPr="00000000" w14:paraId="0000028C">
      <w:pPr>
        <w:spacing w:after="120" w:lineRule="auto"/>
        <w:ind w:left="720" w:hanging="720"/>
        <w:jc w:val="left"/>
        <w:rPr/>
      </w:pPr>
      <w:r w:rsidDel="00000000" w:rsidR="00000000" w:rsidRPr="00000000">
        <w:rPr>
          <w:rtl w:val="0"/>
        </w:rPr>
        <w:t xml:space="preserve">Davis, F. D. (1989). Perceived usefulness, perceived ease of use, and user acceptance of information technology. MIS Quarterly, 13(3), 319–340. https://doi.org/10.2307/249008</w:t>
      </w:r>
    </w:p>
    <w:p w:rsidR="00000000" w:rsidDel="00000000" w:rsidP="00000000" w:rsidRDefault="00000000" w:rsidRPr="00000000" w14:paraId="0000028D">
      <w:pPr>
        <w:spacing w:after="120" w:lineRule="auto"/>
        <w:ind w:left="720" w:hanging="720"/>
        <w:jc w:val="left"/>
        <w:rPr/>
      </w:pPr>
      <w:r w:rsidDel="00000000" w:rsidR="00000000" w:rsidRPr="00000000">
        <w:rPr>
          <w:rtl w:val="0"/>
        </w:rPr>
        <w:t xml:space="preserve">Faul, F., Erdfelder, E., Lang, A.-G., &amp; Buchner, A. (2007). G*Power 3: A flexible statistical power analysis program for the social, behavioral, and biomedical sciences. Behavior Research Methods, 39(2), 175–191. https://doi.org/10.3758/BF03193146</w:t>
      </w:r>
    </w:p>
    <w:p w:rsidR="00000000" w:rsidDel="00000000" w:rsidP="00000000" w:rsidRDefault="00000000" w:rsidRPr="00000000" w14:paraId="0000028E">
      <w:pPr>
        <w:spacing w:after="120" w:lineRule="auto"/>
        <w:ind w:left="720" w:hanging="720"/>
        <w:jc w:val="left"/>
        <w:rPr/>
      </w:pPr>
      <w:r w:rsidDel="00000000" w:rsidR="00000000" w:rsidRPr="00000000">
        <w:rPr>
          <w:rtl w:val="0"/>
        </w:rPr>
        <w:t xml:space="preserve">Fetters, M. D., Curry, L. A., &amp; Creswell, J. W. (2013). Achieving integration in mixed methods designs: Principles and practices. Health Services Research, 48(6pt2), 2134–2156. https://doi.org/10.1111/1475-6773.12117</w:t>
      </w:r>
    </w:p>
    <w:p w:rsidR="00000000" w:rsidDel="00000000" w:rsidP="00000000" w:rsidRDefault="00000000" w:rsidRPr="00000000" w14:paraId="0000028F">
      <w:pPr>
        <w:spacing w:after="120" w:lineRule="auto"/>
        <w:ind w:left="720" w:hanging="720"/>
        <w:jc w:val="left"/>
        <w:rPr/>
      </w:pPr>
      <w:r w:rsidDel="00000000" w:rsidR="00000000" w:rsidRPr="00000000">
        <w:rPr>
          <w:rtl w:val="0"/>
        </w:rPr>
        <w:t xml:space="preserve">Field, A. (2018). Discovering statistics using IBM SPSS Statistics (5th ed.). SAGE Publications.</w:t>
      </w:r>
    </w:p>
    <w:p w:rsidR="00000000" w:rsidDel="00000000" w:rsidP="00000000" w:rsidRDefault="00000000" w:rsidRPr="00000000" w14:paraId="00000290">
      <w:pPr>
        <w:spacing w:after="120" w:lineRule="auto"/>
        <w:ind w:left="720" w:hanging="720"/>
        <w:jc w:val="left"/>
        <w:rPr/>
      </w:pPr>
      <w:r w:rsidDel="00000000" w:rsidR="00000000" w:rsidRPr="00000000">
        <w:rPr>
          <w:rtl w:val="0"/>
        </w:rPr>
        <w:t xml:space="preserve">Fusch, P. I., &amp; Ness, L. R. (2015). Are we there yet? Data saturation in qualitative research. The Qualitative Report, 20(9), 1408–1416. https://doi.org/10.46743/2160-3715/2015.2281</w:t>
      </w:r>
    </w:p>
    <w:p w:rsidR="00000000" w:rsidDel="00000000" w:rsidP="00000000" w:rsidRDefault="00000000" w:rsidRPr="00000000" w14:paraId="00000291">
      <w:pPr>
        <w:spacing w:after="120" w:lineRule="auto"/>
        <w:ind w:left="720" w:hanging="720"/>
        <w:jc w:val="left"/>
        <w:rPr/>
      </w:pPr>
      <w:r w:rsidDel="00000000" w:rsidR="00000000" w:rsidRPr="00000000">
        <w:rPr>
          <w:rtl w:val="0"/>
        </w:rPr>
        <w:t xml:space="preserve">Guba, E. G., &amp; Lincoln, Y. S. (1994). Competing paradigms in qualitative research. In N. K. Denzin &amp; Y. S. Lincoln (Eds.), Handbook of qualitative research (pp. 105–117). SAGE Publications.</w:t>
      </w:r>
    </w:p>
    <w:p w:rsidR="00000000" w:rsidDel="00000000" w:rsidP="00000000" w:rsidRDefault="00000000" w:rsidRPr="00000000" w14:paraId="00000292">
      <w:pPr>
        <w:spacing w:after="120" w:lineRule="auto"/>
        <w:ind w:left="720" w:hanging="720"/>
        <w:jc w:val="left"/>
        <w:rPr/>
      </w:pPr>
      <w:r w:rsidDel="00000000" w:rsidR="00000000" w:rsidRPr="00000000">
        <w:rPr>
          <w:rtl w:val="0"/>
        </w:rPr>
        <w:t xml:space="preserve">Guerriero, M., Garriga, M., Tamburri, D. A., &amp; Palomba, F. (2019). Adoption, support, and challenges of infrastructure-as-code: Insights from industry. In Proceedings of the IEEE International Conference on Software Maintenance and Evolution (ICSME) (pp. 580–589). IEEE. https://doi.org/10.1109/ICSME.2019.00092</w:t>
      </w:r>
    </w:p>
    <w:p w:rsidR="00000000" w:rsidDel="00000000" w:rsidP="00000000" w:rsidRDefault="00000000" w:rsidRPr="00000000" w14:paraId="00000293">
      <w:pPr>
        <w:spacing w:after="120" w:lineRule="auto"/>
        <w:ind w:left="720" w:hanging="720"/>
        <w:jc w:val="left"/>
        <w:rPr/>
      </w:pPr>
      <w:r w:rsidDel="00000000" w:rsidR="00000000" w:rsidRPr="00000000">
        <w:rPr>
          <w:rtl w:val="0"/>
        </w:rPr>
        <w:t xml:space="preserve">Guest, G., Bunce, A., &amp; Johnson, L. (2006). How many interviews are enough? An experiment with data saturation and variability. Field Methods, 18(1), 59–82. https://doi.org/10.1177/1525822X05279903</w:t>
      </w:r>
    </w:p>
    <w:p w:rsidR="00000000" w:rsidDel="00000000" w:rsidP="00000000" w:rsidRDefault="00000000" w:rsidRPr="00000000" w14:paraId="00000294">
      <w:pPr>
        <w:spacing w:after="120" w:lineRule="auto"/>
        <w:ind w:left="720" w:hanging="720"/>
        <w:jc w:val="left"/>
        <w:rPr/>
      </w:pPr>
      <w:r w:rsidDel="00000000" w:rsidR="00000000" w:rsidRPr="00000000">
        <w:rPr>
          <w:rtl w:val="0"/>
        </w:rPr>
        <w:t xml:space="preserve">Hilton, M., Tunnell, T., Huang, K., Marinov, D., &amp; Dig, D. (2016). Usage, costs, and benefits of continuous integration in open-source projects. In Proceedings of the 31st IEEE/ACM International Conference on Automated Software Engineering (ASE) (pp. 426–437). ACM. https://doi.org/10.1145/2970276.2970358</w:t>
      </w:r>
    </w:p>
    <w:p w:rsidR="00000000" w:rsidDel="00000000" w:rsidP="00000000" w:rsidRDefault="00000000" w:rsidRPr="00000000" w14:paraId="00000295">
      <w:pPr>
        <w:spacing w:after="120" w:lineRule="auto"/>
        <w:ind w:left="720" w:hanging="720"/>
        <w:jc w:val="left"/>
        <w:rPr/>
      </w:pPr>
      <w:r w:rsidDel="00000000" w:rsidR="00000000" w:rsidRPr="00000000">
        <w:rPr>
          <w:rtl w:val="0"/>
        </w:rPr>
        <w:t xml:space="preserve">Johnson, R. B., &amp; Onwuegbuzie, A. J. (2004). Mixed methods research: A research paradigm whose time has come. Educational Researcher, 33(7), 14–26. https://doi.org/10.3102/0013189X033007014</w:t>
      </w:r>
    </w:p>
    <w:p w:rsidR="00000000" w:rsidDel="00000000" w:rsidP="00000000" w:rsidRDefault="00000000" w:rsidRPr="00000000" w14:paraId="00000296">
      <w:pPr>
        <w:spacing w:after="120" w:lineRule="auto"/>
        <w:ind w:left="720" w:hanging="720"/>
        <w:jc w:val="left"/>
        <w:rPr/>
      </w:pPr>
      <w:r w:rsidDel="00000000" w:rsidR="00000000" w:rsidRPr="00000000">
        <w:rPr>
          <w:rtl w:val="0"/>
        </w:rPr>
        <w:t xml:space="preserve">Kumara, I., Garriga, M., Romeu, A. U., Di Nucci, D., Palomba, F., Tamburri, D. A., &amp; van den Heuvel, W.-J. (2021). The do's and don'ts of infrastructure code: A systematic gray literature review. Information and Software Technology, 137, 106593. https://doi.org/10.1016/j.infsof.2021.106593</w:t>
      </w:r>
    </w:p>
    <w:p w:rsidR="00000000" w:rsidDel="00000000" w:rsidP="00000000" w:rsidRDefault="00000000" w:rsidRPr="00000000" w14:paraId="00000297">
      <w:pPr>
        <w:spacing w:after="120" w:lineRule="auto"/>
        <w:ind w:left="720" w:hanging="720"/>
        <w:jc w:val="left"/>
        <w:rPr/>
      </w:pPr>
      <w:r w:rsidDel="00000000" w:rsidR="00000000" w:rsidRPr="00000000">
        <w:rPr>
          <w:rtl w:val="0"/>
        </w:rPr>
        <w:t xml:space="preserve">Lincoln, Y. S., &amp; Guba, E. G. (1985). Naturalistic inquiry. SAGE Publications.</w:t>
      </w:r>
    </w:p>
    <w:p w:rsidR="00000000" w:rsidDel="00000000" w:rsidP="00000000" w:rsidRDefault="00000000" w:rsidRPr="00000000" w14:paraId="00000298">
      <w:pPr>
        <w:spacing w:after="120" w:lineRule="auto"/>
        <w:ind w:left="720" w:hanging="720"/>
        <w:jc w:val="left"/>
        <w:rPr/>
      </w:pPr>
      <w:r w:rsidDel="00000000" w:rsidR="00000000" w:rsidRPr="00000000">
        <w:rPr>
          <w:rtl w:val="0"/>
        </w:rPr>
        <w:t xml:space="preserve">Morse, J. M. (2015). Critical analysis of strategies for determining rigor in qualitative inquiry. Qualitative Health Research, 25(9), 1212–1222. https://doi.org/10.1177/1049732315588501</w:t>
      </w:r>
    </w:p>
    <w:p w:rsidR="00000000" w:rsidDel="00000000" w:rsidP="00000000" w:rsidRDefault="00000000" w:rsidRPr="00000000" w14:paraId="00000299">
      <w:pPr>
        <w:spacing w:after="120" w:lineRule="auto"/>
        <w:ind w:left="720" w:hanging="720"/>
        <w:jc w:val="left"/>
        <w:rPr/>
      </w:pPr>
      <w:r w:rsidDel="00000000" w:rsidR="00000000" w:rsidRPr="00000000">
        <w:rPr>
          <w:rtl w:val="0"/>
        </w:rPr>
        <w:t xml:space="preserve">Nowell, L. S., Norris, J. M., White, D. E., &amp; Moules, N. J. (2017). Thematic analysis: Striving to meet the trustworthiness criteria. International Journal of Qualitative Methods, 16(1), 1–13. https://doi.org/10.1177/1609406917733847</w:t>
      </w:r>
    </w:p>
    <w:p w:rsidR="00000000" w:rsidDel="00000000" w:rsidP="00000000" w:rsidRDefault="00000000" w:rsidRPr="00000000" w14:paraId="0000029A">
      <w:pPr>
        <w:spacing w:after="120" w:lineRule="auto"/>
        <w:ind w:left="720" w:hanging="720"/>
        <w:jc w:val="left"/>
        <w:rPr/>
      </w:pPr>
      <w:r w:rsidDel="00000000" w:rsidR="00000000" w:rsidRPr="00000000">
        <w:rPr>
          <w:rtl w:val="0"/>
        </w:rPr>
        <w:t xml:space="preserve">Page, M. J., McKenzie, J. E., Bossuyt, P. M., Boutron, I., Hoffmann, T. C., Mulrow, C. D., Shamseer, L., Tetzlaff, J. M., Akl, E. A., Brennan, S. E., Chou, R., Glanville, J., Grimshaw, J. M., Hróbjartsson, A., Lalu, M. M., Li, T., Loder, E. W., Mayo-Wilson, E., McDonald, S., … Moher, D. (2021). The PRISMA 2020 statement: An updated guideline for reporting systematic reviews. BMJ, 372, n71. https://doi.org/10.1136/bmj.n71</w:t>
      </w:r>
    </w:p>
    <w:p w:rsidR="00000000" w:rsidDel="00000000" w:rsidP="00000000" w:rsidRDefault="00000000" w:rsidRPr="00000000" w14:paraId="0000029B">
      <w:pPr>
        <w:spacing w:after="120" w:lineRule="auto"/>
        <w:ind w:left="720" w:hanging="720"/>
        <w:jc w:val="left"/>
        <w:rPr/>
      </w:pPr>
      <w:r w:rsidDel="00000000" w:rsidR="00000000" w:rsidRPr="00000000">
        <w:rPr>
          <w:rtl w:val="0"/>
        </w:rPr>
        <w:t xml:space="preserve">Podsakoff, P. M., MacKenzie, S. B., Lee, J.-Y., &amp; Podsakoff, N. P. (2003). Common method biases in behavioral research: A critical review of the literature and recommended remedies. Journal of Applied Psychology, 88(5), 879–903. https://doi.org/10.1037/0021-9010.88.5.879</w:t>
      </w:r>
    </w:p>
    <w:p w:rsidR="00000000" w:rsidDel="00000000" w:rsidP="00000000" w:rsidRDefault="00000000" w:rsidRPr="00000000" w14:paraId="0000029C">
      <w:pPr>
        <w:spacing w:after="120" w:lineRule="auto"/>
        <w:ind w:left="720" w:hanging="720"/>
        <w:jc w:val="left"/>
        <w:rPr/>
      </w:pPr>
      <w:r w:rsidDel="00000000" w:rsidR="00000000" w:rsidRPr="00000000">
        <w:rPr>
          <w:rtl w:val="0"/>
        </w:rPr>
        <w:t xml:space="preserve">Regvart, D., Vlahović, I., &amp; Balković, M. (2026). A controlled comparative evaluation of infrastructure as code tools: Deployment performance and maintainability across Terraform, Pulumi, and AWS CloudFormation. Applied Sciences, 16(6), 2971. https://doi.org/10.3390/app16062971</w:t>
      </w:r>
    </w:p>
    <w:p w:rsidR="00000000" w:rsidDel="00000000" w:rsidP="00000000" w:rsidRDefault="00000000" w:rsidRPr="00000000" w14:paraId="0000029D">
      <w:pPr>
        <w:spacing w:after="120" w:lineRule="auto"/>
        <w:ind w:left="720" w:hanging="720"/>
        <w:jc w:val="left"/>
        <w:rPr/>
      </w:pPr>
      <w:r w:rsidDel="00000000" w:rsidR="00000000" w:rsidRPr="00000000">
        <w:rPr>
          <w:rtl w:val="0"/>
        </w:rPr>
        <w:t xml:space="preserve">Rogers, E. M. (2003). Diffusion of innovations (5th ed.). Free Press.</w:t>
      </w:r>
    </w:p>
    <w:p w:rsidR="00000000" w:rsidDel="00000000" w:rsidP="00000000" w:rsidRDefault="00000000" w:rsidRPr="00000000" w14:paraId="0000029E">
      <w:pPr>
        <w:spacing w:after="120" w:lineRule="auto"/>
        <w:ind w:left="720" w:hanging="720"/>
        <w:jc w:val="left"/>
        <w:rPr/>
      </w:pPr>
      <w:r w:rsidDel="00000000" w:rsidR="00000000" w:rsidRPr="00000000">
        <w:rPr>
          <w:rtl w:val="0"/>
        </w:rPr>
        <w:t xml:space="preserve">Rostami Mazrae, P., Mens, T., Golzadeh, M., &amp; Decan, A. (2023). On the usage, co-usage and migration of CI/CD tools: A qualitative analysis. Empirical Software Engineering, 28(2), 52. https://doi.org/10.1007/s10664-022-10285-5</w:t>
      </w:r>
    </w:p>
    <w:p w:rsidR="00000000" w:rsidDel="00000000" w:rsidP="00000000" w:rsidRDefault="00000000" w:rsidRPr="00000000" w14:paraId="0000029F">
      <w:pPr>
        <w:spacing w:after="120" w:lineRule="auto"/>
        <w:ind w:left="720" w:hanging="720"/>
        <w:jc w:val="left"/>
        <w:rPr/>
      </w:pPr>
      <w:r w:rsidDel="00000000" w:rsidR="00000000" w:rsidRPr="00000000">
        <w:rPr>
          <w:rtl w:val="0"/>
        </w:rPr>
        <w:t xml:space="preserve">Saldaña, J. (2021). The coding manual for qualitative researchers (4th ed.). SAGE Publications.</w:t>
      </w:r>
    </w:p>
    <w:p w:rsidR="00000000" w:rsidDel="00000000" w:rsidP="00000000" w:rsidRDefault="00000000" w:rsidRPr="00000000" w14:paraId="000002A0">
      <w:pPr>
        <w:spacing w:after="120" w:lineRule="auto"/>
        <w:ind w:left="720" w:hanging="720"/>
        <w:jc w:val="left"/>
        <w:rPr/>
      </w:pPr>
      <w:r w:rsidDel="00000000" w:rsidR="00000000" w:rsidRPr="00000000">
        <w:rPr>
          <w:rtl w:val="0"/>
        </w:rPr>
        <w:t xml:space="preserve">Saunders, M., Lewis, P., &amp; Thornhill, A. (2019). Research methods for business students (8th ed.). Pearson Education.</w:t>
      </w:r>
    </w:p>
    <w:p w:rsidR="00000000" w:rsidDel="00000000" w:rsidP="00000000" w:rsidRDefault="00000000" w:rsidRPr="00000000" w14:paraId="000002A1">
      <w:pPr>
        <w:spacing w:after="120" w:lineRule="auto"/>
        <w:ind w:left="720" w:hanging="720"/>
        <w:jc w:val="left"/>
        <w:rPr/>
      </w:pPr>
      <w:r w:rsidDel="00000000" w:rsidR="00000000" w:rsidRPr="00000000">
        <w:rPr>
          <w:rtl w:val="0"/>
        </w:rPr>
        <w:t xml:space="preserve">Venkatesh, V., Morris, M. G., Davis, G. B., &amp; Davis, F. D. (2003). User acceptance of information technology: Toward a unified view. MIS Quarterly, 27(3), 425–478. https://doi.org/10.2307/30036540</w:t>
      </w:r>
    </w:p>
    <w:p w:rsidR="00000000" w:rsidDel="00000000" w:rsidP="00000000" w:rsidRDefault="00000000" w:rsidRPr="00000000" w14:paraId="000002A2">
      <w:pPr>
        <w:spacing w:after="120" w:lineRule="auto"/>
        <w:ind w:left="720" w:hanging="720"/>
        <w:jc w:val="left"/>
        <w:rPr/>
      </w:pPr>
      <w:r w:rsidDel="00000000" w:rsidR="00000000" w:rsidRPr="00000000">
        <w:rPr>
          <w:rtl w:val="0"/>
        </w:rPr>
        <w:t xml:space="preserve">Verdet, A., Hamdaqa, M., Da Silva, L., &amp; Khomh, F. (2025). Assessing the adoption of security policies by developers in Terraform across different cloud providers. Empirical Software Engineering, 30(3), 74. https://doi.org/10.1007/s10664-024-10610-0</w:t>
      </w:r>
    </w:p>
    <w:p w:rsidR="00000000" w:rsidDel="00000000" w:rsidP="00000000" w:rsidRDefault="00000000" w:rsidRPr="00000000" w14:paraId="000002A3">
      <w:pPr>
        <w:spacing w:after="120" w:lineRule="auto"/>
        <w:ind w:left="720" w:hanging="720"/>
        <w:jc w:val="left"/>
        <w:rPr/>
      </w:pPr>
      <w:r w:rsidDel="00000000" w:rsidR="00000000" w:rsidRPr="00000000">
        <w:rPr>
          <w:rtl w:val="0"/>
        </w:rPr>
        <w:t xml:space="preserve">Villamizar, M., Garcés, O., Ochoa, L., Castro, H., Salamanca, L., Verano, M., Casallas, R., Gil, S., Valencia, C., Zambrano, A., &amp; Lang, M. (2017). Cost comparison of running web applications in the cloud using monolithic, microservice, and AWS Lambda architectures. Service Oriented Computing and Applications, 11(2), 233–247. https://doi.org/10.1007/s11761-017-0208-y</w:t>
      </w:r>
    </w:p>
    <w:p w:rsidR="00000000" w:rsidDel="00000000" w:rsidP="00000000" w:rsidRDefault="00000000" w:rsidRPr="00000000" w14:paraId="000002A4">
      <w:pPr>
        <w:spacing w:after="120" w:lineRule="auto"/>
        <w:ind w:left="720" w:hanging="720"/>
        <w:jc w:val="left"/>
        <w:rPr/>
      </w:pPr>
      <w:r w:rsidDel="00000000" w:rsidR="00000000" w:rsidRPr="00000000">
        <w:rPr>
          <w:rtl w:val="0"/>
        </w:rPr>
        <w:t xml:space="preserve">Webster, J., &amp; Watson, R. T. (2002). Analyzing the past to prepare for the future: Writing a literature review. MIS Quarterly, 26(2), xiii–xxiii.</w:t>
      </w:r>
    </w:p>
    <w:p w:rsidR="00000000" w:rsidDel="00000000" w:rsidP="00000000" w:rsidRDefault="00000000" w:rsidRPr="00000000" w14:paraId="000002A5">
      <w:pPr>
        <w:pStyle w:val="Heading1"/>
        <w:pageBreakBefore w:val="1"/>
        <w:rPr/>
      </w:pPr>
      <w:r w:rsidDel="00000000" w:rsidR="00000000" w:rsidRPr="00000000">
        <w:rPr>
          <w:rtl w:val="0"/>
        </w:rPr>
        <w:t xml:space="preserve">APPENDICES</w:t>
      </w:r>
    </w:p>
    <w:p w:rsidR="00000000" w:rsidDel="00000000" w:rsidP="00000000" w:rsidRDefault="00000000" w:rsidRPr="00000000" w14:paraId="000002A6">
      <w:pPr>
        <w:pStyle w:val="Heading2"/>
        <w:keepNext w:val="1"/>
        <w:rPr/>
      </w:pPr>
      <w:r w:rsidDel="00000000" w:rsidR="00000000" w:rsidRPr="00000000">
        <w:rPr>
          <w:rtl w:val="0"/>
        </w:rPr>
        <w:t xml:space="preserve">Appendix A: Component Inventory Template</w:t>
      </w:r>
    </w:p>
    <w:p w:rsidR="00000000" w:rsidDel="00000000" w:rsidP="00000000" w:rsidRDefault="00000000" w:rsidRPr="00000000" w14:paraId="000002A7">
      <w:pPr>
        <w:rPr/>
      </w:pPr>
      <w:r w:rsidDel="00000000" w:rsidR="00000000" w:rsidRPr="00000000">
        <w:rPr>
          <w:rtl w:val="0"/>
        </w:rPr>
        <w:t xml:space="preserve">A table listing every AWS component in the target architecture, with columns for component type, identifier placeholder, environment, provisioning method before the study, codification status after the study (fully defined, partially defined, not defined) and notes. To be completed under Objective 1 and reported in Chapter 4.</w:t>
      </w:r>
    </w:p>
    <w:p w:rsidR="00000000" w:rsidDel="00000000" w:rsidP="00000000" w:rsidRDefault="00000000" w:rsidRPr="00000000" w14:paraId="000002A8">
      <w:pPr>
        <w:pStyle w:val="Heading2"/>
        <w:keepNext w:val="1"/>
        <w:rPr/>
      </w:pPr>
      <w:r w:rsidDel="00000000" w:rsidR="00000000" w:rsidRPr="00000000">
        <w:rPr>
          <w:rtl w:val="0"/>
        </w:rPr>
        <w:t xml:space="preserve">Appendix B: Implementation Log Template</w:t>
      </w:r>
    </w:p>
    <w:p w:rsidR="00000000" w:rsidDel="00000000" w:rsidP="00000000" w:rsidRDefault="00000000" w:rsidRPr="00000000" w14:paraId="000002A9">
      <w:pPr>
        <w:spacing w:after="100" w:lineRule="auto"/>
        <w:rPr/>
      </w:pPr>
      <w:r w:rsidDel="00000000" w:rsidR="00000000" w:rsidRPr="00000000">
        <w:rPr>
          <w:rtl w:val="0"/>
        </w:rPr>
        <w:t xml:space="preserve">A table with columns for date and time, component or pipeline stage, what was attempted, what happened, how it was resolved, time taken to resolve, and whether the problem was anticipated from the literature reviewed in Chapter 2.</w:t>
      </w:r>
    </w:p>
    <w:p w:rsidR="00000000" w:rsidDel="00000000" w:rsidP="00000000" w:rsidRDefault="00000000" w:rsidRPr="00000000" w14:paraId="000002AA">
      <w:pPr>
        <w:pStyle w:val="Heading2"/>
        <w:keepNext w:val="1"/>
        <w:rPr/>
      </w:pPr>
      <w:r w:rsidDel="00000000" w:rsidR="00000000" w:rsidRPr="00000000">
        <w:rPr>
          <w:rtl w:val="0"/>
        </w:rPr>
        <w:t xml:space="preserve">Appendix C: Measurement Scripts</w:t>
      </w:r>
    </w:p>
    <w:p w:rsidR="00000000" w:rsidDel="00000000" w:rsidP="00000000" w:rsidRDefault="00000000" w:rsidRPr="00000000" w14:paraId="000002AB">
      <w:pPr>
        <w:rPr/>
      </w:pPr>
      <w:r w:rsidDel="00000000" w:rsidR="00000000" w:rsidRPr="00000000">
        <w:rPr>
          <w:rtl w:val="0"/>
        </w:rPr>
        <w:t xml:space="preserve">The shell script used to record stage timings, the inventory comparison script used to measure configuration drift, and the Python analysis scripts. To be included in full at submission and published in the project repository.</w:t>
      </w:r>
    </w:p>
    <w:p w:rsidR="00000000" w:rsidDel="00000000" w:rsidP="00000000" w:rsidRDefault="00000000" w:rsidRPr="00000000" w14:paraId="000002AC">
      <w:pPr>
        <w:pStyle w:val="Heading2"/>
        <w:keepNext w:val="1"/>
        <w:rPr/>
      </w:pPr>
      <w:r w:rsidDel="00000000" w:rsidR="00000000" w:rsidRPr="00000000">
        <w:rPr>
          <w:rtl w:val="0"/>
        </w:rPr>
        <w:t xml:space="preserve">Appendix D: Institutional Approval</w:t>
      </w:r>
    </w:p>
    <w:p w:rsidR="00000000" w:rsidDel="00000000" w:rsidP="00000000" w:rsidRDefault="00000000" w:rsidRPr="00000000" w14:paraId="000002AD">
      <w:pPr>
        <w:rPr/>
      </w:pPr>
      <w:r w:rsidDel="00000000" w:rsidR="00000000" w:rsidRPr="00000000">
        <w:rPr>
          <w:rtl w:val="0"/>
        </w:rPr>
        <w:t xml:space="preserve">Confirmation from the relevant University of Puthisastra committee regarding the ethical status of the study, and the written permission of the case organisation to use its architecture and to create an isolated AWS account for the purpose.</w:t>
      </w:r>
    </w:p>
    <w:p w:rsidR="00000000" w:rsidDel="00000000" w:rsidP="00000000" w:rsidRDefault="00000000" w:rsidRPr="00000000" w14:paraId="000002AE">
      <w:pPr>
        <w:pStyle w:val="Heading2"/>
        <w:spacing w:before="300" w:line="240" w:lineRule="auto"/>
        <w:rPr/>
      </w:pPr>
      <w:bookmarkStart w:colFirst="0" w:colLast="0" w:name="_heading=h.w2l5g3whljoi" w:id="0"/>
      <w:bookmarkEnd w:id="0"/>
      <w:r w:rsidDel="00000000" w:rsidR="00000000" w:rsidRPr="00000000">
        <w:rPr>
          <w:color w:val="1f4e79"/>
          <w:rtl w:val="0"/>
        </w:rPr>
        <w:t xml:space="preserve">Appendix E: Research Timeline</w:t>
      </w:r>
      <w:r w:rsidDel="00000000" w:rsidR="00000000" w:rsidRPr="00000000">
        <w:rPr>
          <w:rtl w:val="0"/>
        </w:rPr>
      </w:r>
    </w:p>
    <w:p w:rsidR="00000000" w:rsidDel="00000000" w:rsidP="00000000" w:rsidRDefault="00000000" w:rsidRPr="00000000" w14:paraId="000002AF">
      <w:pPr>
        <w:spacing w:line="300" w:lineRule="auto"/>
        <w:jc w:val="left"/>
        <w:rPr/>
      </w:pPr>
      <w:r w:rsidDel="00000000" w:rsidR="00000000" w:rsidRPr="00000000">
        <w:rPr>
          <w:sz w:val="22"/>
          <w:szCs w:val="22"/>
          <w:rtl w:val="0"/>
        </w:rPr>
        <w:t xml:space="preserve">As presented in Table 3.5.</w:t>
      </w:r>
      <w:r w:rsidDel="00000000" w:rsidR="00000000" w:rsidRPr="00000000">
        <w:rPr>
          <w:rtl w:val="0"/>
        </w:rPr>
      </w:r>
    </w:p>
    <w:p w:rsidR="00000000" w:rsidDel="00000000" w:rsidP="00000000" w:rsidRDefault="00000000" w:rsidRPr="00000000" w14:paraId="000002B0">
      <w:pPr>
        <w:pStyle w:val="Heading2"/>
        <w:keepNext w:val="1"/>
        <w:rPr/>
      </w:pPr>
      <w:r w:rsidDel="00000000" w:rsidR="00000000" w:rsidRPr="00000000">
        <w:rPr>
          <w:rtl w:val="0"/>
        </w:rPr>
        <w:t xml:space="preserve">Appendix F: Notes on Using This Template</w:t>
      </w:r>
    </w:p>
    <w:p w:rsidR="00000000" w:rsidDel="00000000" w:rsidP="00000000" w:rsidRDefault="00000000" w:rsidRPr="00000000" w14:paraId="000002B1">
      <w:pPr>
        <w:spacing w:after="140" w:lineRule="auto"/>
        <w:rPr/>
      </w:pPr>
      <w:r w:rsidDel="00000000" w:rsidR="00000000" w:rsidRPr="00000000">
        <w:rPr>
          <w:rtl w:val="0"/>
        </w:rPr>
        <w:t xml:space="preserve">This document is a structural template. Every item in square brackets is a placeholder to be replaced with the specifics of your own study. Work through it in the following order.</w:t>
      </w:r>
    </w:p>
    <w:p w:rsidR="00000000" w:rsidDel="00000000" w:rsidP="00000000" w:rsidRDefault="00000000" w:rsidRPr="00000000" w14:paraId="000002B2">
      <w:pPr>
        <w:spacing w:after="100" w:lineRule="auto"/>
        <w:ind w:left="360" w:firstLine="0"/>
        <w:rPr/>
      </w:pPr>
      <w:r w:rsidDel="00000000" w:rsidR="00000000" w:rsidRPr="00000000">
        <w:rPr>
          <w:rtl w:val="0"/>
        </w:rPr>
        <w:t xml:space="preserve">1. Fix the topic first. Replace [TOPIC], [DEPENDENT VARIABLE], the independent variables and [PROPOSED ADDITIONAL CONSTRUCT] consistently throughout, using Word's Find and Replace (Ctrl+H / Cmd+Shift+H). The same construct must be named identically in Chapter 1, the framework in Section 2.9, the hypotheses in Table 2.2 and the instrument in Table 3.2, or the examiner will read the chapters as disconnected.</w:t>
      </w:r>
    </w:p>
    <w:p w:rsidR="00000000" w:rsidDel="00000000" w:rsidP="00000000" w:rsidRDefault="00000000" w:rsidRPr="00000000" w14:paraId="000002B3">
      <w:pPr>
        <w:spacing w:after="100" w:lineRule="auto"/>
        <w:ind w:left="360" w:firstLine="0"/>
        <w:rPr/>
      </w:pPr>
      <w:r w:rsidDel="00000000" w:rsidR="00000000" w:rsidRPr="00000000">
        <w:rPr>
          <w:rtl w:val="0"/>
        </w:rPr>
        <w:t xml:space="preserve">2. Replace the cover logo. Right-click the placeholder image on the cover page, choose Change Picture, and insert the official University of Puthisastra logo downloaded from the university website. The image frame is already sized and centred, so the layout will not shift.</w:t>
      </w:r>
    </w:p>
    <w:p w:rsidR="00000000" w:rsidDel="00000000" w:rsidP="00000000" w:rsidRDefault="00000000" w:rsidRPr="00000000" w14:paraId="000002B4">
      <w:pPr>
        <w:spacing w:after="100" w:lineRule="auto"/>
        <w:ind w:left="360" w:firstLine="0"/>
        <w:rPr/>
      </w:pPr>
      <w:r w:rsidDel="00000000" w:rsidR="00000000" w:rsidRPr="00000000">
        <w:rPr>
          <w:rtl w:val="0"/>
        </w:rPr>
        <w:t xml:space="preserve">3. Populate the literature. The methodology sources in the reference list are real and may be cited as they stand. Every citation formatted as [Author, Year] must be replaced with an actual source that you have read, and each of those sources must be added to the reference list. Table 2.1 should hold eight to twelve genuine studies.</w:t>
      </w:r>
    </w:p>
    <w:p w:rsidR="00000000" w:rsidDel="00000000" w:rsidP="00000000" w:rsidRDefault="00000000" w:rsidRPr="00000000" w14:paraId="000002B5">
      <w:pPr>
        <w:spacing w:after="100" w:lineRule="auto"/>
        <w:ind w:left="360" w:firstLine="0"/>
        <w:rPr/>
      </w:pPr>
      <w:r w:rsidDel="00000000" w:rsidR="00000000" w:rsidRPr="00000000">
        <w:rPr>
          <w:rtl w:val="0"/>
        </w:rPr>
        <w:t xml:space="preserve">4. Choose within the alternatives. Where the text offers options separated by a slash, such as [multiple regression / PLS-SEM] or [mediates / moderates], delete the alternatives you are not using. Leaving both signals an undecided design.</w:t>
      </w:r>
    </w:p>
    <w:p w:rsidR="00000000" w:rsidDel="00000000" w:rsidP="00000000" w:rsidRDefault="00000000" w:rsidRPr="00000000" w14:paraId="000002B6">
      <w:pPr>
        <w:spacing w:after="100" w:lineRule="auto"/>
        <w:ind w:left="360" w:firstLine="0"/>
        <w:rPr/>
      </w:pPr>
      <w:r w:rsidDel="00000000" w:rsidR="00000000" w:rsidRPr="00000000">
        <w:rPr>
          <w:rtl w:val="0"/>
        </w:rPr>
        <w:t xml:space="preserve">5. Update the table of contents. Right-click the table of contents on page iv and choose Update Field, then Update the entire table, once the document is final.</w:t>
      </w:r>
    </w:p>
    <w:p w:rsidR="00000000" w:rsidDel="00000000" w:rsidP="00000000" w:rsidRDefault="00000000" w:rsidRPr="00000000" w14:paraId="000002B7">
      <w:pPr>
        <w:ind w:left="360" w:firstLine="0"/>
        <w:rPr/>
      </w:pPr>
      <w:r w:rsidDel="00000000" w:rsidR="00000000" w:rsidRPr="00000000">
        <w:rPr>
          <w:rtl w:val="0"/>
        </w:rPr>
        <w:t xml:space="preserve">6. Check the chain of logic before submission. The problem in Section 1.2 should generate the questions in Section 1.6; the gap in Section 2.8 should follow from the critical discussion in Section 2.7; and every research question should have a row in Table 3.1 showing how it will be answered. Examiners check this chain first.</w:t>
      </w:r>
    </w:p>
    <w:p w:rsidR="00000000" w:rsidDel="00000000" w:rsidP="00000000" w:rsidRDefault="00000000" w:rsidRPr="00000000" w14:paraId="000002B8">
      <w:pPr>
        <w:rPr/>
      </w:pPr>
      <w:r w:rsidDel="00000000" w:rsidR="00000000" w:rsidRPr="00000000">
        <w:rPr>
          <w:rtl w:val="0"/>
        </w:rPr>
        <w:t xml:space="preserve">Finally, confirm your faculty's specific formatting requirements — margins, line spacing, font, and whether an abstract in Khmer is required — since departmental rules take precedence over the defaults used here (Times New Roman 12 pt, 1.5 line spacing, 1.5 inch left margin for binding).</w:t>
      </w:r>
    </w:p>
    <w:sectPr>
      <w:footerReference r:id="rId11" w:type="default"/>
      <w:type w:val="nextPage"/>
      <w:pgSz w:h="15840" w:w="12240" w:orient="portrait"/>
      <w:pgMar w:bottom="1440" w:top="1440" w:left="216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9">
    <w:pPr>
      <w:spacing w:after="0" w:line="240" w:lineRule="auto"/>
      <w:jc w:val="center"/>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A">
    <w:pPr>
      <w:spacing w:after="0" w:line="240" w:lineRule="auto"/>
      <w:jc w:val="center"/>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TH"/>
      </w:rPr>
    </w:rPrDefault>
    <w:pPrDefault>
      <w:pPr>
        <w:spacing w:after="16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pPr>
    <w:rPr>
      <w:rFonts w:ascii="Times New Roman" w:cs="Times New Roman" w:eastAsia="Times New Roman" w:hAnsi="Times New Roman"/>
      <w:b w:val="1"/>
      <w:bCs w:val="1"/>
      <w:i w:val="0"/>
      <w:iCs w:val="0"/>
      <w:smallCaps w:val="0"/>
      <w:strike w:val="0"/>
      <w:color w:val="1f3864"/>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360" w:lineRule="auto"/>
      <w:ind w:left="0" w:right="0" w:firstLine="0"/>
      <w:jc w:val="left"/>
    </w:pPr>
    <w:rPr>
      <w:rFonts w:ascii="Times New Roman" w:cs="Times New Roman" w:eastAsia="Times New Roman" w:hAnsi="Times New Roman"/>
      <w:b w:val="1"/>
      <w:bCs w:val="1"/>
      <w:i w:val="0"/>
      <w:iCs w:val="0"/>
      <w:smallCaps w:val="0"/>
      <w:strike w:val="0"/>
      <w:color w:val="1f3864"/>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20" w:line="360" w:lineRule="auto"/>
      <w:ind w:left="0" w:right="0" w:firstLine="0"/>
      <w:jc w:val="left"/>
    </w:pP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pPr>
      <w:spacing w:after="0" w:line="240" w:lineRule="auto"/>
    </w:pPr>
    <w:rPr>
      <w:sz w:val="20"/>
      <w:szCs w:val="20"/>
    </w:rPr>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link w:val="EndnoteTextChar"/>
    <w:uiPriority w:val="99"/>
    <w:semiHidden w:val="1"/>
    <w:unhideWhenUsed w:val="1"/>
    <w:pPr>
      <w:spacing w:after="0" w:line="240" w:lineRule="auto"/>
    </w:pPr>
    <w:rPr>
      <w:sz w:val="20"/>
      <w:szCs w:val="20"/>
    </w:rPr>
  </w:style>
  <w:style w:type="character" w:styleId="EndnoteTextChar" w:customStyle="1">
    <w:name w:val="Endnote Text Char"/>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4qrqhDhjDaeevGFr2Awm7jUvqA==">CgMxLjAaEgoBMBINCgsIB0IHEgVDYXJkbxoUCgExEg8KDQgHQgkSB0d1bmdzdWgyDmgudzJsNWczd2hsam9pOAByITFqVnBDcjVOT1dfeUdxVG1KMHItOF9hdDZSbWUyYktsYg==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2026-08-08T08:29:00Z</dcterms:created>
  <dc:creator>University of Puthisastra</dc:creator>
</cp:coreProperties>
</file>