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p>
    <w:p>
      <w:pPr>
        <w:spacing w:after="200"/>
        <w:jc w:val="center"/>
      </w:pPr>
      <w:r>
        <w:drawing>
          <wp:inline distT="0" distB="0" distL="0" distR="0">
            <wp:extent cx="12858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85875" cy="1285875"/>
                    </a:xfrm>
                    <a:prstGeom prst="rect">
                      <a:avLst/>
                    </a:prstGeom>
                  </pic:spPr>
                </pic:pic>
              </a:graphicData>
            </a:graphic>
          </wp:inline>
        </w:drawing>
      </w:r>
    </w:p>
    <w:p>
      <w:pPr>
        <w:spacing w:after="60" w:before="0" w:line="360"/>
        <w:jc w:val="center"/>
      </w:pPr>
      <w:r>
        <w:rPr>
          <w:b/>
          <w:bCs/>
          <w:sz w:val="32"/>
          <w:szCs w:val="32"/>
        </w:rPr>
        <w:t xml:space="preserve">UNIVERSITY OF PUTHISASTRA</w:t>
      </w:r>
    </w:p>
    <w:p>
      <w:pPr>
        <w:spacing w:after="40" w:before="0" w:line="360"/>
        <w:jc w:val="center"/>
      </w:pPr>
      <w:r>
        <w:rPr>
          <w:sz w:val="20"/>
          <w:szCs w:val="20"/>
        </w:rPr>
        <w:t xml:space="preserve">#55, Street 180–184, Sangkat Boeung Raing, Khan Daun Penh, Phnom Penh, Cambodia</w:t>
      </w:r>
    </w:p>
    <w:p>
      <w:pPr>
        <w:spacing w:after="40" w:before="0" w:line="360"/>
        <w:jc w:val="center"/>
      </w:pPr>
      <w:r>
        <w:rPr>
          <w:b/>
          <w:bCs/>
          <w:sz w:val="24"/>
          <w:szCs w:val="24"/>
        </w:rPr>
        <w:t xml:space="preserve">FACULTY OF SCIENCE AND TECHNOLOGY</w:t>
      </w:r>
    </w:p>
    <w:p>
      <w:pPr>
        <w:spacing w:after="320" w:before="0" w:line="360"/>
        <w:jc w:val="center"/>
      </w:pPr>
      <w:r>
        <w:rPr>
          <w:sz w:val="22"/>
          <w:szCs w:val="22"/>
        </w:rPr>
        <w:t xml:space="preserve">DEPARTMENT OF SCIENCE AND TECHNOLOGY</w:t>
      </w:r>
    </w:p>
    <w:p>
      <w:pPr>
        <w:pBdr>
          <w:top w:val="single" w:color="1F3864" w:sz="8"/>
        </w:pBdr>
        <w:spacing w:after="300"/>
        <w:jc w:val="center"/>
      </w:pPr>
      <w:r>
        <w:t xml:space="preserve"/>
      </w:r>
    </w:p>
    <w:p>
      <w:pPr>
        <w:spacing w:after="60" w:before="0" w:line="360"/>
        <w:jc w:val="center"/>
      </w:pPr>
      <w:r>
        <w:rPr>
          <w:b/>
          <w:bCs/>
          <w:sz w:val="30"/>
          <w:szCs w:val="30"/>
        </w:rPr>
        <w:t xml:space="preserve">EVALUATING THE EFFECTIVENESS OF TERRAFORM AND GITHUB ACTIONS FOR AWS INFRASTRUCTURE AUTOMATION</w:t>
      </w:r>
    </w:p>
    <w:p>
      <w:pPr>
        <w:spacing w:after="100" w:before="0" w:line="360"/>
        <w:jc w:val="center"/>
      </w:pPr>
      <w:r>
        <w:t xml:space="preserve">A Dissertation Submitted to the Faculty of Science and Technology, University of Puthisastra, in Partial Fulfilment of the Requirements for the Degree of</w:t>
      </w:r>
    </w:p>
    <w:p>
      <w:pPr>
        <w:spacing w:after="400" w:before="0" w:line="360"/>
        <w:jc w:val="center"/>
      </w:pPr>
      <w:r>
        <w:rPr>
          <w:b/>
          <w:bCs/>
          <w:sz w:val="26"/>
          <w:szCs w:val="26"/>
        </w:rPr>
        <w:t xml:space="preserve">MASTER OF SCIENCE IN INFORMATION TECHNOLOGY</w:t>
      </w:r>
    </w:p>
    <w:p>
      <w:pPr>
        <w:spacing w:after="40" w:before="0" w:line="360"/>
        <w:jc w:val="center"/>
      </w:pPr>
      <w:r>
        <w:rPr>
          <w:b/>
          <w:bCs/>
        </w:rPr>
        <w:t xml:space="preserve">Submitted by:</w:t>
      </w:r>
    </w:p>
    <w:p>
      <w:pPr>
        <w:spacing w:after="40" w:before="0" w:line="360"/>
        <w:jc w:val="center"/>
      </w:pPr>
      <w:r>
        <w:t xml:space="preserve">KAO LEANGSENG</w:t>
      </w:r>
    </w:p>
    <w:p>
      <w:pPr>
        <w:spacing w:after="240" w:before="0" w:line="360"/>
        <w:jc w:val="center"/>
      </w:pPr>
      <w:r>
        <w:t xml:space="preserve">Student ID: UPS240590</w:t>
      </w:r>
    </w:p>
    <w:p>
      <w:pPr>
        <w:spacing w:after="40" w:before="0" w:line="360"/>
        <w:jc w:val="center"/>
      </w:pPr>
      <w:r>
        <w:rPr>
          <w:b/>
          <w:bCs/>
        </w:rPr>
        <w:t xml:space="preserve">Supervised by:</w:t>
      </w:r>
    </w:p>
    <w:p>
      <w:pPr>
        <w:spacing w:after="400" w:before="0" w:line="360"/>
        <w:jc w:val="center"/>
      </w:pPr>
      <w:r>
        <w:t xml:space="preserve">Dr. CHEN SOVANN</w:t>
      </w:r>
    </w:p>
    <w:p>
      <w:pPr>
        <w:spacing w:after="0" w:before="0" w:line="360"/>
        <w:jc w:val="center"/>
      </w:pPr>
      <w:r>
        <w:t xml:space="preserve">OCTOBER 2026</w:t>
      </w:r>
    </w:p>
    <w:p>
      <w:pPr>
        <w:spacing w:after="0" w:before="0" w:line="360"/>
        <w:jc w:val="center"/>
      </w:pPr>
      <w:r>
        <w:t xml:space="preserve">Phnom Penh, Cambodia</w:t>
      </w:r>
    </w:p>
    <w:p>
      <w:pPr>
        <w:sectPr>
          <w:pgSz w:w="12240" w:h="15840" w:orient="portrait"/>
          <w:pgMar w:top="1440" w:right="1440" w:bottom="1440" w:left="2160" w:header="720" w:footer="720" w:gutter="0"/>
          <w:pgNumType/>
          <w:docGrid w:linePitch="360"/>
        </w:sectPr>
      </w:pPr>
    </w:p>
    <w:p>
      <w:pPr>
        <w:pStyle w:val="Heading1"/>
        <w:spacing w:after="240" w:before="240"/>
        <w:jc w:val="left"/>
      </w:pPr>
      <w:r>
        <w:t xml:space="preserve">DECLARATION OF ORIGINALITY</w:t>
      </w:r>
    </w:p>
    <w:p>
      <w:pPr>
        <w:spacing w:after="160" w:before="0" w:line="360"/>
        <w:jc w:val="both"/>
      </w:pPr>
      <w:r>
        <w:t xml:space="preserve">I, KAO LEANGSENG, Student ID UPS240590, hereby declare that this dissertation entitled “Evaluating the Effectiveness of Terraform and GitHub Actions for AWS Infrastructure Automation” is my own original work, produced under the supervision of Dr. CHEN SOVANN. It has not been submitted, in whole or in part, for any other degree or qualification at the University of Puthisastra or at any other institution.</w:t>
      </w:r>
    </w:p>
    <w:p>
      <w:pPr>
        <w:spacing w:after="160" w:before="0" w:line="360"/>
        <w:jc w:val="both"/>
      </w:pPr>
      <w:r>
        <w:t xml:space="preserve">All sources of information, ideas, data and prior scholarship used in this dissertation have been acknowledged in the text and listed in full in the reference list, in accordance with the seventh edition of the Publication Manual of the American Psychological Association. I confirm that I have complied with the University of Puthisastra policy on academic integrity, and I accept that any breach of that policy, including plagiarism, falsification of data or unacknowledged use of generative artificial intelligence tools, may result in disciplinary action. The use of generative artificial intelligence in preparing this dissertation is acknowledged on the Acknowledgements page.</w:t>
      </w:r>
    </w:p>
    <w:p>
      <w:pPr>
        <w:spacing w:after="160" w:before="0" w:line="360"/>
        <w:jc w:val="both"/>
      </w:pPr>
    </w:p>
    <w:p>
      <w:pPr>
        <w:spacing w:after="160" w:before="0" w:line="360"/>
        <w:jc w:val="both"/>
      </w:pPr>
    </w:p>
    <w:p>
      <w:pPr>
        <w:spacing w:after="160" w:before="0" w:line="360"/>
        <w:jc w:val="both"/>
      </w:pPr>
      <w:r>
        <w:t xml:space="preserve">Signature: </w:t>
      </w:r>
      <w:r>
        <w:rPr>
          <w:i/>
          <w:iCs/>
        </w:rPr>
        <w:t xml:space="preserve">____________________</w:t>
      </w:r>
      <w:r>
        <w:t xml:space="preserve">                    Date: </w:t>
      </w:r>
      <w:r>
        <w:rPr>
          <w:i/>
          <w:iCs/>
        </w:rPr>
        <w:t xml:space="preserve">____________________</w:t>
      </w:r>
    </w:p>
    <w:p>
      <w:pPr>
        <w:spacing w:after="160" w:before="0" w:line="360"/>
        <w:jc w:val="both"/>
      </w:pPr>
      <w:r>
        <w:t xml:space="preserve">Name: KAO LEANGSENG</w:t>
      </w:r>
    </w:p>
    <w:p>
      <w:pPr>
        <w:pStyle w:val="Heading1"/>
        <w:pageBreakBefore/>
        <w:spacing w:after="240" w:before="240"/>
        <w:jc w:val="left"/>
      </w:pPr>
      <w:r>
        <w:t xml:space="preserve">SUPERVISOR’S APPROVAL</w:t>
      </w:r>
    </w:p>
    <w:p>
      <w:pPr>
        <w:spacing w:after="160" w:before="0" w:line="360"/>
        <w:jc w:val="both"/>
      </w:pPr>
      <w:r>
        <w:t xml:space="preserve">This is to certify that the dissertation entitled “Evaluating the Effectiveness of Terraform and GitHub Actions for AWS Infrastructure Automation”, submitted by KAO LEANGSENG (ID: UPS240590) to the Faculty of Science and Technology, University of Puthisastra, has been prepared under my supervision. I confirm that the work meets the academic standards required for submission in partial fulfilment of the requirements for the degree of Master of Science in Information Technology, and I recommend it for examination.</w:t>
      </w:r>
    </w:p>
    <w:p>
      <w:pPr>
        <w:spacing w:after="160" w:before="0" w:line="360"/>
        <w:jc w:val="both"/>
      </w:pPr>
    </w:p>
    <w:p>
      <w:pPr>
        <w:spacing w:after="160" w:before="0" w:line="360"/>
        <w:jc w:val="both"/>
      </w:pPr>
    </w:p>
    <w:p>
      <w:pPr>
        <w:spacing w:after="160" w:before="0" w:line="360"/>
        <w:jc w:val="both"/>
      </w:pPr>
      <w:r>
        <w:t xml:space="preserve">Signature: </w:t>
      </w:r>
      <w:r>
        <w:rPr>
          <w:i/>
          <w:iCs/>
        </w:rPr>
        <w:t xml:space="preserve">____________________</w:t>
      </w:r>
      <w:r>
        <w:t xml:space="preserve">                    Date: </w:t>
      </w:r>
      <w:r>
        <w:rPr>
          <w:i/>
          <w:iCs/>
        </w:rPr>
        <w:t xml:space="preserve">____________________</w:t>
      </w:r>
    </w:p>
    <w:p>
      <w:pPr>
        <w:spacing w:after="160" w:before="0" w:line="360"/>
        <w:jc w:val="both"/>
      </w:pPr>
      <w:r>
        <w:t xml:space="preserve">Supervisor: Dr. CHEN SOVANN</w:t>
      </w:r>
    </w:p>
    <w:p>
      <w:pPr>
        <w:spacing w:after="160" w:before="0" w:line="360"/>
        <w:jc w:val="both"/>
      </w:pPr>
      <w:r>
        <w:t xml:space="preserve">Faculty of Science and Technology, University of Puthisastra</w:t>
      </w:r>
    </w:p>
    <w:p>
      <w:pPr>
        <w:pStyle w:val="Heading1"/>
        <w:pageBreakBefore/>
        <w:spacing w:after="240" w:before="240"/>
        <w:jc w:val="left"/>
      </w:pPr>
      <w:r>
        <w:t xml:space="preserve">ACKNOWLEDGEMENTS</w:t>
      </w:r>
    </w:p>
    <w:p>
      <w:pPr>
        <w:spacing w:after="160" w:before="0" w:line="360"/>
        <w:jc w:val="both"/>
      </w:pPr>
      <w:r>
        <w:t xml:space="preserve">I want to thank my supervisor, Dr. CHEN SOVANN, whose guidance and honest feedback shaped this research at every stage. I am also grateful to the teaching and administrative staff of the Faculty of Science and Technology at the University of Puthisastra for the training that made this study possible.</w:t>
      </w:r>
    </w:p>
    <w:p>
      <w:pPr>
        <w:spacing w:after="160" w:before="0" w:line="360"/>
        <w:jc w:val="both"/>
      </w:pPr>
      <w:r>
        <w:t xml:space="preserve">I thank the management of the case organisation for permission to use its cloud architecture as the basis of this study and for approving a separate sandbox account so that the work could be done without any risk to live systems, and my colleagues in the infrastructure team, whose day-to-day questions about provisioning first made me notice the problem this dissertation addresses.</w:t>
      </w:r>
    </w:p>
    <w:p>
      <w:pPr>
        <w:spacing w:after="160" w:before="0" w:line="360"/>
        <w:jc w:val="both"/>
      </w:pPr>
      <w:r>
        <w:t xml:space="preserve">Generative artificial intelligence (Claude, by Anthropic) was used as an assistant in this project: to help write and debug parts of the GitHub Actions workflow and measurement scripts, to run the statistical analysis scripts, to help verify references, and to help draft and edit the text of this dissertation. All data reported were produced by the infrastructure and scripts described in Chapter 3, and I have reviewed and take responsibility for all content.</w:t>
      </w:r>
    </w:p>
    <w:p>
      <w:pPr>
        <w:spacing w:after="160" w:before="0" w:line="360"/>
        <w:jc w:val="both"/>
      </w:pPr>
      <w:r>
        <w:t xml:space="preserve">Finally, I thank my family and friends for their patience and encouragement. Any errors that remain are my own.</w:t>
      </w:r>
    </w:p>
    <w:p>
      <w:pPr>
        <w:pStyle w:val="Heading1"/>
        <w:pageBreakBefore/>
        <w:spacing w:after="240" w:before="240"/>
        <w:jc w:val="left"/>
      </w:pPr>
      <w:r>
        <w:t xml:space="preserve">ABSTRACT</w:t>
      </w:r>
    </w:p>
    <w:p>
      <w:pPr>
        <w:spacing w:after="160" w:before="0" w:line="360"/>
        <w:jc w:val="both"/>
      </w:pPr>
      <w:r>
        <w:rPr>
          <w:b/>
          <w:bCs/>
        </w:rPr>
        <w:t xml:space="preserve">Background.</w:t>
      </w:r>
      <w:r>
        <w:t xml:space="preserve"> Infrastructure as Code (IaC) is standard practice in cloud engineering, yet many organisations automate application delivery long before the infrastructure it runs on. Existing research compares IaC tools with each other or studies IaC code quality in isolation, but does not measure what changes when Terraform is introduced into a CI/CD pipeline in place of manual provisioning, and offers no evidence from Cambodia.</w:t>
      </w:r>
    </w:p>
    <w:p>
      <w:pPr>
        <w:spacing w:after="160" w:before="0" w:line="360"/>
        <w:jc w:val="both"/>
      </w:pPr>
      <w:r>
        <w:rPr>
          <w:b/>
          <w:bCs/>
        </w:rPr>
        <w:t xml:space="preserve">Aim.</w:t>
      </w:r>
      <w:r>
        <w:t xml:space="preserve"> The study designed, implemented and evaluated a modular Terraform codebase for a five-service containerised AWS architecture, integrated with GitHub Actions, and measured provisioning duration, configuration drift, reproducibility and version-control coverage, while explaining the barriers encountered.</w:t>
      </w:r>
    </w:p>
    <w:p>
      <w:pPr>
        <w:spacing w:after="160" w:before="0" w:line="360"/>
        <w:jc w:val="both"/>
      </w:pPr>
      <w:r>
        <w:rPr>
          <w:b/>
          <w:bCs/>
        </w:rPr>
        <w:t xml:space="preserve">Methods.</w:t>
      </w:r>
      <w:r>
        <w:t xml:space="preserve"> A pragmatist, explanatory sequential mixed methods design was used. The quantitative strand measured 30 complete destroy-and-rebuild cycles of a 152-resource environment executed by GitHub Actions over two days, 150 service start-ups and a 24-item component audit. Manual creation of the same architecture in the AWS console was represented by a seeded Monte Carlo simulation of 10 builds and 10 rebuilds, with every parameter stated and tested for sensitivity. Data were analysed with descriptive statistics, stability checks, Welch's </w:t>
      </w:r>
      <w:r>
        <w:rPr>
          <w:i/>
          <w:iCs/>
        </w:rPr>
        <w:t xml:space="preserve">t</w:t>
      </w:r>
      <w:r>
        <w:t xml:space="preserve">, Mann–Whitney </w:t>
      </w:r>
      <w:r>
        <w:rPr>
          <w:i/>
          <w:iCs/>
        </w:rPr>
        <w:t xml:space="preserve">U</w:t>
      </w:r>
      <w:r>
        <w:t xml:space="preserve">, Hedges' </w:t>
      </w:r>
      <w:r>
        <w:rPr>
          <w:i/>
          <w:iCs/>
        </w:rPr>
        <w:t xml:space="preserve">g</w:t>
      </w:r>
      <w:r>
        <w:t xml:space="preserve"> and Fisher's exact test. The qualitative strand applied reflexive thematic analysis to 78 commits, 31 run reports and the pipeline code.</w:t>
      </w:r>
    </w:p>
    <w:p>
      <w:pPr>
        <w:spacing w:after="160" w:before="0" w:line="360"/>
        <w:jc w:val="both"/>
      </w:pPr>
      <w:r>
        <w:rPr>
          <w:b/>
          <w:bCs/>
        </w:rPr>
        <w:t xml:space="preserve">Results.</w:t>
      </w:r>
      <w:r>
        <w:t xml:space="preserve"> Terraform executed by GitHub Actions built the environment from empty in a mean of 8.3 minutes (</w:t>
      </w:r>
      <w:r>
        <w:rPr>
          <w:i/>
          <w:iCs/>
        </w:rPr>
        <w:t xml:space="preserve">M</w:t>
      </w:r>
      <w:r>
        <w:t xml:space="preserve"> = 499.8 s, </w:t>
      </w:r>
      <w:r>
        <w:rPr>
          <w:i/>
          <w:iCs/>
        </w:rPr>
        <w:t xml:space="preserve">SD</w:t>
      </w:r>
      <w:r>
        <w:t xml:space="preserve"> = 21.0) and destroyed it in 20.1 minutes; all 30 rebuilds and all 150 service start-ups succeeded, with no trend over run order, day or hour of day. The simulated manual build took 105.3 minutes, 12.6 times longer (Welch's </w:t>
      </w:r>
      <w:r>
        <w:rPr>
          <w:i/>
          <w:iCs/>
        </w:rPr>
        <w:t xml:space="preserve">t</w:t>
      </w:r>
      <w:r>
        <w:t xml:space="preserve">(9.0) = -65.17, </w:t>
      </w:r>
      <w:r>
        <w:rPr>
          <w:i/>
          <w:iCs/>
        </w:rPr>
        <w:t xml:space="preserve">p</w:t>
      </w:r>
      <w:r>
        <w:t xml:space="preserve"> &lt; .001), and only 3 of 10 simulated manual rebuilds were identical to the baseline against 30 of 30 for Terraform (Fisher's exact </w:t>
      </w:r>
      <w:r>
        <w:rPr>
          <w:i/>
          <w:iCs/>
        </w:rPr>
        <w:t xml:space="preserve">p</w:t>
      </w:r>
      <w:r>
        <w:t xml:space="preserve"> &lt; .001); these comparisons are conditional on the simulation. Version-control coverage rose from 0% to 79.2%, but no change was peer-reviewed. Drift could not be measured because only one environment existed, so H2 and H5 were not tested. Four themes explained the results: the architecture converged through repeated rebuilding, state management was the hardest problem, destruction rather than creation was the bottleneck, and version control arrived without review.</w:t>
      </w:r>
    </w:p>
    <w:p>
      <w:pPr>
        <w:spacing w:after="160" w:before="0" w:line="360"/>
        <w:jc w:val="both"/>
      </w:pPr>
      <w:r>
        <w:rPr>
          <w:b/>
          <w:bCs/>
        </w:rPr>
        <w:t xml:space="preserve">Conclusion.</w:t>
      </w:r>
      <w:r>
        <w:t xml:space="preserve"> Terraform with GitHub Actions made the architecture fast and reliable to rebuild compared with manual console work, but review did not follow automatically. For regulated Cambodian institutions, the code history must be paired with an enforced review gate to provide controlled change. The study contributes measured benchmarks, a reusable codebase and procedure, and the first evidence of this kind from Cambodia.</w:t>
      </w:r>
    </w:p>
    <w:p>
      <w:pPr>
        <w:spacing w:after="160" w:before="0" w:line="360"/>
        <w:jc w:val="both"/>
      </w:pPr>
    </w:p>
    <w:p>
      <w:pPr>
        <w:spacing w:after="160" w:before="0" w:line="360"/>
        <w:jc w:val="both"/>
      </w:pPr>
      <w:r>
        <w:rPr>
          <w:b/>
          <w:bCs/>
        </w:rPr>
        <w:t xml:space="preserve">Keywords:</w:t>
      </w:r>
      <w:r>
        <w:t xml:space="preserve"> Infrastructure as Code; Terraform; GitHub Actions; continuous integration and continuous delivery; Amazon Web Services; reproducibility; mixed methods; Cambodia</w:t>
      </w:r>
    </w:p>
    <w:p>
      <w:r>
        <w:br w:type="page"/>
      </w:r>
    </w:p>
    <w:p>
      <w:pPr>
        <w:pStyle w:val="Heading1"/>
        <w:spacing w:after="240" w:before="240"/>
        <w:jc w:val="left"/>
      </w:pPr>
      <w:r>
        <w:t xml:space="preserve">TABLE OF CONTENTS</w:t>
      </w:r>
    </w:p>
    <w:sdt>
      <w:sdtPr>
        <w:alias w:val="Right-click and select “Update Field” to generate the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jc w:val="left"/>
      </w:pPr>
      <w:r>
        <w:t xml:space="preserve">LIST OF TABLES</w:t>
      </w:r>
    </w:p>
    <w:p>
      <w:pPr>
        <w:spacing w:after="100" w:before="0" w:line="360"/>
        <w:jc w:val="both"/>
      </w:pPr>
      <w:r>
        <w:t xml:space="preserve">Table 1.1  Definition of Key Terms</w:t>
      </w:r>
    </w:p>
    <w:p>
      <w:pPr>
        <w:spacing w:after="100" w:before="0" w:line="360"/>
        <w:jc w:val="both"/>
      </w:pPr>
      <w:r>
        <w:t xml:space="preserve">Table 2.1  Summary of the Twenty Reviewed Articles</w:t>
      </w:r>
    </w:p>
    <w:p>
      <w:pPr>
        <w:spacing w:after="100" w:before="0" w:line="360"/>
        <w:jc w:val="both"/>
      </w:pPr>
      <w:r>
        <w:t xml:space="preserve">Table 2.2  Comparison of Selected Empirical Studies</w:t>
      </w:r>
    </w:p>
    <w:p>
      <w:pPr>
        <w:spacing w:after="100" w:before="0" w:line="360"/>
        <w:jc w:val="both"/>
      </w:pPr>
      <w:r>
        <w:t xml:space="preserve">Table 2.3  Summary of Research Hypotheses</w:t>
      </w:r>
    </w:p>
    <w:p>
      <w:pPr>
        <w:spacing w:after="100" w:before="0" w:line="360"/>
        <w:jc w:val="both"/>
      </w:pPr>
      <w:r>
        <w:t xml:space="preserve">Table 3.1  Alignment of Research Questions, Data Sources and Analysis</w:t>
      </w:r>
    </w:p>
    <w:p>
      <w:pPr>
        <w:spacing w:after="100" w:before="0" w:line="360"/>
        <w:jc w:val="both"/>
      </w:pPr>
      <w:r>
        <w:t xml:space="preserve">Table 3.3  Sample Size Determination: Planned and Achieved</w:t>
      </w:r>
    </w:p>
    <w:p>
      <w:pPr>
        <w:spacing w:after="100" w:before="0" w:line="360"/>
        <w:jc w:val="both"/>
      </w:pPr>
      <w:r>
        <w:t xml:space="preserve">Table 3.2  Measurement Instruments, Outputs and Sources</w:t>
      </w:r>
    </w:p>
    <w:p>
      <w:pPr>
        <w:spacing w:after="100" w:before="0" w:line="360"/>
        <w:jc w:val="both"/>
      </w:pPr>
      <w:r>
        <w:t xml:space="preserve">Table 3.4  Strategies for Establishing Trustworthiness</w:t>
      </w:r>
    </w:p>
    <w:p>
      <w:pPr>
        <w:spacing w:after="100" w:before="0" w:line="360"/>
        <w:jc w:val="both"/>
      </w:pPr>
      <w:r>
        <w:t xml:space="preserve">Table 3.5  Research Timeline as Conducted</w:t>
      </w:r>
    </w:p>
    <w:p>
      <w:pPr>
        <w:spacing w:after="100" w:before="0" w:line="360"/>
        <w:jc w:val="both"/>
      </w:pPr>
      <w:r>
        <w:t xml:space="preserve">Table 4.1  Measurement Runs Collected, Excluded and Analysed</w:t>
      </w:r>
    </w:p>
    <w:p>
      <w:pPr>
        <w:spacing w:after="100" w:before="0" w:line="360"/>
        <w:jc w:val="both"/>
      </w:pPr>
      <w:r>
        <w:t xml:space="preserve">Table 4.2  Terraform Stacks and Managed Resources</w:t>
      </w:r>
    </w:p>
    <w:p>
      <w:pPr>
        <w:spacing w:after="100" w:before="0" w:line="360"/>
        <w:jc w:val="both"/>
      </w:pPr>
      <w:r>
        <w:t xml:space="preserve">Table 4.3  Component Inventory and Codification Status</w:t>
      </w:r>
    </w:p>
    <w:p>
      <w:pPr>
        <w:spacing w:after="100" w:before="0" w:line="360"/>
        <w:jc w:val="both"/>
      </w:pPr>
      <w:r>
        <w:t xml:space="preserve">Table 4.4  Descriptive Statistics of Pipeline Rebuild Phases (Seconds, n = 30, Measured)</w:t>
      </w:r>
    </w:p>
    <w:p>
      <w:pPr>
        <w:spacing w:after="100" w:before="0" w:line="360"/>
        <w:jc w:val="both"/>
      </w:pPr>
      <w:r>
        <w:t xml:space="preserve">Table 4.5  Stability Checks on the Measured Terraform Cycles</w:t>
      </w:r>
    </w:p>
    <w:p>
      <w:pPr>
        <w:spacing w:after="100" w:before="0" w:line="360"/>
        <w:jc w:val="both"/>
      </w:pPr>
      <w:r>
        <w:t xml:space="preserve">Table 4.6  Time from Service Creation to Steady State by Service (Seconds, Measured)</w:t>
      </w:r>
    </w:p>
    <w:p>
      <w:pPr>
        <w:spacing w:after="100" w:before="0" w:line="360"/>
        <w:jc w:val="both"/>
      </w:pPr>
      <w:r>
        <w:t xml:space="preserve">Table 4.7  Simulated Manual Console Runs (SIMULATED, Seed 20261015)</w:t>
      </w:r>
    </w:p>
    <w:p>
      <w:pPr>
        <w:spacing w:after="100" w:before="0" w:line="360"/>
        <w:jc w:val="both"/>
      </w:pPr>
      <w:r>
        <w:t xml:space="preserve">Table 4.8  Sensitivity of the Simulated Manual Build Time to Console Time per Resource</w:t>
      </w:r>
    </w:p>
    <w:p>
      <w:pPr>
        <w:spacing w:after="100" w:before="0" w:line="360"/>
        <w:jc w:val="both"/>
      </w:pPr>
      <w:r>
        <w:t xml:space="preserve">Table 4.9  Results of Hypothesis Testing</w:t>
      </w:r>
    </w:p>
    <w:p>
      <w:pPr>
        <w:spacing w:after="100" w:before="0" w:line="360"/>
        <w:jc w:val="both"/>
      </w:pPr>
      <w:r>
        <w:t xml:space="preserve">Table 4.10  Profile of the Implementation Record</w:t>
      </w:r>
    </w:p>
    <w:p>
      <w:pPr>
        <w:spacing w:after="100" w:before="0" w:line="360"/>
        <w:jc w:val="both"/>
      </w:pPr>
      <w:r>
        <w:t xml:space="preserve">Table 4.11  Thematic Structure of the Qualitative Findings</w:t>
      </w:r>
    </w:p>
    <w:p>
      <w:pPr>
        <w:spacing w:after="100" w:before="0" w:line="360"/>
        <w:jc w:val="both"/>
      </w:pPr>
      <w:r>
        <w:t xml:space="preserve">Table 4.12  Joint Display Integrating Quantitative and Qualitative Findings</w:t>
      </w:r>
    </w:p>
    <w:p>
      <w:pPr>
        <w:spacing w:after="100" w:before="0" w:line="360"/>
        <w:jc w:val="both"/>
      </w:pPr>
      <w:r>
        <w:t xml:space="preserve">Table 5.1  Comparison of Present Findings with Prior Studies</w:t>
      </w:r>
    </w:p>
    <w:p>
      <w:pPr>
        <w:spacing w:after="100" w:before="0" w:line="360"/>
        <w:jc w:val="both"/>
      </w:pPr>
      <w:r>
        <w:t xml:space="preserve">Table 6.1  Recommendations, Responsible Parties and Supporting Evidence</w:t>
      </w:r>
    </w:p>
    <w:p>
      <w:pPr>
        <w:pStyle w:val="Heading1"/>
        <w:pageBreakBefore/>
        <w:spacing w:after="240" w:before="240"/>
        <w:jc w:val="left"/>
      </w:pPr>
      <w:r>
        <w:t xml:space="preserve">LIST OF FIGURES</w:t>
      </w:r>
    </w:p>
    <w:p>
      <w:pPr>
        <w:spacing w:after="100" w:before="0" w:line="360"/>
        <w:jc w:val="both"/>
      </w:pPr>
      <w:r>
        <w:t xml:space="preserve">Figure 2.1  Conceptual framework of the study</w:t>
      </w:r>
    </w:p>
    <w:p>
      <w:pPr>
        <w:spacing w:after="100" w:before="0" w:line="360"/>
        <w:jc w:val="both"/>
      </w:pPr>
      <w:r>
        <w:t xml:space="preserve">Figure 3.1  Explanatory sequential mixed methods design as conducted</w:t>
      </w:r>
    </w:p>
    <w:p>
      <w:pPr>
        <w:spacing w:after="100" w:before="0" w:line="360"/>
        <w:jc w:val="both"/>
      </w:pPr>
      <w:r>
        <w:t xml:space="preserve">Figure 4.1  Mean duration of each phase of the thirty measured GitHub Actions rebuilds; whiskers show one standard deviation</w:t>
      </w:r>
    </w:p>
    <w:p>
      <w:pPr>
        <w:spacing w:after="100" w:before="0" w:line="360"/>
        <w:jc w:val="both"/>
      </w:pPr>
      <w:r>
        <w:t xml:space="preserve">Figure 4.2  Full-build and full destroy-and-rebuild durations of the thirty measured rebuilds in run order</w:t>
      </w:r>
    </w:p>
    <w:p>
      <w:pPr>
        <w:spacing w:after="100" w:before="0" w:line="360"/>
        <w:jc w:val="both"/>
      </w:pPr>
      <w:r>
        <w:t xml:space="preserve">Figure 4.3  Time from service creation to ECS steady state for each start-up in the thirty measured rebuilds; horizontal bars mark the mean</w:t>
      </w:r>
    </w:p>
    <w:p>
      <w:pPr>
        <w:spacing w:after="100" w:before="0" w:line="360"/>
        <w:jc w:val="both"/>
      </w:pPr>
      <w:r>
        <w:t xml:space="preserve">Figure 4.4  Left: measured Terraform build times (filled) and simulated manual build times (open)</w:t>
      </w:r>
    </w:p>
    <w:p>
      <w:pPr>
        <w:spacing w:after="100" w:before="0" w:line="360"/>
        <w:jc w:val="both"/>
      </w:pPr>
      <w:r>
        <w:t xml:space="preserve">Figure 5.1  Revised conceptual framework based on the integrated findings</w:t>
      </w:r>
    </w:p>
    <w:p>
      <w:pPr>
        <w:pStyle w:val="Heading1"/>
        <w:pageBreakBefore/>
        <w:spacing w:after="240" w:before="240"/>
        <w:jc w:val="left"/>
      </w:pPr>
      <w:r>
        <w:t xml:space="preserve">LIST OF ABBREVIATIONS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200"/>
        <w:gridCol w:w="6440"/>
      </w:tblGrid>
      <w:tr>
        <w:trPr>
          <w:tblHeader/>
        </w:trPr>
        <w:tc>
          <w:tcPr>
            <w:tcW w:type="dxa" w:w="22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Abbreviation</w:t>
            </w:r>
          </w:p>
        </w:tc>
        <w:tc>
          <w:tcPr>
            <w:tcW w:type="dxa" w:w="64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Full Term</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ALB</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Application Load Balancer</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API</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Application Programming Interface</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APA</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American Psychological Association</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AWS</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Amazon Web Services</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AZ</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Availability Zone</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CI</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Confidence Interval (statistics) / Continuous Integration (engineering)</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CI/CD</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Continuous Integration and Continuous Delivery</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CLI</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Command Line Interface</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CV</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Coefficient of Variation</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DNS</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Domain Name System</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DOI</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Digital Object Identifier</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ECR</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Elastic Container Registry</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ECS</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Elastic Container Service</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GHA</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GitHub Actions</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HTTP</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Hypertext Transfer Protocol</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IaC</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Infrastructure as Code</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IAM</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Identity and Access Management</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NAT</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Network Address Translation</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OIDC</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OpenID Connect</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RQ</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Research Question</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S3</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Simple Storage Service</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SCP</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Service Control Policy</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SD</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Standard Deviation</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TLS</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Transport Layer Security</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UP</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University of Puthisastra</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VPC</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Virtual Private Cloud</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WAF</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Web Application Firewall</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YAML</w:t>
            </w:r>
          </w:p>
        </w:tc>
        <w:tc>
          <w:tcPr>
            <w:tcW w:type="dxa" w:w="6440"/>
            <w:tcMar>
              <w:top w:type="dxa" w:w="80"/>
              <w:left w:type="dxa" w:w="110"/>
              <w:bottom w:type="dxa" w:w="80"/>
              <w:right w:type="dxa" w:w="110"/>
            </w:tcMar>
            <w:vAlign w:val="center"/>
          </w:tcPr>
          <w:p>
            <w:pPr>
              <w:spacing w:after="40" w:line="240"/>
              <w:jc w:val="left"/>
            </w:pPr>
            <w:r>
              <w:rPr>
                <w:b w:val="false"/>
                <w:bCs w:val="false"/>
                <w:sz w:val="20"/>
                <w:szCs w:val="20"/>
              </w:rPr>
              <w:t xml:space="preserve">YAML Ain't Markup Language</w:t>
            </w:r>
          </w:p>
        </w:tc>
      </w:tr>
    </w:tbl>
    <w:p>
      <w:pPr>
        <w:sectPr>
          <w:footerReference w:type="default" r:id="rId7"/>
          <w:pgSz w:w="12240" w:h="15840" w:orient="portrait"/>
          <w:pgMar w:top="1440" w:right="1440" w:bottom="1440" w:left="2160" w:header="720" w:footer="720" w:gutter="0"/>
          <w:pgNumType w:start="1" w:fmt="lowerRoman"/>
          <w:docGrid w:linePitch="360"/>
        </w:sectPr>
      </w:pPr>
    </w:p>
    <w:p>
      <w:pPr>
        <w:pStyle w:val="Heading1"/>
        <w:pageBreakBefore/>
        <w:spacing w:after="240" w:before="240"/>
        <w:jc w:val="left"/>
      </w:pPr>
      <w:r>
        <w:t xml:space="preserve">CHAPTER 1: INTRODUCTION</w:t>
      </w:r>
    </w:p>
    <w:p>
      <w:pPr>
        <w:pStyle w:val="Heading2"/>
        <w:keepNext/>
        <w:spacing w:after="140" w:before="280"/>
      </w:pPr>
      <w:r>
        <w:t xml:space="preserve">1.1 Background of the Study</w:t>
      </w:r>
    </w:p>
    <w:p>
      <w:pPr>
        <w:spacing w:after="160" w:before="0" w:line="360"/>
        <w:jc w:val="both"/>
      </w:pPr>
      <w:r>
        <w:t xml:space="preserve">Over the past fifteen years the way organisations build computing infrastructure has changed completely. Servers that were once ordered, racked and configured by hand are now created by an application programming interface call and destroyed minutes later. Amazon Web Services (AWS), Microsoft Azure and Google Cloud have made this the normal way to work, and with it has come a new engineering practice: Infrastructure as Code (IaC). Instead of clicking through a web console to create a network or a database, an engineer writes a file that describes what the infrastructure should look like, keeps that file in version control, and lets a tool make reality match the file (Rahman, Mahdavi-Hezaveh, &amp; Williams, 2019).</w:t>
      </w:r>
    </w:p>
    <w:p>
      <w:pPr>
        <w:spacing w:after="160" w:before="0" w:line="360"/>
        <w:jc w:val="both"/>
      </w:pPr>
      <w:r>
        <w:t xml:space="preserve">Terraform, released by HashiCorp in 2014, has become one of the most widely used tools for this work. It uses a declarative language, so the engineer states the desired end state rather than the steps to reach it, and it shows a plan of what it intends to change before it changes anything. Recent experimental work found that Terraform provisioned an AWS environment in roughly 253 seconds where the AWS-native alternative needed roughly 623 seconds, and attributed Terraform's lower failure rate to its syntax validation, plan previews and state management (Regvart et al., 2026). Interview evidence confirms its position in practice: in a study of 22 experienced practitioners, GitHub Actions had become the dominant continuous integration tool, and Terraform appeared alongside it among the tools that teams automate (Rostami Mazrae et al., 2023).</w:t>
      </w:r>
    </w:p>
    <w:p>
      <w:pPr>
        <w:spacing w:after="160" w:before="0" w:line="360"/>
        <w:jc w:val="both"/>
      </w:pPr>
      <w:r>
        <w:t xml:space="preserve">At the same time, the delivery side of software has been automated thoroughly. Continuous integration and continuous delivery (CI/CD) pipelines now compile code, run tests, scan for vulnerabilities and publish artefacts without a human touching them. GitHub Actions, launched in November 2019, became the most used CI service on GitHub within eighteen months, mainly because it is built into the platform where the code already lives (Decan et al., 2022; Rostami Mazrae et al., 2023). Earlier work established what this automation is worth: across 34,544 open-source projects, those using continuous integration released more than twice as often as those that did not (Hilton et al., 2016).</w:t>
      </w:r>
    </w:p>
    <w:p>
      <w:pPr>
        <w:spacing w:after="160" w:before="0" w:line="360"/>
        <w:jc w:val="both"/>
      </w:pPr>
      <w:r>
        <w:t xml:space="preserve">These two developments have not always arrived together. Many organisations automate the application first, because that is where the daily pressure is felt, and leave the infrastructure until later. The result is a pipeline that is automated at one end and manual at the other. Application code passes through build, test and security scanning on its way to a container registry, while the network, load balancer, container service, gateway and access policies that receive it were created by hand and are changed by hand. Nothing records who changed what, nothing keeps the development, staging and production environments the same, and nothing except an engineer's memory can rebuild an environment from scratch.</w:t>
      </w:r>
    </w:p>
    <w:p>
      <w:pPr>
        <w:spacing w:after="160" w:before="0" w:line="360"/>
        <w:jc w:val="both"/>
      </w:pPr>
      <w:r>
        <w:t xml:space="preserve">This gap matters more in some sectors than others. Cambodia's banking sector has grown quickly, and financial institutions operate under supervision from the National Bank of Cambodia, which expects controlled and auditable change management in core systems. In that setting an infrastructure change that leaves no reviewable record is not simply untidy; it is a control weakness. Yet the published evidence on IaC comes almost entirely from open-source repositories and from research groups in Europe and North America. No study known to the researcher has examined IaC adoption in a Cambodian organisation, which means local engineering teams making this decision have had to rely on evidence gathered elsewhere.</w:t>
      </w:r>
    </w:p>
    <w:p>
      <w:pPr>
        <w:spacing w:after="160" w:before="0" w:line="360"/>
        <w:jc w:val="both"/>
      </w:pPr>
      <w:r>
        <w:t xml:space="preserve">Against this background, the present study took one documented, containerised AWS architecture, wrote it as Terraform modules, ran those modules through a GitHub Actions pipeline, and measured what changed. It combined controlled, repeated measurement, which establishes how large and how stable the effects are, with an analysis of the implementation record, which explains what made the change difficult. The aim was neither to advocate for Terraform nor to dismiss manual work, but to produce evidence that an engineering team in this setting could use.</w:t>
      </w:r>
    </w:p>
    <w:p>
      <w:pPr>
        <w:pStyle w:val="Heading2"/>
        <w:keepNext/>
        <w:spacing w:after="140" w:before="280"/>
      </w:pPr>
      <w:r>
        <w:t xml:space="preserve">1.2 Statement of the Research Problem</w:t>
      </w:r>
    </w:p>
    <w:p>
      <w:pPr>
        <w:spacing w:after="160" w:before="0" w:line="360"/>
        <w:jc w:val="both"/>
      </w:pPr>
      <w:r>
        <w:t xml:space="preserve">The architecture examined in this study is a set of five containerised microservices (authentication, messaging, user profile, finance and file sharing) delivered by a pipeline that handles application code well. A commit to the application repository triggers an automated build, and the resulting container image is pushed to Amazon Elastic Container Registry (ECR), where it is scanned for vulnerabilities. Before this study the automation stopped at that point. It covered the application, not the infrastructure the application runs on.</w:t>
      </w:r>
    </w:p>
    <w:p>
      <w:pPr>
        <w:spacing w:after="160" w:before="0" w:line="360"/>
        <w:jc w:val="both"/>
      </w:pPr>
      <w:r>
        <w:t xml:space="preserve">The AWS environment itself was not defined as code. The Virtual Private Cloud (VPC), its subnets in two Availability Zones, the Internet and Network Address Translation (NAT) gateways, route tables, security groups, the Application Load Balancer (ALB), the Elastic Container Service (ECS) clusters, task definitions and Fargate services, the API Gateway and its private VPC Link, the Identity and Access Management (IAM) roles and policies, the monitoring alarms and the scaling policies were all created and modified through the console or the command line by hand.</w:t>
      </w:r>
    </w:p>
    <w:p>
      <w:pPr>
        <w:spacing w:after="160" w:before="0" w:line="360"/>
        <w:jc w:val="both"/>
      </w:pPr>
      <w:r>
        <w:t xml:space="preserve">Three consequences follow. First, infrastructure changes were not version-controlled and not peer-reviewed, so there was no record of who changed what, when, or why. In a regulated financial institution this is a compliance problem as well as an engineering one. Second, nothing kept development, staging and production aligned, so environments could drift apart, making testing in a lower environment progressively less trustworthy. Third, rebuilding an environment depended on what individual engineers remembered rather than on code that could simply be run again, which matters for disaster recovery, for expanding into another region, and for creating an isolated environment in which to test.</w:t>
      </w:r>
    </w:p>
    <w:p>
      <w:pPr>
        <w:spacing w:after="160" w:before="0" w:line="360"/>
        <w:jc w:val="both"/>
      </w:pPr>
      <w:r>
        <w:t xml:space="preserve">What is contested is not whether this is a problem but how much difference fixing it makes. One position holds that the benefit is obvious and large, and points to frequently repeated claims of deployment-time reductions of around 50 per cent. A second position holds that the benefit is offset by new costs: state file management, secrets handling, a steep learning curve, and the ongoing maintenance of modules that go out of date. There is evidence for the second position. A study of Terraform module dependencies found that teams postpone updates and that the resulting technical lag can persist for months (Begoug, Ouni, &amp; Chouchen, 2025), and a study of 812 open-source Terraform projects found that developers apply access-control policies fairly consistently but neglect encryption at rest (Verdet et al., 2025). Writing infrastructure as code does not by itself make it well configured.</w:t>
      </w:r>
    </w:p>
    <w:p>
      <w:pPr>
        <w:spacing w:after="160" w:before="0" w:line="360"/>
        <w:jc w:val="both"/>
      </w:pPr>
      <w:r>
        <w:t xml:space="preserve">Deciding between these positions requires measurement in a specific setting, and that measurement did not exist. The problem this study addresses is therefore the absence of a designed, implemented and measured Terraform codebase, integrated into a GitHub Actions pipeline, for a defined containerised AWS architecture, evaluated against the manual provisioning it is intended to replace.</w:t>
      </w:r>
    </w:p>
    <w:p>
      <w:pPr>
        <w:pStyle w:val="Heading2"/>
        <w:keepNext/>
        <w:spacing w:after="140" w:before="280"/>
      </w:pPr>
      <w:r>
        <w:t xml:space="preserve">1.3 Research Gap</w:t>
      </w:r>
    </w:p>
    <w:p>
      <w:pPr>
        <w:spacing w:after="160" w:before="0" w:line="360"/>
        <w:jc w:val="both"/>
      </w:pPr>
      <w:r>
        <w:t xml:space="preserve">Three gaps follow from the discussion above and are developed more fully in Chapter 2.</w:t>
      </w:r>
    </w:p>
    <w:p>
      <w:pPr>
        <w:spacing w:after="160" w:before="0" w:line="360"/>
        <w:jc w:val="both"/>
      </w:pPr>
      <w:r>
        <w:t xml:space="preserve">The empirical gap is that no published study located in this review measures Terraform against manual provisioning of the same architecture. The closest available work compares Terraform against other IaC tools, namely Pulumi and AWS CloudFormation, on an architecture similar to the one studied here (Regvart et al., 2026). That design answers the question of which tool to choose. It does not answer the question facing an organisation that has no IaC at all, which is whether adopting any of them is worth the effort.</w:t>
      </w:r>
    </w:p>
    <w:p>
      <w:pPr>
        <w:spacing w:after="160" w:before="0" w:line="360"/>
        <w:jc w:val="both"/>
      </w:pPr>
      <w:r>
        <w:t xml:space="preserve">The theoretical gap concerns pipeline integration. Existing work treats IaC and CI/CD as separate objects of study. Terraform research examines code, modules and security in isolation from any pipeline (Begoug, Ouni, &amp; Chouchen, 2025; Verdet et al., 2025), while CI/CD research examines pipelines without asking what they provision (Hilton et al., 2016; Kinsman et al., 2021). Yet the control benefit of IaC, meaning review, approval and an audit trail, only arrives when infrastructure changes are forced through the pipeline. Running Terraform from a laptop produces a version-controlled file but no reviewed change. This study therefore treats pipeline integration depth as a distinct construct rather than an implementation detail.</w:t>
      </w:r>
    </w:p>
    <w:p>
      <w:pPr>
        <w:spacing w:after="160" w:before="0" w:line="360"/>
        <w:jc w:val="both"/>
      </w:pPr>
      <w:r>
        <w:t xml:space="preserve">The contextual gap is the absence of evidence from Cambodia. The reviewed literature draws on open-source repositories and on studies conducted in Europe and North America. Findings generated in those settings cannot simply be assumed to transfer to an organisation operating under different regulatory expectations, with different team sizes and different levels of prior tooling experience.</w:t>
      </w:r>
    </w:p>
    <w:p>
      <w:pPr>
        <w:spacing w:after="160" w:before="0" w:line="360"/>
        <w:jc w:val="both"/>
      </w:pPr>
      <w:r>
        <w:t xml:space="preserve">This study addressed all three gaps together. It compared IaC with manual provisioning rather than with a rival tool; it modelled pipeline integration depth explicitly; and it did so in a Cambodian organisational setting for which no comparable evidence exists.</w:t>
      </w:r>
    </w:p>
    <w:p>
      <w:pPr>
        <w:pStyle w:val="Heading2"/>
        <w:keepNext/>
        <w:spacing w:after="140" w:before="280"/>
      </w:pPr>
      <w:r>
        <w:t xml:space="preserve">1.4 Research Aim</w:t>
      </w:r>
    </w:p>
    <w:p>
      <w:pPr>
        <w:spacing w:after="160" w:before="0" w:line="360"/>
        <w:jc w:val="both"/>
      </w:pPr>
      <w:r>
        <w:t xml:space="preserve">The aim of this study was to design, implement and evaluate a modular Terraform codebase for a containerised AWS architecture, integrated into a GitHub Actions CI/CD pipeline, in order to establish how far this approach improves provisioning duration, environment consistency, reproducibility and version-control coverage compared with manual provisioning, and to explain the practical barriers encountered in making the change.</w:t>
      </w:r>
    </w:p>
    <w:p>
      <w:pPr>
        <w:pStyle w:val="Heading2"/>
        <w:keepNext/>
        <w:spacing w:after="140" w:before="280"/>
      </w:pPr>
      <w:r>
        <w:t xml:space="preserve">1.5 Research Objectives</w:t>
      </w:r>
    </w:p>
    <w:p>
      <w:pPr>
        <w:spacing w:after="160" w:before="0" w:line="360"/>
        <w:jc w:val="both"/>
      </w:pPr>
      <w:r>
        <w:t xml:space="preserve">The study pursued the following specific objectives:</w:t>
      </w:r>
    </w:p>
    <w:p>
      <w:pPr>
        <w:spacing w:after="80" w:before="0" w:line="360"/>
        <w:ind w:left="360"/>
        <w:jc w:val="both"/>
      </w:pPr>
      <w:r>
        <w:t xml:space="preserve">1. To document how the target architecture was provisioned and to identify which components were created by hand, absent from version control, or configured differently across environments.</w:t>
      </w:r>
    </w:p>
    <w:p>
      <w:pPr>
        <w:spacing w:after="80" w:before="0" w:line="360"/>
        <w:ind w:left="360"/>
        <w:jc w:val="both"/>
      </w:pPr>
      <w:r>
        <w:t xml:space="preserve">2. To design and build a modular Terraform codebase that provisions the full architecture, using an Amazon Simple Storage Service (S3) backend for remote state and Amazon DynamoDB for state locking, parameterised so that the same code can serve more than one environment.</w:t>
      </w:r>
    </w:p>
    <w:p>
      <w:pPr>
        <w:spacing w:after="80" w:before="0" w:line="360"/>
        <w:ind w:left="360"/>
        <w:jc w:val="both"/>
      </w:pPr>
      <w:r>
        <w:t xml:space="preserve">3. To integrate Terraform into a GitHub Actions pipeline that can destroy, rebuild and redeploy the environment and record the timing of every stage.</w:t>
      </w:r>
    </w:p>
    <w:p>
      <w:pPr>
        <w:spacing w:after="80" w:before="0" w:line="360"/>
        <w:ind w:left="360"/>
        <w:jc w:val="both"/>
      </w:pPr>
      <w:r>
        <w:t xml:space="preserve">4. To measure provisioning duration, configuration drift, reproducibility and version-control coverage under the Terraform approach and compare them with manual provisioning.</w:t>
      </w:r>
    </w:p>
    <w:p>
      <w:pPr>
        <w:spacing w:after="80" w:before="0" w:line="360"/>
        <w:ind w:left="360"/>
        <w:jc w:val="both"/>
      </w:pPr>
      <w:r>
        <w:t xml:space="preserve">5. To identify the practical barriers and enablers encountered during implementation, and to propose evidence-based recommendations for engineering teams, platform managers and technology governance functions in Cambodia.</w:t>
      </w:r>
    </w:p>
    <w:p>
      <w:pPr>
        <w:pStyle w:val="Heading2"/>
        <w:keepNext/>
        <w:spacing w:after="140" w:before="280"/>
      </w:pPr>
      <w:r>
        <w:t xml:space="preserve">1.6 Research Questions and Hypotheses</w:t>
      </w:r>
    </w:p>
    <w:p>
      <w:pPr>
        <w:pStyle w:val="Heading3"/>
        <w:keepNext/>
        <w:spacing w:after="120" w:before="220"/>
      </w:pPr>
      <w:r>
        <w:t xml:space="preserve">1.6.1 Research Questions</w:t>
      </w:r>
    </w:p>
    <w:p>
      <w:pPr>
        <w:spacing w:after="160" w:before="0" w:line="360"/>
        <w:jc w:val="both"/>
      </w:pPr>
      <w:r>
        <w:t xml:space="preserve">The study was guided by one overarching question: what difference does a Terraform-based, pipeline-integrated approach make to the provisioning of a containerised AWS architecture, and what makes that change difficult in practice? This was addressed through four subsidiary questions:</w:t>
      </w:r>
    </w:p>
    <w:p>
      <w:pPr>
        <w:spacing w:after="80" w:before="0" w:line="360"/>
        <w:ind w:left="360"/>
        <w:jc w:val="both"/>
      </w:pPr>
      <w:r>
        <w:t xml:space="preserve">RQ1. How is the target architecture provisioned, and what proportion of its components are under version control?</w:t>
      </w:r>
    </w:p>
    <w:p>
      <w:pPr>
        <w:spacing w:after="80" w:before="0" w:line="360"/>
        <w:ind w:left="360"/>
        <w:jc w:val="both"/>
      </w:pPr>
      <w:r>
        <w:t xml:space="preserve">RQ2. To what extent does Terraform-based provisioning differ from manual provisioning in provisioning duration, configuration drift, reproducibility and version-control coverage?</w:t>
      </w:r>
    </w:p>
    <w:p>
      <w:pPr>
        <w:spacing w:after="80" w:before="0" w:line="360"/>
        <w:ind w:left="360"/>
        <w:jc w:val="both"/>
      </w:pPr>
      <w:r>
        <w:t xml:space="preserve">RQ3. Does the depth of pipeline integration moderate the relationship between provisioning method and configuration drift?</w:t>
      </w:r>
    </w:p>
    <w:p>
      <w:pPr>
        <w:spacing w:after="80" w:before="0" w:line="360"/>
        <w:ind w:left="360"/>
        <w:jc w:val="both"/>
      </w:pPr>
      <w:r>
        <w:t xml:space="preserve">RQ4. What practical barriers and enablers arise when an AWS architecture is moved onto Terraform and integrated into a CI/CD pipeline?</w:t>
      </w:r>
    </w:p>
    <w:p>
      <w:pPr>
        <w:spacing w:after="160" w:before="0" w:line="360"/>
        <w:jc w:val="both"/>
      </w:pPr>
      <w:r>
        <w:t xml:space="preserve">RQ1 to RQ3 were addressed in the quantitative strand; RQ4 was addressed in the qualitative strand and was also used to interpret the results of RQ2 and RQ3. The alignment between questions, data sources and analytical techniques is set out in Table 3.1.</w:t>
      </w:r>
    </w:p>
    <w:p>
      <w:pPr>
        <w:pStyle w:val="Heading3"/>
        <w:keepNext/>
        <w:spacing w:after="120" w:before="220"/>
      </w:pPr>
      <w:r>
        <w:t xml:space="preserve">1.6.2 Hypotheses</w:t>
      </w:r>
    </w:p>
    <w:p>
      <w:pPr>
        <w:spacing w:after="160" w:before="0" w:line="360"/>
        <w:jc w:val="both"/>
      </w:pPr>
      <w:r>
        <w:t xml:space="preserve">Consistent with the framework developed in Section 2.9, the following directional hypotheses were proposed for the quantitative strand:</w:t>
      </w:r>
    </w:p>
    <w:p>
      <w:pPr>
        <w:spacing w:after="80" w:before="0" w:line="360"/>
        <w:ind w:left="360"/>
        <w:jc w:val="both"/>
      </w:pPr>
      <w:r>
        <w:t xml:space="preserve">H1. Terraform-based provisioning produces a significantly shorter provisioning duration than manual provisioning.</w:t>
      </w:r>
    </w:p>
    <w:p>
      <w:pPr>
        <w:spacing w:after="80" w:before="0" w:line="360"/>
        <w:ind w:left="360"/>
        <w:jc w:val="both"/>
      </w:pPr>
      <w:r>
        <w:t xml:space="preserve">H2. Terraform-based provisioning produces significantly lower configuration drift between environments than manual provisioning.</w:t>
      </w:r>
    </w:p>
    <w:p>
      <w:pPr>
        <w:spacing w:after="80" w:before="0" w:line="360"/>
        <w:ind w:left="360"/>
        <w:jc w:val="both"/>
      </w:pPr>
      <w:r>
        <w:t xml:space="preserve">H3. Terraform-based provisioning achieves a significantly higher rate of successful destroy-and-rebuild reproduction than manual provisioning.</w:t>
      </w:r>
    </w:p>
    <w:p>
      <w:pPr>
        <w:spacing w:after="80" w:before="0" w:line="360"/>
        <w:ind w:left="360"/>
        <w:jc w:val="both"/>
      </w:pPr>
      <w:r>
        <w:t xml:space="preserve">H4. Integrating Terraform into the GitHub Actions pipeline significantly increases the proportion of infrastructure components that are under version control and subject to peer review.</w:t>
      </w:r>
    </w:p>
    <w:p>
      <w:pPr>
        <w:spacing w:after="80" w:before="0" w:line="360"/>
        <w:ind w:left="360"/>
        <w:jc w:val="both"/>
      </w:pPr>
      <w:r>
        <w:t xml:space="preserve">H5. Pipeline integration depth significantly moderates the relationship between provisioning method and configuration drift, such that the reduction in drift is larger when changes must pass a gated plan and apply than when Terraform is run locally without review.</w:t>
      </w:r>
    </w:p>
    <w:p>
      <w:pPr>
        <w:spacing w:after="160" w:before="0" w:line="360"/>
        <w:jc w:val="both"/>
      </w:pPr>
      <w:r>
        <w:t xml:space="preserve">Each hypothesis was stated in the alternative form and evaluated at the conventional significance level of </w:t>
      </w:r>
      <w:r>
        <w:rPr>
          <w:i/>
          <w:iCs/>
        </w:rPr>
        <w:t xml:space="preserve">p</w:t>
      </w:r>
      <w:r>
        <w:t xml:space="preserve"> &lt; .05, with effect sizes reported alongside significance values so that practical as well as statistical significance could be judged (Cohen, 1988; Field, 2018). Chapter 4 reports which hypotheses the collected data could test and which they could not.</w:t>
      </w:r>
    </w:p>
    <w:p>
      <w:pPr>
        <w:pStyle w:val="Heading2"/>
        <w:keepNext/>
        <w:spacing w:after="140" w:before="280"/>
      </w:pPr>
      <w:r>
        <w:t xml:space="preserve">1.7 Significance of the Study</w:t>
      </w:r>
    </w:p>
    <w:p>
      <w:pPr>
        <w:spacing w:after="160" w:before="0" w:line="360"/>
        <w:jc w:val="both"/>
      </w:pPr>
      <w:r>
        <w:t xml:space="preserve">Theoretically, the study contributes to the IaC literature by changing the comparison. Existing experimental work asks which IaC tool performs best; this study asks what IaC is worth compared with no IaC at all, which is the decision an organisation without it actually faces. It also treats pipeline integration depth as a construct in its own right, on the argument that the governance benefits of IaC are produced by the review gate rather than by the file format.</w:t>
      </w:r>
    </w:p>
    <w:p>
      <w:pPr>
        <w:spacing w:after="160" w:before="0" w:line="360"/>
        <w:jc w:val="both"/>
      </w:pPr>
      <w:r>
        <w:t xml:space="preserve">Practically, the study gives engineering teams and platform managers a module structure and pipeline configuration they can reuse, together with measured figures for provisioning duration, destruction duration, service recovery time and reproducibility. Because engineering time is finite, evidence about the size of the benefit and the cost of obtaining it is directly usable in planning. The qualitative strand adds the implementation detail that measurement alone cannot supply, indicating not only what improves but what is likely to go wrong on the way.</w:t>
      </w:r>
    </w:p>
    <w:p>
      <w:pPr>
        <w:spacing w:after="160" w:before="0" w:line="360"/>
        <w:jc w:val="both"/>
      </w:pPr>
      <w:r>
        <w:t xml:space="preserve">At the governance level, the study speaks to a control requirement rather than a preference. Where infrastructure changes must be auditable, the version-control coverage measure is a compliance indicator, not a convenience. Supplying Cambodian evidence on this point responds to a gap that imported studies cannot fill.</w:t>
      </w:r>
    </w:p>
    <w:p>
      <w:pPr>
        <w:spacing w:after="160" w:before="0" w:line="360"/>
        <w:jc w:val="both"/>
      </w:pPr>
      <w:r>
        <w:t xml:space="preserve">Methodologically, the study shows how an explanatory sequential mixed methods design can be applied to an engineering artefact rather than to a human population, using controlled repeated deployment for the quantitative strand and the version-control history of the implementation for the qualitative strand. For the University of Puthisastra, it contributes a documented, reusable measurement procedure and Terraform codebase that later student projects can extend.</w:t>
      </w:r>
    </w:p>
    <w:p>
      <w:pPr>
        <w:pStyle w:val="Heading2"/>
        <w:keepNext/>
        <w:spacing w:after="140" w:before="280"/>
      </w:pPr>
      <w:r>
        <w:t xml:space="preserve">1.8 Scope and Delimitations</w:t>
      </w:r>
    </w:p>
    <w:p>
      <w:pPr>
        <w:spacing w:after="160" w:before="0" w:line="360"/>
        <w:jc w:val="both"/>
      </w:pPr>
      <w:r>
        <w:t xml:space="preserve">The study was delimited in four respects. In terms of content, it covered only the components of the architecture described in Section 1.2 and the four outcome measures specified in the conceptual framework. Other plausible outcomes of IaC adoption, such as monthly cloud cost or team onboarding time, are acknowledged but were not measured. In terms of tooling, it examined Terraform only; Pulumi and AWS CloudFormation are discussed in Chapter 2 as context but were not tested, since Regvart et al. (2026) have already compared them.</w:t>
      </w:r>
    </w:p>
    <w:p>
      <w:pPr>
        <w:spacing w:after="160" w:before="0" w:line="360"/>
        <w:jc w:val="both"/>
      </w:pPr>
      <w:r>
        <w:t xml:space="preserve">In terms of environment, all provisioning runs were performed in an isolated AWS account in a single region. No change was made to any live environment of the case organisation, and no production or customer data was accessed. Temporally, module development took place in December 2025 and the measurement campaign on 14 and 15 October 2026; because Terraform and GitHub Actions change frequently, results apply to the versions recorded in Chapter 4.</w:t>
      </w:r>
    </w:p>
    <w:p>
      <w:pPr>
        <w:spacing w:after="160" w:before="0" w:line="360"/>
        <w:jc w:val="both"/>
      </w:pPr>
      <w:r>
        <w:t xml:space="preserve">These delimitations were deliberate choices made to keep the study achievable within the time available for a master's dissertation. Their implications for the interpretation of results are revisited in Section 3.12 and discussed again in Chapters 5 and 6.</w:t>
      </w:r>
    </w:p>
    <w:p>
      <w:pPr>
        <w:pStyle w:val="Heading2"/>
        <w:keepNext/>
        <w:spacing w:after="140" w:before="280"/>
      </w:pPr>
      <w:r>
        <w:t xml:space="preserve">1.9 Definition of Key Terms</w:t>
      </w:r>
    </w:p>
    <w:p>
      <w:pPr>
        <w:spacing w:after="160" w:before="0" w:line="360"/>
        <w:jc w:val="both"/>
      </w:pPr>
      <w:r>
        <w:t xml:space="preserve">The following terms are used throughout this dissertation with the meanings given below. Conceptual definitions state what each construct means theoretically; operational definitions state how it was measured in this study.</w:t>
      </w:r>
    </w:p>
    <w:p>
      <w:pPr>
        <w:keepNext/>
        <w:spacing w:after="100" w:before="200" w:line="240"/>
        <w:jc w:val="left"/>
      </w:pPr>
      <w:r>
        <w:rPr>
          <w:b/>
          <w:bCs/>
        </w:rPr>
        <w:t xml:space="preserve">Table 1.1 </w:t>
      </w:r>
      <w:r>
        <w:rPr>
          <w:i/>
          <w:iCs/>
        </w:rPr>
        <w:t xml:space="preserve">Definition of Key Terms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900"/>
        <w:gridCol w:w="3370"/>
        <w:gridCol w:w="3370"/>
      </w:tblGrid>
      <w:tr>
        <w:trPr>
          <w:tblHeader/>
        </w:trPr>
        <w:tc>
          <w:tcPr>
            <w:tcW w:type="dxa" w:w="19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Term</w:t>
            </w:r>
          </w:p>
        </w:tc>
        <w:tc>
          <w:tcPr>
            <w:tcW w:type="dxa" w:w="337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Conceptual Definition</w:t>
            </w:r>
          </w:p>
        </w:tc>
        <w:tc>
          <w:tcPr>
            <w:tcW w:type="dxa" w:w="337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Operational Definition in This Study</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Infrastructure as Code</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Defining and managing computing infrastructure through machine-readable definition files kept under version control (Rahman, Mahdavi-Hezaveh, &amp; Williams, 2019; Kumara et al., 2021).</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Provisioning performed by executing the Terraform configuration stored in the project repository.</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Provisioning method</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The means by which cloud resources are created, changed and destroyed.</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Two levels: Terraform executed by the GitHub Actions pipeline, and manual creation through the AWS console (simulated in this study).</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Provisioning duration</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Elapsed wall-clock time needed to bring an environment from an empty state to a fully working state.</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Seconds from the start of the first create step to all five ECS services reaching steady state, recorded by the pipeline per phase.</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Configuration drift</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Unintended divergence in configuration between environments meant to be equivalent (Kumara et al., 2021).</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Count of resource attributes that differ between environments, excluding a pre-declared list of intentional differences.</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Reproducibility</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The ability to recreate an environment identically from its definition.</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Proportion of destroy-and-rebuild cycles that completed without error and returned every service to a healthy steady state.</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Version-control coverage</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The extent to which infrastructure components are defined in files held in version control.</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Components of the architecture inventory fully defined in the repository, divided by all components, as a percentage.</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Pipeline integration depth</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The degree to which infrastructure changes are compelled to pass through automated validation and human review before taking effect.</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Ordered levels: (1) local execution, no review; (2) pipeline execution; (3) plan on pull request with gated apply on merge.</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Technical lag</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The period during which a configuration remains on an older version than the latest upstream release (Begoug, Ouni, &amp; Chouchen, 2025).</w:t>
            </w:r>
          </w:p>
        </w:tc>
        <w:tc>
          <w:tcPr>
            <w:tcW w:type="dxa" w:w="3370"/>
            <w:tcMar>
              <w:top w:type="dxa" w:w="80"/>
              <w:left w:type="dxa" w:w="110"/>
              <w:bottom w:type="dxa" w:w="80"/>
              <w:right w:type="dxa" w:w="110"/>
            </w:tcMar>
            <w:vAlign w:val="center"/>
          </w:tcPr>
          <w:p>
            <w:pPr>
              <w:spacing w:after="40" w:line="240"/>
              <w:jc w:val="left"/>
            </w:pPr>
            <w:r>
              <w:rPr>
                <w:b w:val="false"/>
                <w:bCs w:val="false"/>
                <w:sz w:val="20"/>
                <w:szCs w:val="20"/>
              </w:rPr>
              <w:t xml:space="preserve">Not measured directly; used to justify version pinning.</w:t>
            </w:r>
          </w:p>
        </w:tc>
      </w:tr>
    </w:tbl>
    <w:p>
      <w:pPr>
        <w:spacing w:after="200" w:before="60" w:line="240"/>
        <w:jc w:val="left"/>
      </w:pPr>
      <w:r>
        <w:rPr>
          <w:i/>
          <w:iCs/>
          <w:sz w:val="20"/>
          <w:szCs w:val="20"/>
        </w:rPr>
        <w:t xml:space="preserve">Note. </w:t>
      </w:r>
      <w:r>
        <w:rPr>
          <w:sz w:val="20"/>
          <w:szCs w:val="20"/>
        </w:rPr>
        <w:t xml:space="preserve">Every construct shown in the conceptual framework in Figure 2.1 appears in this table.</w:t>
      </w:r>
    </w:p>
    <w:p>
      <w:pPr>
        <w:pStyle w:val="Heading2"/>
        <w:keepNext/>
        <w:spacing w:after="140" w:before="280"/>
      </w:pPr>
      <w:r>
        <w:t xml:space="preserve">1.10 Organisation of the Dissertation</w:t>
      </w:r>
    </w:p>
    <w:p>
      <w:pPr>
        <w:spacing w:after="160" w:before="0" w:line="360"/>
        <w:jc w:val="both"/>
      </w:pPr>
      <w:r>
        <w:t xml:space="preserve">This dissertation is presented in six chapters. Chapter 1 has introduced the research by setting out its background, problem, gap, aim, objectives, questions, hypotheses, significance and scope. Chapter 2 reviews the theoretical and empirical literature, summarises and compares twenty prior studies, establishes the research gap and derives the conceptual framework and hypotheses. Chapter 3 explains the research philosophy, design, sampling, instruments, procedures, analytical techniques, quality criteria and ethical safeguards. Chapter 4 presents the quantitative and qualitative results and their integration, without interpretation. Chapter 5 discusses those results in relation to the literature and proposes a revised conceptual framework. Chapter 6 states the conclusions reached against each objective, the contributions, recommendations and limitations of the study, and directions for future research.</w:t>
      </w:r>
    </w:p>
    <w:p>
      <w:pPr>
        <w:pStyle w:val="Heading1"/>
        <w:pageBreakBefore/>
        <w:spacing w:after="240" w:before="240"/>
        <w:jc w:val="left"/>
      </w:pPr>
      <w:r>
        <w:t xml:space="preserve">CHAPTER 2: LITERATURE REVIEW</w:t>
      </w:r>
    </w:p>
    <w:p>
      <w:pPr>
        <w:pStyle w:val="Heading2"/>
        <w:keepNext/>
        <w:spacing w:after="140" w:before="280"/>
      </w:pPr>
      <w:r>
        <w:t xml:space="preserve">2.1 Introduction</w:t>
      </w:r>
    </w:p>
    <w:p>
      <w:pPr>
        <w:spacing w:after="160" w:before="0" w:line="360"/>
        <w:jc w:val="both"/>
      </w:pPr>
      <w:r>
        <w:t xml:space="preserve">This chapter reviews the literature that underpins the study. It describes how the literature was searched, examines the theoretical ideas used to explain IaC and continuous delivery, and justifies the framework adopted. It reviews the constructs of the study conceptually and then summarises twenty empirical studies, organised by theme and by geographical scope. A structured summary table records each study's problem, questions, method, data and findings, and a comparative table sets out their designs and limitations. The literature is then discussed critically, the research gap is stated, and the conceptual framework and hypotheses are derived.</w:t>
      </w:r>
    </w:p>
    <w:p>
      <w:pPr>
        <w:pStyle w:val="Heading2"/>
        <w:keepNext/>
        <w:spacing w:after="140" w:before="280"/>
      </w:pPr>
      <w:r>
        <w:t xml:space="preserve">2.2 Review Strategy</w:t>
      </w:r>
    </w:p>
    <w:p>
      <w:pPr>
        <w:spacing w:after="160" w:before="0" w:line="360"/>
        <w:jc w:val="both"/>
      </w:pPr>
      <w:r>
        <w:t xml:space="preserve">The review followed a structured, concept-centric procedure of the kind recommended by Webster and Watson (2002), supported by the transparency principles of the PRISMA 2020 statement (Page et al., 2021) without claiming to be a full systematic review. Searches were run in Google Scholar, the ACM Digital Library, IEEE Xplore, SpringerLink, ScienceDirect, MDPI and arXiv. Search terms were combined from three groups: the tool and practice ("infrastructure as code", "IaC", "Terraform", "provisioning automation"); the pipeline ("CI/CD", "continuous integration", "GitHub Actions", "deployment pipeline"); and the platform and setting ("AWS", "cloud infrastructure", and separately "Cambodia", "Southeast Asia" and "low- and middle-income countries").</w:t>
      </w:r>
    </w:p>
    <w:p>
      <w:pPr>
        <w:spacing w:after="160" w:before="0" w:line="360"/>
        <w:jc w:val="both"/>
      </w:pPr>
      <w:r>
        <w:t xml:space="preserve">Sources were included if they were peer-reviewed journal articles or conference papers, published between 2015 and 2026 (with older works admitted where they define a concept still in use), written in English, and reported theoretical or empirical work on IaC, CI/CD or cloud provisioning. Vendor material, opinion pieces without data and items whose method could not be verified were excluded. This last criterion removed several frequently repeated claims, including a 50 per cent reduction in deployment time, because the architecture, procedure and measurement method were not described in enough detail to be checked. Backward and forward citation tracking was applied to the most-cited studies. Every reference retained was checked against its publisher record and Digital Object Identifier (DOI).</w:t>
      </w:r>
    </w:p>
    <w:p>
      <w:pPr>
        <w:spacing w:after="160" w:before="0" w:line="360"/>
        <w:jc w:val="both"/>
      </w:pPr>
      <w:r>
        <w:t xml:space="preserve">Twenty studies were retained for detailed review. They cover IaC tool performance (1 study), IaC quality, security and maintenance (11 studies), CI/CD and GitHub Actions (6 studies), and DevOps and cloud architecture (2 studies). Searches combining IaC or Terraform with Cambodia or Southeast Asia returned no peer-reviewed empirical study; this is reported as a finding and forms part of the contextual gap in Section 2.8.</w:t>
      </w:r>
    </w:p>
    <w:p>
      <w:pPr>
        <w:pStyle w:val="Heading2"/>
        <w:keepNext/>
        <w:spacing w:after="140" w:before="280"/>
      </w:pPr>
      <w:r>
        <w:t xml:space="preserve">2.3 Theoretical Foundations</w:t>
      </w:r>
    </w:p>
    <w:p>
      <w:pPr>
        <w:pStyle w:val="Heading3"/>
        <w:keepNext/>
        <w:spacing w:after="120" w:before="220"/>
      </w:pPr>
      <w:r>
        <w:t xml:space="preserve">2.3.1 Infrastructure as Code as an Engineering Practice</w:t>
      </w:r>
    </w:p>
    <w:p>
      <w:pPr>
        <w:spacing w:after="160" w:before="0" w:line="360"/>
        <w:jc w:val="both"/>
      </w:pPr>
      <w:r>
        <w:t xml:space="preserve">IaC is not a single theory but a set of connected principles. The central one is declarative specification: the engineer describes the desired end state rather than the sequence of steps to reach it, and the tool works out the difference between the current and the desired state. A second principle is idempotence: applying the same definition twice produces the same result rather than duplicating resources. Rahman et al. (2020) found idempotency defects to be a distinct category of IaC fault, which underlines that this property is designed for rather than guaranteed. A third principle is version control, so that every change to infrastructure has an author, a timestamp and a reviewable history in the same way as a change to application code (Rahman, Mahdavi-Hezaveh, &amp; Williams, 2019).</w:t>
      </w:r>
    </w:p>
    <w:p>
      <w:pPr>
        <w:spacing w:after="160" w:before="0" w:line="360"/>
        <w:jc w:val="both"/>
      </w:pPr>
      <w:r>
        <w:t xml:space="preserve">Kumara et al. (2021) supply the most systematic account of these principles in practice, cataloguing ten categories of good practice and four of bad practice. Guerriero et al. (2019), interviewing practitioners in 44 companies, found that tool support for testing and maintaining infrastructure code was still limited. Treating these principles as theory rather than as tips generates testable expectations: if declarative specification and version control produce consistency, then an environment provisioned from code should show less drift than one provisioned by hand, and an environment that can be destroyed and rebuilt from its definition should reproduce faithfully.</w:t>
      </w:r>
    </w:p>
    <w:p>
      <w:pPr>
        <w:pStyle w:val="Heading3"/>
        <w:keepNext/>
        <w:spacing w:after="120" w:before="220"/>
      </w:pPr>
      <w:r>
        <w:t xml:space="preserve">2.3.2 The Deployment Pipeline</w:t>
      </w:r>
    </w:p>
    <w:p>
      <w:pPr>
        <w:spacing w:after="160" w:before="0" w:line="360"/>
        <w:jc w:val="both"/>
      </w:pPr>
      <w:r>
        <w:t xml:space="preserve">The second theoretical strand concerns the pipeline. The deployment pipeline concept holds that every change should travel to production through a single automated path, that each stage should give faster feedback than the one before, and that the path should be the only route by which change reaches production (Shahin et al., 2017). The last point is the important one for this study: a pipeline that can be bypassed provides no guarantee. Hilton et al. (2016) provide strong quantitative support for the value of the path, showing that projects using CI released about twice as often as those that did not, and Vasilescu et al. (2015) linked CI adoption to more accepted contributions without a rise in user-reported defects.</w:t>
      </w:r>
    </w:p>
    <w:p>
      <w:pPr>
        <w:spacing w:after="160" w:before="0" w:line="360"/>
        <w:jc w:val="both"/>
      </w:pPr>
      <w:r>
        <w:t xml:space="preserve">Applied to infrastructure, this reasoning produces the construct of pipeline integration depth. Writing Terraform files satisfies the version-control principle, but if an engineer runs them from a laptop no reviewed gate exists. Depth of integration is therefore expected to matter independently of the file format, which is why it enters the framework as a moderator.</w:t>
      </w:r>
    </w:p>
    <w:p>
      <w:pPr>
        <w:pStyle w:val="Heading3"/>
        <w:keepNext/>
        <w:spacing w:after="120" w:before="220"/>
      </w:pPr>
      <w:r>
        <w:t xml:space="preserve">2.3.3 DevOps Capabilities and Outcome Measurement</w:t>
      </w:r>
    </w:p>
    <w:p>
      <w:pPr>
        <w:spacing w:after="160" w:before="0" w:line="360"/>
        <w:jc w:val="both"/>
      </w:pPr>
      <w:r>
        <w:t xml:space="preserve">The third strand supplies the logic of measurement. DevOps research treats practices such as version control of all production artefacts and deployment automation as capabilities to be evaluated against outcomes rather than opinion (Leite et al., 2019). This study borrows that logic rather than the conventional delivery measures (lead time, deployment frequency, change failure rate and time to restore), which describe application delivery. The equivalent infrastructure-side measures are provisioning duration, configuration drift, reproducibility and version-control coverage, and these are the four outcome variables adopted here.</w:t>
      </w:r>
    </w:p>
    <w:p>
      <w:pPr>
        <w:pStyle w:val="Heading3"/>
        <w:keepNext/>
        <w:spacing w:after="120" w:before="220"/>
      </w:pPr>
      <w:r>
        <w:t xml:space="preserve">2.3.4 Technology Acceptance Models and Why They Are Not Adopted</w:t>
      </w:r>
    </w:p>
    <w:p>
      <w:pPr>
        <w:spacing w:after="160" w:before="0" w:line="360"/>
        <w:jc w:val="both"/>
      </w:pPr>
      <w:r>
        <w:t xml:space="preserve">Four behavioural frameworks dominate technology research and were considered: the Technology Acceptance Model (Davis, 1989), the Unified Theory of Acceptance and Use of Technology (Venkatesh et al., 2003), Diffusion of Innovations theory (Rogers, 2003) and the Theory of Planned Behaviour (Ajzen, 1991). They were not adopted, for one reason: their unit of analysis is a person and their dependent variable is a perception or an intention, whereas the dependent variables here are properties of a system measured by instrumentation. Adopting an acceptance model would mean replacing measured provisioning duration with perceived speed, which would weaken the evidence. The frameworks remain relevant at one point: their finding that facilitating conditions constrain what individuals can enact anticipates the implementation barriers that RQ4 investigates.</w:t>
      </w:r>
    </w:p>
    <w:p>
      <w:pPr>
        <w:pStyle w:val="Heading3"/>
        <w:keepNext/>
        <w:spacing w:after="120" w:before="220"/>
      </w:pPr>
      <w:r>
        <w:t xml:space="preserve">2.3.5 Justification of the Theoretical Framework Adopted</w:t>
      </w:r>
    </w:p>
    <w:p>
      <w:pPr>
        <w:spacing w:after="160" w:before="0" w:line="360"/>
        <w:jc w:val="both"/>
      </w:pPr>
      <w:r>
        <w:t xml:space="preserve">This study therefore adopted IaC principles as its primary framework, with the deployment pipeline concept supplying the integration construct and DevOps capability logic supplying the measurement approach. Three considerations support this choice. The constructs map directly onto the research questions; the resulting variables are measurable by instrumentation, which removes common method bias as a threat; and the framework is compatible with the closest existing study, Regvart et al. (2026), whose repeated-deployment procedure could be adopted rather than invented. The framework is extended in one respect: the presence of code and the enforcement of review are treated as separable, with pipeline integration depth added as a moderator.</w:t>
      </w:r>
    </w:p>
    <w:p>
      <w:pPr>
        <w:pStyle w:val="Heading2"/>
        <w:keepNext/>
        <w:spacing w:after="140" w:before="280"/>
      </w:pPr>
      <w:r>
        <w:t xml:space="preserve">2.4 Conceptual Review of Key Constructs</w:t>
      </w:r>
    </w:p>
    <w:p>
      <w:pPr>
        <w:pStyle w:val="Heading3"/>
        <w:keepNext/>
        <w:spacing w:after="120" w:before="220"/>
      </w:pPr>
      <w:r>
        <w:t xml:space="preserve">2.4.1 Outcome Measures</w:t>
      </w:r>
    </w:p>
    <w:p>
      <w:pPr>
        <w:spacing w:after="160" w:before="0" w:line="360"/>
        <w:jc w:val="both"/>
      </w:pPr>
      <w:r>
        <w:t xml:space="preserve">Provisioning duration is the most frequently reported IaC outcome, but reported figures are hard to compare because architectures differ. Regvart et al. (2026) reported 253.33 s for Terraform and 622.97 s for AWS CloudFormation on a multi-tier architecture, with destruction slower than creation for every tool. Configuration drift, unintended divergence between environments meant to be equivalent, is widely cited as a motivation for IaC but rarely measured; the only verified empirical treatment located in this review proposes a three-level classification of drift for multi-environment Terraform (Kolomytskyi et al., 2026). Reproducibility is the ability to rebuild an environment identically from its definition; Regvart et al. (2026) report that no tool failed across thirty cycles, which establishes reliability but not attribute-level fidelity. Version-control coverage is the least discussed measure in the technical literature and the most important in a regulated setting, because it corresponds to auditability.</w:t>
      </w:r>
    </w:p>
    <w:p>
      <w:pPr>
        <w:pStyle w:val="Heading3"/>
        <w:keepNext/>
        <w:spacing w:after="120" w:before="220"/>
      </w:pPr>
      <w:r>
        <w:t xml:space="preserve">2.4.2 Provisioning Method</w:t>
      </w:r>
    </w:p>
    <w:p>
      <w:pPr>
        <w:spacing w:after="160" w:before="0" w:line="360"/>
        <w:jc w:val="both"/>
      </w:pPr>
      <w:r>
        <w:t xml:space="preserve">The provisioning method is the independent variable and takes two values: Terraform and manual creation through the AWS console. Terraform's relevant properties are its declarative language, its module system, its plan-before-apply model and its state file. Manual console provisioning has no equivalent literature, because research treats it as the problem rather than as an object of study. This absence is itself part of the gap: the baseline against which IaC benefits are claimed has not been measured.</w:t>
      </w:r>
    </w:p>
    <w:p>
      <w:pPr>
        <w:pStyle w:val="Heading3"/>
        <w:keepNext/>
        <w:spacing w:after="120" w:before="220"/>
      </w:pPr>
      <w:r>
        <w:t xml:space="preserve">2.4.3 Pipeline Integration Depth</w:t>
      </w:r>
    </w:p>
    <w:p>
      <w:pPr>
        <w:spacing w:after="160" w:before="0" w:line="360"/>
        <w:jc w:val="both"/>
      </w:pPr>
      <w:r>
        <w:t xml:space="preserve">Pipeline integration depth is the proposed additional construct: the degree to which infrastructure changes are compelled to pass through automated validation and human review before taking effect. It is treated as ordered, with three levels: local execution with no review; pipeline execution; and plan on pull request with gated apply on merge. Its inclusion is justified empirically by evidence that unreviewed infrastructure code deteriorates: security policies are frequently missing (Verdet et al., 2025), hard-coded secrets persist for months (Rahman, Parnin, &amp; Williams, 2019), and dependencies fall behind (Begoug, Ouni, &amp; Chouchen, 2025; Begoug, Ouni, &amp; Khelifi, 2025). It is justified theoretically by the deployment pipeline principle that a path which can be bypassed provides no guarantee.</w:t>
      </w:r>
    </w:p>
    <w:p>
      <w:pPr>
        <w:pStyle w:val="Heading2"/>
        <w:keepNext/>
        <w:spacing w:after="140" w:before="280"/>
      </w:pPr>
      <w:r>
        <w:t xml:space="preserve">2.5 Review of Previous Empirical Studies</w:t>
      </w:r>
    </w:p>
    <w:p>
      <w:pPr>
        <w:pStyle w:val="Heading3"/>
        <w:keepNext/>
        <w:spacing w:after="120" w:before="220"/>
      </w:pPr>
      <w:r>
        <w:t xml:space="preserve">2.5.1 Evidence from International Studies</w:t>
      </w:r>
    </w:p>
    <w:p>
      <w:pPr>
        <w:spacing w:after="160" w:before="0" w:line="360"/>
        <w:jc w:val="both"/>
      </w:pPr>
      <w:r>
        <w:t xml:space="preserve">Table 2.1 records, for each of the twenty studies, its author, year and title, the problem and research questions or hypotheses, the method and data collection, the main findings, and the DOI. The paragraphs that follow discuss the studies by theme and draw out their relevance.</w:t>
      </w:r>
    </w:p>
    <w:p>
      <w:pPr>
        <w:sectPr>
          <w:footerReference w:type="default" r:id="rId8"/>
          <w:pgSz w:w="12240" w:h="15840" w:orient="portrait"/>
          <w:pgMar w:top="1440" w:right="1440" w:bottom="1440" w:left="2160" w:header="720" w:footer="720" w:gutter="0"/>
          <w:pgNumType w:start="1" w:fmt="decimal"/>
          <w:docGrid w:linePitch="360"/>
        </w:sectPr>
      </w:pPr>
    </w:p>
    <w:p>
      <w:pPr>
        <w:keepNext/>
        <w:spacing w:after="100" w:before="200" w:line="240"/>
        <w:jc w:val="left"/>
      </w:pPr>
      <w:r>
        <w:rPr>
          <w:b/>
          <w:bCs/>
        </w:rPr>
        <w:t xml:space="preserve">Table 2.1 </w:t>
      </w:r>
      <w:r>
        <w:rPr>
          <w:i/>
          <w:iCs/>
        </w:rPr>
        <w:t xml:space="preserve">Summary of the Twenty Reviewed Articles</w:t>
      </w:r>
    </w:p>
    <w:tbl>
      <w:tblPr>
        <w:tblW w:type="dxa" w:w="12220"/>
        <w:tblBorders>
          <w:top w:val="single" w:color="000000" w:sz="6"/>
          <w:left w:val="none" w:color="FFFFFF" w:sz="0"/>
          <w:bottom w:val="single" w:color="000000" w:sz="6"/>
          <w:right w:val="none" w:color="FFFFFF" w:sz="0"/>
          <w:insideH w:val="single" w:color="BFBFBF" w:sz="2"/>
          <w:insideV w:val="none" w:color="FFFFFF" w:sz="0"/>
        </w:tblBorders>
      </w:tblPr>
      <w:tblGrid>
        <w:gridCol w:w="420"/>
        <w:gridCol w:w="2700"/>
        <w:gridCol w:w="2400"/>
        <w:gridCol w:w="2500"/>
        <w:gridCol w:w="2500"/>
        <w:gridCol w:w="1700"/>
      </w:tblGrid>
      <w:tr>
        <w:trPr>
          <w:tblHeader/>
        </w:trPr>
        <w:tc>
          <w:tcPr>
            <w:tcW w:type="dxa" w:w="42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No.</w:t>
            </w:r>
          </w:p>
        </w:tc>
        <w:tc>
          <w:tcPr>
            <w:tcW w:type="dxa" w:w="27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Author (year) and title</w:t>
            </w:r>
          </w:p>
        </w:tc>
        <w:tc>
          <w:tcPr>
            <w:tcW w:type="dxa" w:w="24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Problem and research questions</w:t>
            </w:r>
          </w:p>
        </w:tc>
        <w:tc>
          <w:tcPr>
            <w:tcW w:type="dxa" w:w="25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Method and data collection</w:t>
            </w:r>
          </w:p>
        </w:tc>
        <w:tc>
          <w:tcPr>
            <w:tcW w:type="dxa" w:w="25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Main findings</w:t>
            </w:r>
          </w:p>
        </w:tc>
        <w:tc>
          <w:tcPr>
            <w:tcW w:type="dxa" w:w="17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DOI</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Regvart, Vlahović &amp; Balković (2026). A controlled comparative evaluation of infrastructure as code tools: Deployment performance and maintainability across Terraform, Pulumi, and AWS CloudFormation.</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Controlled like-for-like comparisons of leading IaC tools are scarce. Aim: compare provisioning time, removal time, maintainability and operational behaviour.</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Controlled experiment. One multi-tier AWS architecture (VPC, 2 AZs, NAT, ALB, Auto Scaling, RDS) built in each tool; 30 deploy/destroy cycles per tool in eu-central-1 from one machine.</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Terraform 253.33 s (SD 8.42), Pulumi 279.37 s, CloudFormation 622.97 s (SD 29.92) to provision; destroy slower than create for all; no failed deployments.</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https://doi.org/10.3390/app16062971</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2</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Verdet, Hamdaqa, Da Silva &amp; Khomh (2025). Assessing the adoption of security policies by developers in Terraform across different cloud providers.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Terraform does not prevent insecure configuration. RQ1: which security guidelines map to Terraform policies? RQ2: how are they adopted?</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Repository mining and static analysis (Checkov, tfsec) of 812 GitHub projects for AWS, Azure and Google Cloud collected 2022–2023.</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Access-policy controls most adopted; encryption at rest most neglected; AWS and Azure similar; about 10% of checks gave conflicting verdicts between tools.</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https://doi.org/10.1007/s10664-024-10610-0</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3</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Begoug, Ouni &amp; Chouchen (2025). How do infrastructure-as-code practitioners update their dependencies? An empirical study on Terraform module updates.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Little is known about how Terraform users update module dependencies. RQs: update frequency, technical lag, and motivations.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Mixed methods: mining 13,490 Terraform commits from 131 open-source projects; thematic analysis of update commits.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Only 1.2% of commits updated modules; technical lag grew to about 10 months on average by 2024; main motivations were compatibility, security fixes and code quality.</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https://doi.org/10.1109/MSR66628.2025.00100</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4</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Begoug, Ouni &amp; Khelifi (2025). Understanding AWS provider dependency updates in infrastructure-as-code: Empirical study, taxonomy, and insights.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Do Terraform users keep the AWS provider current? RQs: lag, update frequency, review effort and motivations.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Mixed methods: 23,404 Terraform commits from 194 open-source projects, 2017–2025; thematic analysis.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Average provider lag of about 9 months by 2025; only 1.86% of commits updated the provider; nine motivations led by dependency management, compatibility and security.</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https://doi.org/10.1109/TSC.2025.3601051</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5</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Rostami Mazrae, Mens, Golzadeh &amp; Decan (2023). On the usage, co-usage and migration of CI/CD tools: A qualitative analysis.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Quantitative studies showed CI tool shifts without explaining them. RQs on tools used, reasons, automated activities, valued features, shortcomings, co-usage and migration.</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Semi-structured interviews with 22 experienced practitioners covering 31 CI/CD tools; inductive and deductive coding to saturation.</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Strong competition between CI tools; co-usage common (13 of 22); migrations trend from Travis CI to GitHub Actions; YAML learning curve and inability to test workflows locally are key barriers.</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https://doi.org/10.1007/s10664-022-10285-5</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6</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Villamizar et al. (2017). Cost comparison of running web applications in the cloud using monolithic, microservice, and AWS Lambda architectures.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The infrastructure cost of microservices was unclear. Not stated as RQs.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Experimental comparison: one application deployed as a monolith, as customer-operated microservices and on AWS Lambda; identical scaling scenarios.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Microservices reduced cost relative to the monolith; Lambda reduced cost by 70% or more and held response times as load grew.</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https://doi.org/10.1007/s11761-017-0208-y</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7</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Guerriero, Garriga, Tamburri &amp; Palomba (2019). Adoption, support, and challenges of infrastructure-as-code: Insights from industry.</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Industrial IaC practice was poorly understood. Aims: how practitioners adopt IaC, what tool support exists, what they need.</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Semi-structured interviews with 44 senior developers from 44 companies.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Tool support is limited; practitioners want better techniques for testing and maintaining infrastructure code; hardcoded values are a recognised bad practice.</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https://doi.org/10.1109/ICSME.2019.00092</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8</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Kumara et al. (2021). The do's and don'ts of infrastructure code: A systematic gray literature review.</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Academic literature offers few IaC practices while practitioner literature is abundant. Aim: define IaC and catalogue good and bad practices.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Systematic grey literature review of practitioner blogs, tutorials and white papers; qualitative analysis.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Taxonomy of 10 good-practice and 4 bad-practice categories, language-agnostic and tool-specific (Ansible, Puppet, Chef); field judged immature.</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https://doi.org/10.1016/j.infsof.2021.106593</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9</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Hilton, Tunnell, Huang, Marinov &amp; Dig (2016). Usage, costs, and benefits of continuous integration in open-source projects.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CI was widely used but its usage, costs and benefits lacked evidence. 14 RQs on usage, costs and benefits.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Repository mining of 34,544 GitHub projects and 1,529,291 Travis CI builds; survey of 442 developers.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40% of projects used CI (about 70% of the most popular); CI projects released about twice as often; pull requests accepted 1.6 hours sooner.</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https://doi.org/10.1145/2970276.2970358</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10</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Rahman, Mahdavi-Hezaveh &amp; Williams (2019). A systematic mapping study of infrastructure as code research.</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No map of IaC research existed. RQ1 topics studied; RQ2 publication trends; RQ3 tool trends.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Systematic mapping: five databases, 31,498 hits screened to 32 studies.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Four topics (frameworks/tools, adoption, empirical studies, testing); half the studies propose tools; defects and security under-studied.</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https://doi.org/10.1016/j.infsof.2018.12.004</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11</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Rahman, Parnin &amp; Williams (2019). The seven sins: Security smells in infrastructure as code scripts.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Insecure coding patterns in IaC scripts may lead to breaches. Which security smells occur, how often, and how practitioners respond?</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Qualitative analysis of 1,726 Puppet scripts; static analysis (SLIC) of 15,232 scripts from 293 repositories; 1,000 bug reports.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Seven smells, 21,201 occurrences including 1,326 hard-coded passwords; 148 of 212 responded reports accepted; hard-coded secrets persisted a median of 20 months.</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https://doi.org/10.1109/ICSE.2019.00033</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12</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Rahman &amp; Williams (2019). Source code properties of defective infrastructure as code scripts.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Defective IaC scripts weaken deployment pipelines. H: code properties correlate with defects; RQs on properties, practitioner agreement and prediction.</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Qualitative analysis of defect commits; practitioner survey; prediction models on 2,439 Puppet scripts from 94 repositories.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Ten properties identified; lines of code and hard-coded strings most associated with defects; prediction precision 0.70–0.78.</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https://doi.org/10.1016/j.infsof.2019.04.013</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13</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Rahman, Farhana, Parnin &amp; Williams (2020). Gang of eight: A defect taxonomy for infrastructure as code scripts.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IaC defects can cause large outages but had no taxonomy. Which defect categories exist and how frequent are they?</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Qualitative analysis of 1,448 defect commits; survey of 66 practitioners; mining 80,425 commits from 291 repositories.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Eight categories including idempotency (re-running a script provisions incorrectly); configuration-data errors most frequent.</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https://doi.org/10.1145/3377811.3380409</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14</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Shahin, Ali Babar &amp; Zhu (2017). Continuous integration, delivery and deployment: A systematic review on approaches, tools, challenges and practices.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The literature on continuous practices needed synthesis. RQ1–RQ4 on approaches, pipeline tools, challenges and practices.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Systematic literature review of 69 papers (2004–2016); thematic analysis.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30 approaches in six aims; testing effort, team awareness and suitable infrastructure are critical; secure pipeline design is a gap.</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https://doi.org/10.1109/ACCESS.2017.2685629</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15</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Vasilescu, Yu, Wang, Devanbu &amp; Filkov (2015). Quality and productivity outcomes relating to continuous integration in GitHub.</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Does CI improve productivity and quality? RQ1 productivity; RQ2 quality.</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Repository mining and regression on 246 GitHub projects using Travis CI (from 1,884 candidates).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After CI adoption more pull requests from core developers were accepted; user-reported bugs did not rise while developer-found bugs did.</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https://doi.org/10.1145/2786805.2786850</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16</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Kinsman, Wessel, Gerosa &amp; Treude (2021). How do software developers use GitHub Actions to automate their workflows?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GitHub Actions was new and unevaluated. RQ1 usage; RQ2 developer discussion; RQ3 impact.</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Mining 416,266 repositories (3,190 adopters); 209 issues; regression discontinuity on 926 projects.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0.7% adoption at the time; 708 distinct actions; positive perception; after adoption, rejected pull requests rose and commits per merged pull request fell.</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https://doi.org/10.1109/MSR52588.2021.00054</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17</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Decan, Mens, Rostami Mazrae &amp; Golzadeh (2022). On the use of GitHub Actions in software development repositories.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No large-scale picture of GitHub Actions workflows existed. RQs on usage, triggers, jobs, reuse and versioning.</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Mining 69,147 active repositories; 70,278 workflows, 108,500 jobs, 576,352 steps.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43.9% used GitHub Actions; push (63.4%) and pull_request (56.3%) the main triggers; 93% of third-party action steps pinned a tag but only 1.7% a commit SHA.</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https://doi.org/10.1109/ICSME55016.2022.00029</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18</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Leite, Rocha, Kon, Milojicic &amp; Meirelles (2019). A survey of DevOps concepts and challenges.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DevOps is loosely defined and its challenges scattered. Not stated as RQs.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Literature survey: 198 papers found, 153 relevant, 36 core papers read in full.</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Conceptual map of DevOps in four categories (process, people, delivery, runtime) linked to automation tools; discussion of adoption challenges.</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https://doi.org/10.1145/3359981</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19</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Begoug, Bessghaier, Ouni, AlOmar &amp; Mkaouer (2023). What do infrastructure-as-code practitioners discuss: An empirical study on Stack Overflow.</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Which IaC challenges do developers face? Aims: topics, trends, popularity and difficulty.</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Mining 52,692 Stack Overflow questions and 64,078 answers (2011–2022); topic modelling.</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IaC questions grew about 150% per year; seven topics; deployment pipelines and templating were the most difficult.</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https://doi.org/10.1109/ESEM56168.2023.10304847</w:t>
            </w:r>
          </w:p>
        </w:tc>
      </w:tr>
      <w:tr>
        <w:trPr>
          <w:cantSplit/>
        </w:trPr>
        <w:tc>
          <w:tcPr>
            <w:tcW w:type="dxa" w:w="420"/>
            <w:tcMar>
              <w:top w:type="dxa" w:w="80"/>
              <w:left w:type="dxa" w:w="110"/>
              <w:bottom w:type="dxa" w:w="80"/>
              <w:right w:type="dxa" w:w="110"/>
            </w:tcMar>
            <w:vAlign w:val="center"/>
          </w:tcPr>
          <w:p>
            <w:pPr>
              <w:spacing w:after="40" w:line="240"/>
              <w:jc w:val="left"/>
            </w:pPr>
            <w:r>
              <w:rPr>
                <w:b w:val="false"/>
                <w:bCs w:val="false"/>
                <w:sz w:val="16"/>
                <w:szCs w:val="16"/>
              </w:rPr>
              <w:t xml:space="preserve">20</w:t>
            </w:r>
          </w:p>
        </w:tc>
        <w:tc>
          <w:tcPr>
            <w:tcW w:type="dxa" w:w="2700"/>
            <w:tcMar>
              <w:top w:type="dxa" w:w="80"/>
              <w:left w:type="dxa" w:w="110"/>
              <w:bottom w:type="dxa" w:w="80"/>
              <w:right w:type="dxa" w:w="110"/>
            </w:tcMar>
            <w:vAlign w:val="center"/>
          </w:tcPr>
          <w:p>
            <w:pPr>
              <w:spacing w:after="40" w:line="240"/>
              <w:jc w:val="left"/>
            </w:pPr>
            <w:r>
              <w:rPr>
                <w:b w:val="false"/>
                <w:bCs w:val="false"/>
                <w:sz w:val="16"/>
                <w:szCs w:val="16"/>
              </w:rPr>
              <w:t xml:space="preserve">Kolomytskyi, Rehida, Onyshko &amp; Ilchyshyna (2026). Generalized method for managing the lifecycle of Terraform infrastructure across multiple environments.</w:t>
            </w:r>
          </w:p>
        </w:tc>
        <w:tc>
          <w:tcPr>
            <w:tcW w:type="dxa" w:w="2400"/>
            <w:tcMar>
              <w:top w:type="dxa" w:w="80"/>
              <w:left w:type="dxa" w:w="110"/>
              <w:bottom w:type="dxa" w:w="80"/>
              <w:right w:type="dxa" w:w="110"/>
            </w:tcMar>
            <w:vAlign w:val="center"/>
          </w:tcPr>
          <w:p>
            <w:pPr>
              <w:spacing w:after="40" w:line="240"/>
              <w:jc w:val="left"/>
            </w:pPr>
            <w:r>
              <w:rPr>
                <w:b w:val="false"/>
                <w:bCs w:val="false"/>
                <w:sz w:val="16"/>
                <w:szCs w:val="16"/>
              </w:rPr>
              <w:t xml:space="preserve">Multi-environment Terraform lacks formal promotion, layered compliance checks and drift classification. Not stated as RQs.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Design of a lifecycle method with an experimental check on one AWS infrastructure (27 resources, 3 environments).</w:t>
            </w:r>
          </w:p>
        </w:tc>
        <w:tc>
          <w:tcPr>
            <w:tcW w:type="dxa" w:w="2500"/>
            <w:tcMar>
              <w:top w:type="dxa" w:w="80"/>
              <w:left w:type="dxa" w:w="110"/>
              <w:bottom w:type="dxa" w:w="80"/>
              <w:right w:type="dxa" w:w="110"/>
            </w:tcMar>
            <w:vAlign w:val="center"/>
          </w:tcPr>
          <w:p>
            <w:pPr>
              <w:spacing w:after="40" w:line="240"/>
              <w:jc w:val="left"/>
            </w:pPr>
            <w:r>
              <w:rPr>
                <w:b w:val="false"/>
                <w:bCs w:val="false"/>
                <w:sz w:val="16"/>
                <w:szCs w:val="16"/>
              </w:rPr>
              <w:t xml:space="preserve">Three-level drift classification; all policy violations caught before apply versus 50% for GitOps CI/CD and 0% for plain Terraform CLI.</w:t>
            </w:r>
          </w:p>
        </w:tc>
        <w:tc>
          <w:tcPr>
            <w:tcW w:type="dxa" w:w="1700"/>
            <w:tcMar>
              <w:top w:type="dxa" w:w="80"/>
              <w:left w:type="dxa" w:w="110"/>
              <w:bottom w:type="dxa" w:w="80"/>
              <w:right w:type="dxa" w:w="110"/>
            </w:tcMar>
            <w:vAlign w:val="center"/>
          </w:tcPr>
          <w:p>
            <w:pPr>
              <w:spacing w:after="40" w:line="240"/>
              <w:jc w:val="left"/>
            </w:pPr>
            <w:r>
              <w:rPr>
                <w:b w:val="false"/>
                <w:bCs w:val="false"/>
                <w:sz w:val="16"/>
                <w:szCs w:val="16"/>
              </w:rPr>
              <w:t xml:space="preserve">https://doi.org/10.31891/csit-2026-2-3</w:t>
            </w:r>
          </w:p>
        </w:tc>
      </w:tr>
    </w:tbl>
    <w:p>
      <w:pPr>
        <w:spacing w:after="200" w:before="60" w:line="240"/>
        <w:jc w:val="left"/>
      </w:pPr>
      <w:r>
        <w:rPr>
          <w:i/>
          <w:iCs/>
          <w:sz w:val="20"/>
          <w:szCs w:val="20"/>
        </w:rPr>
        <w:t xml:space="preserve">Note. </w:t>
      </w:r>
      <w:r>
        <w:rPr>
          <w:sz w:val="20"/>
          <w:szCs w:val="20"/>
        </w:rPr>
        <w:t xml:space="preserve">All twenty references were checked against their Crossref records. Where a paper does not state formal research questions, its stated aim is summarised.</w:t>
      </w:r>
    </w:p>
    <w:p>
      <w:pPr>
        <w:sectPr>
          <w:footerReference w:type="default" r:id="rId8"/>
          <w:pgSz w:w="15840" w:h="12240" w:orient="landscape"/>
          <w:pgMar w:top="1440" w:right="1440" w:bottom="1440" w:left="1440" w:header="720" w:footer="720" w:gutter="0"/>
          <w:pgNumType w:fmt="decimal"/>
          <w:docGrid w:linePitch="360"/>
        </w:sectPr>
      </w:pPr>
    </w:p>
    <w:p>
      <w:pPr>
        <w:spacing w:after="160" w:before="0" w:line="360"/>
        <w:jc w:val="both"/>
      </w:pPr>
      <w:r>
        <w:rPr>
          <w:b/>
          <w:bCs/>
        </w:rPr>
        <w:t xml:space="preserve">IaC tool performance.</w:t>
      </w:r>
      <w:r>
        <w:t xml:space="preserve"> Regvart et al. (2026) is the closest precedent for this study in architecture and method. Implementing the same AWS architecture in three tools and deploying and destroying it thirty times each under identical conditions (same account, region, credentials, machine and network), the authors found Terraform and Pulumi close in provisioning time and CloudFormation roughly 2.4 times slower, and observed that in pipelines billed per runner-minute a difference in duration is a difference in cost. The study answers which tool to choose, not whether to adopt IaC at all, and it does not place the tools in a pipeline.</w:t>
      </w:r>
    </w:p>
    <w:p>
      <w:pPr>
        <w:spacing w:after="160" w:before="0" w:line="360"/>
        <w:jc w:val="both"/>
      </w:pPr>
      <w:r>
        <w:rPr>
          <w:b/>
          <w:bCs/>
        </w:rPr>
        <w:t xml:space="preserve">IaC quality, security and maintenance.</w:t>
      </w:r>
      <w:r>
        <w:t xml:space="preserve"> A large body of work shows that writing infrastructure as code does not make it good code. Rahman, Mahdavi-Hezaveh, and Williams (2019) mapped the field and found defects and security under-studied; the same group then catalogued seven security smells across 15,232 scripts, including 1,326 hard-coded passwords (Rahman, Parnin, &amp; Williams, 2019), linked script size and hard-coded strings to defects (Rahman &amp; Williams, 2019), and built an eight-category defect taxonomy in which configuration-data errors were most frequent (Rahman et al., 2020). For Terraform specifically, Verdet et al. (2025) found that across 812 projects access controls were adopted but encryption at rest was neglected, and Begoug, Ouni, and Chouchen (2025) and Begoug, Ouni, and Khelifi (2025) showed that module and AWS-provider dependencies lag upstream releases by about ten and nine months respectively. Practitioner sources agree: Guerriero et al. (2019) found tool support for testing infrastructure code lacking, Kumara et al. (2021) catalogued recurring good and bad practices, and Begoug et al. (2023) found that deployment pipelines were among the most difficult IaC topics on Stack Overflow. Kolomytskyi et al. (2026), in a small single-case study in a lower-profile venue, reported that only a gated, policy-checked workflow caught all violations before apply, against half for a GitOps pipeline and none for the plain Terraform command line, a result directly relevant to integration depth.</w:t>
      </w:r>
    </w:p>
    <w:p>
      <w:pPr>
        <w:spacing w:after="160" w:before="0" w:line="360"/>
        <w:jc w:val="both"/>
      </w:pPr>
      <w:r>
        <w:rPr>
          <w:b/>
          <w:bCs/>
        </w:rPr>
        <w:t xml:space="preserve">CI/CD and GitHub Actions.</w:t>
      </w:r>
      <w:r>
        <w:t xml:space="preserve"> Hilton et al. (2016) and Vasilescu et al. (2015) established the benefits of continuous integration for application code, and Shahin et al. (2017) synthesised the continuous-practices literature, identifying secure pipeline design as an open problem. GitHub Actions has since become dominant: Kinsman et al. (2021) studied its early adoption, Decan et al. (2022) found it in 43.9% of 69,147 active repositories, and Rostami Mazrae et al. (2023) explained, from 22 practitioner interviews, why teams migrated to it and what made the migration hard, notably the learning curve of a new YAML syntax and the impossibility of testing a workflow locally, which forces a commit-push-wait cycle for every correction. Decan et al. (2022) also found that only 1.7% of steps pinned third-party actions to a commit, a reproducibility and security concern that parallels the dependency lag found in Terraform.</w:t>
      </w:r>
    </w:p>
    <w:p>
      <w:pPr>
        <w:spacing w:after="160" w:before="0" w:line="360"/>
        <w:jc w:val="both"/>
      </w:pPr>
      <w:r>
        <w:rPr>
          <w:b/>
          <w:bCs/>
        </w:rPr>
        <w:t xml:space="preserve">DevOps and cloud architecture.</w:t>
      </w:r>
      <w:r>
        <w:t xml:space="preserve"> Leite et al. (2019) mapped DevOps concepts across process, people, delivery and runtime, situating IaC as a delivery capability. Villamizar et al. (2017) deployed one application three ways on AWS and showed that architecture decisions carry measurable cost consequences, with provider-managed scaling cutting cost substantially; this supports the case architecture's use of AWS Fargate rather than self-managed instances, and supplies a second precedent for deploying the same system several ways under identical conditions.</w:t>
      </w:r>
    </w:p>
    <w:p>
      <w:pPr>
        <w:pStyle w:val="Heading3"/>
        <w:keepNext/>
        <w:spacing w:after="120" w:before="220"/>
      </w:pPr>
      <w:r>
        <w:t xml:space="preserve">2.5.2 Evidence from Southeast Asia</w:t>
      </w:r>
    </w:p>
    <w:p>
      <w:pPr>
        <w:spacing w:after="160" w:before="0" w:line="360"/>
        <w:jc w:val="both"/>
      </w:pPr>
      <w:r>
        <w:t xml:space="preserve">Regional evidence on IaC is very limited. Searches combining Terraform or IaC with Southeast Asia, Cambodia, Vietnam, Thailand, Indonesia or the Philippines returned no peer-reviewed empirical study measuring IaC adoption or performance in an organisation in the region. Regional literature on cloud computing addresses adoption intention among individuals and small enterprises using the acceptance frameworks discussed in Section 2.3.4, and therefore examines perceptions rather than provisioning behaviour. Because no regional baseline exists, this study compares its results with the international studies above, accepting that differences in team size, tooling maturity and regulation may account for some divergence.</w:t>
      </w:r>
    </w:p>
    <w:p>
      <w:pPr>
        <w:pStyle w:val="Heading3"/>
        <w:keepNext/>
        <w:spacing w:after="120" w:before="220"/>
      </w:pPr>
      <w:r>
        <w:t xml:space="preserve">2.5.3 Evidence from Cambodia</w:t>
      </w:r>
    </w:p>
    <w:p>
      <w:pPr>
        <w:spacing w:after="160" w:before="0" w:line="360"/>
        <w:jc w:val="both"/>
      </w:pPr>
      <w:r>
        <w:t xml:space="preserve">To the researcher's knowledge, no published study examines IaC, Terraform or CI/CD practice in a Cambodian organisation. The Cambodian technology literature that does exist concerns digital financial services, mobile payments and public-sector information systems, and addresses users rather than engineering practice. Supervisory expectations from the National Bank of Cambodia for controlled change management in financial institutions make version-control coverage a compliance measure rather than a convenience in this setting, a framing that does not appear in the international literature, which draws mainly on open-source projects with no such obligation.</w:t>
      </w:r>
    </w:p>
    <w:p>
      <w:pPr>
        <w:pStyle w:val="Heading2"/>
        <w:keepNext/>
        <w:spacing w:after="140" w:before="280"/>
      </w:pPr>
      <w:r>
        <w:t xml:space="preserve">2.6 Comparison of Selected Empirical Studies</w:t>
      </w:r>
    </w:p>
    <w:p>
      <w:pPr>
        <w:spacing w:after="160" w:before="0" w:line="360"/>
        <w:jc w:val="both"/>
      </w:pPr>
      <w:r>
        <w:t xml:space="preserve">Table 2.2 compares the empirical studies most directly relevant to the present design on context, design, contribution to this study and limitation. It makes visible both what the literature establishes and what it leaves untouched.</w:t>
      </w:r>
    </w:p>
    <w:p>
      <w:pPr>
        <w:keepNext/>
        <w:spacing w:after="100" w:before="200" w:line="240"/>
        <w:jc w:val="left"/>
      </w:pPr>
      <w:r>
        <w:rPr>
          <w:b/>
          <w:bCs/>
        </w:rPr>
        <w:t xml:space="preserve">Table 2.2 </w:t>
      </w:r>
      <w:r>
        <w:rPr>
          <w:i/>
          <w:iCs/>
        </w:rPr>
        <w:t xml:space="preserve">Comparison of Selected Empirical Studies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700"/>
        <w:gridCol w:w="1550"/>
        <w:gridCol w:w="1500"/>
        <w:gridCol w:w="1950"/>
        <w:gridCol w:w="1940"/>
      </w:tblGrid>
      <w:tr>
        <w:trPr>
          <w:tblHeader/>
        </w:trPr>
        <w:tc>
          <w:tcPr>
            <w:tcW w:type="dxa" w:w="17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Study</w:t>
            </w:r>
          </w:p>
        </w:tc>
        <w:tc>
          <w:tcPr>
            <w:tcW w:type="dxa" w:w="155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Context &amp; Sample</w:t>
            </w:r>
          </w:p>
        </w:tc>
        <w:tc>
          <w:tcPr>
            <w:tcW w:type="dxa" w:w="15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Design</w:t>
            </w:r>
          </w:p>
        </w:tc>
        <w:tc>
          <w:tcPr>
            <w:tcW w:type="dxa" w:w="195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Use in this study</w:t>
            </w:r>
          </w:p>
        </w:tc>
        <w:tc>
          <w:tcPr>
            <w:tcW w:type="dxa" w:w="194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Limitation for this study</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Regvart et al. (2026)</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AWS; 3 tools × 30 cycles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Controlled repeated deployment</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Procedure and benchmark for H1 and H3</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Tool vs. tool; no manual baseline; no pipeline</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Verdet et al. (2025)</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812 Terraform projects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Mining and static analysis</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Rationale for review and scanning in the pipeline</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Static code only; no deployed state</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Begoug, Ouni, and Chouchen (2025)</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131 projects; 13,490 commits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Mining and thematic analysis</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Justifies version pinning</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Open-source; no organisational context</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Begoug, Ouni &amp; Khelifi (2025)</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194 projects; 23,404 commits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Mining and thematic analysis</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Provider lag as a maintenance cost</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Maintenance, not provisioning effectiveness</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Rahman, Parnin &amp; Williams (2019)</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15,232 Puppet scripts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Qualitative analysis and static analysis</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Credential handling as a review concern</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Puppet, not Terraform</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Rahman et al. (2020)</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291 repositories; 66 practitioners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Taxonomy, survey and mining</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Idempotency as a reproducibility risk</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Puppet/OpenStack</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Hilton et al. (2016)</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34,544 projects; 442 developers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Mining and survey</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Pipeline value; H4</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Code CI only; predates GitHub Actions</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Kinsman et al. (2021)</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416,266 repositories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Mining; regression discontinuity</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GitHub Actions adoption effects</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Not infrastructure workflows</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Decan et al. (2022)</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69,147 repositories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Mining</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Trigger and pinning practices</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Descriptive only</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Rostami Mazrae et al. (2023)</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22 practitioners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Interviews</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Choice of GitHub Actions; expected barriers for RQ4</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Self-report; mostly European respondents</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Kolomytskyi et al. (2026)</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1 AWS case; 3 environments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Method design and experiment</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Drift classification; gated workflows</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Small case; lower-profile venue</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Villamizar et al. (2017)</w:t>
            </w:r>
          </w:p>
        </w:tc>
        <w:tc>
          <w:tcPr>
            <w:tcW w:type="dxa" w:w="1550"/>
            <w:tcMar>
              <w:top w:type="dxa" w:w="80"/>
              <w:left w:type="dxa" w:w="110"/>
              <w:bottom w:type="dxa" w:w="80"/>
              <w:right w:type="dxa" w:w="110"/>
            </w:tcMar>
            <w:vAlign w:val="center"/>
          </w:tcPr>
          <w:p>
            <w:pPr>
              <w:spacing w:after="40" w:line="240"/>
              <w:jc w:val="left"/>
            </w:pPr>
            <w:r>
              <w:rPr>
                <w:b w:val="false"/>
                <w:bCs w:val="false"/>
                <w:sz w:val="18"/>
                <w:szCs w:val="18"/>
              </w:rPr>
              <w:t xml:space="preserve">One application, 3 architectures</w:t>
            </w:r>
          </w:p>
        </w:tc>
        <w:tc>
          <w:tcPr>
            <w:tcW w:type="dxa" w:w="1500"/>
            <w:tcMar>
              <w:top w:type="dxa" w:w="80"/>
              <w:left w:type="dxa" w:w="110"/>
              <w:bottom w:type="dxa" w:w="80"/>
              <w:right w:type="dxa" w:w="110"/>
            </w:tcMar>
            <w:vAlign w:val="center"/>
          </w:tcPr>
          <w:p>
            <w:pPr>
              <w:spacing w:after="40" w:line="240"/>
              <w:jc w:val="left"/>
            </w:pPr>
            <w:r>
              <w:rPr>
                <w:b w:val="false"/>
                <w:bCs w:val="false"/>
                <w:sz w:val="18"/>
                <w:szCs w:val="18"/>
              </w:rPr>
              <w:t xml:space="preserve">Controlled deployment and load test</w:t>
            </w:r>
          </w:p>
        </w:tc>
        <w:tc>
          <w:tcPr>
            <w:tcW w:type="dxa" w:w="1950"/>
            <w:tcMar>
              <w:top w:type="dxa" w:w="80"/>
              <w:left w:type="dxa" w:w="110"/>
              <w:bottom w:type="dxa" w:w="80"/>
              <w:right w:type="dxa" w:w="110"/>
            </w:tcMar>
            <w:vAlign w:val="center"/>
          </w:tcPr>
          <w:p>
            <w:pPr>
              <w:spacing w:after="40" w:line="240"/>
              <w:jc w:val="left"/>
            </w:pPr>
            <w:r>
              <w:rPr>
                <w:b w:val="false"/>
                <w:bCs w:val="false"/>
                <w:sz w:val="18"/>
                <w:szCs w:val="18"/>
              </w:rPr>
              <w:t xml:space="preserve">Same-system, several-ways design</w:t>
            </w:r>
          </w:p>
        </w:tc>
        <w:tc>
          <w:tcPr>
            <w:tcW w:type="dxa" w:w="1940"/>
            <w:tcMar>
              <w:top w:type="dxa" w:w="80"/>
              <w:left w:type="dxa" w:w="110"/>
              <w:bottom w:type="dxa" w:w="80"/>
              <w:right w:type="dxa" w:w="110"/>
            </w:tcMar>
            <w:vAlign w:val="center"/>
          </w:tcPr>
          <w:p>
            <w:pPr>
              <w:spacing w:after="40" w:line="240"/>
              <w:jc w:val="left"/>
            </w:pPr>
            <w:r>
              <w:rPr>
                <w:b w:val="false"/>
                <w:bCs w:val="false"/>
                <w:sz w:val="18"/>
                <w:szCs w:val="18"/>
              </w:rPr>
              <w:t xml:space="preserve">Pricing dated; architecture, not IaC</w:t>
            </w:r>
          </w:p>
        </w:tc>
      </w:tr>
    </w:tbl>
    <w:p>
      <w:pPr>
        <w:spacing w:after="200" w:before="60" w:line="240"/>
        <w:jc w:val="left"/>
      </w:pPr>
      <w:r>
        <w:rPr>
          <w:i/>
          <w:iCs/>
          <w:sz w:val="20"/>
          <w:szCs w:val="20"/>
        </w:rPr>
        <w:t xml:space="preserve">Note. </w:t>
      </w:r>
      <w:r>
        <w:rPr>
          <w:sz w:val="20"/>
          <w:szCs w:val="20"/>
        </w:rPr>
        <w:t xml:space="preserve">All studies listed appear in the reference list and in Table 2.1.</w:t>
      </w:r>
    </w:p>
    <w:p>
      <w:pPr>
        <w:pStyle w:val="Heading2"/>
        <w:keepNext/>
        <w:spacing w:after="140" w:before="280"/>
      </w:pPr>
      <w:r>
        <w:t xml:space="preserve">2.7 Critical Discussion of the Literature</w:t>
      </w:r>
    </w:p>
    <w:p>
      <w:pPr>
        <w:spacing w:after="160" w:before="0" w:line="360"/>
        <w:jc w:val="both"/>
      </w:pPr>
      <w:r>
        <w:t xml:space="preserve">Read together, the reviewed studies establish that IaC and CI/CD produce measurable benefits and measurable risks, but they leave three matters unsettled.</w:t>
      </w:r>
    </w:p>
    <w:p>
      <w:pPr>
        <w:spacing w:after="160" w:before="0" w:line="360"/>
        <w:jc w:val="both"/>
      </w:pPr>
      <w:r>
        <w:t xml:space="preserve">The first concerns what is being compared. The experimental studies compare one automated approach with another: tools with tools (Regvart et al., 2026), architectures with architectures (Villamizar et al., 2017). None compares an automated approach with the manual work it replaces. This is understandable, because manual provisioning is slow and unattractive to repeat, but it means the literature can say which tool is faster while remaining silent on the question an organisation without IaC actually asks. Where figures for that comparison circulate, they appear in sources that cannot be checked.</w:t>
      </w:r>
    </w:p>
    <w:p>
      <w:pPr>
        <w:spacing w:after="160" w:before="0" w:line="360"/>
        <w:jc w:val="both"/>
      </w:pPr>
      <w:r>
        <w:t xml:space="preserve">The second concerns the separation of IaC from the pipeline. The Terraform literature studies code without pipelines (Begoug, Ouni, &amp; Chouchen, 2025; Verdet et al., 2025), and the CI/CD literature studies pipelines without infrastructure (Decan et al., 2022; Hilton et al., 2016; Kinsman et al., 2021). The consequence is that the governance benefit usually attributed to IaC has not been isolated. The single study that compared workflows of different strictness (Kolomytskyi et al., 2026) points to the review gate rather than the file format as the source of protection, but it is a small case in a lower-profile venue. If review is what produces the audit trail, then a study of code alone cannot demonstrate it.</w:t>
      </w:r>
    </w:p>
    <w:p>
      <w:pPr>
        <w:spacing w:after="160" w:before="0" w:line="360"/>
        <w:jc w:val="both"/>
      </w:pPr>
      <w:r>
        <w:t xml:space="preserve">The third concerns methodological quality and transferability. The strongest studies are rigorous within their scope: Regvart et al. (2026) control the environment and repeat thirty times; Verdet et al. (2025) publish a replication package; Rostami Mazrae et al. (2023) code interviews with independent verification. Much of the quality literature, however, concerns Puppet, Chef and Ansible rather than Terraform (Rahman et al., 2020; Rahman &amp; Williams, 2019), and the quantitative work draws on open-source repositories, which are small, unregulated and volunteer-run. Applying these findings to a regulated financial institution in Cambodia requires assumptions about team size, experience and compliance obligation that none of the studies tested.</w:t>
      </w:r>
    </w:p>
    <w:p>
      <w:pPr>
        <w:pStyle w:val="Heading2"/>
        <w:keepNext/>
        <w:spacing w:after="140" w:before="280"/>
      </w:pPr>
      <w:r>
        <w:t xml:space="preserve">2.8 Identification of the Research Gap</w:t>
      </w:r>
    </w:p>
    <w:p>
      <w:pPr>
        <w:spacing w:after="160" w:before="0" w:line="360"/>
        <w:jc w:val="both"/>
      </w:pPr>
      <w:r>
        <w:t xml:space="preserve">The gap addressed by this study can now be stated precisely. Empirically, no reviewed study measures Terraform-based provisioning against manual provisioning of the same architecture, so the question of whether adopting IaC at all is worth the effort has not been answered with controlled measurement. Theoretically, no study separates the effect of defining infrastructure as code from the effect of forcing changes through a reviewed pipeline, which leaves the mechanism behind the governance benefit unexamined. Contextually, no study of IaC practice has been conducted in Cambodia, and none addresses a setting in which auditable infrastructure change is a regulatory obligation. Addressing the three together is what distinguishes this study.</w:t>
      </w:r>
    </w:p>
    <w:p>
      <w:pPr>
        <w:pStyle w:val="Heading2"/>
        <w:keepNext/>
        <w:spacing w:after="140" w:before="280"/>
      </w:pPr>
      <w:r>
        <w:t xml:space="preserve">2.9 Conceptual Framework and Hypothesis Development</w:t>
      </w:r>
    </w:p>
    <w:p>
      <w:pPr>
        <w:spacing w:after="160" w:before="0" w:line="360"/>
        <w:jc w:val="both"/>
      </w:pPr>
      <w:r>
        <w:t xml:space="preserve">The conceptual framework, shown in Figure 2.1, models the provisioning method as the independent variable and the four outcome measures as dependent variables, with pipeline integration depth as a moderator of the method–drift relationship and a set of control variables held constant across conditions.</w:t>
      </w:r>
    </w:p>
    <w:p>
      <w:pPr>
        <w:keepNext/>
        <w:spacing w:after="80" w:before="200" w:line="240"/>
        <w:jc w:val="center"/>
      </w:pPr>
      <w:r>
        <w:drawing>
          <wp:inline xmlns:a="http://schemas.openxmlformats.org/drawingml/2006/main" xmlns:pic="http://schemas.openxmlformats.org/drawingml/2006/picture">
            <wp:extent cx="5486400" cy="3236696"/>
            <wp:docPr id="2" name="Picture 2"/>
            <wp:cNvGraphicFramePr>
              <a:graphicFrameLocks noChangeAspect="1"/>
            </wp:cNvGraphicFramePr>
            <a:graphic>
              <a:graphicData uri="http://schemas.openxmlformats.org/drawingml/2006/picture">
                <pic:pic>
                  <pic:nvPicPr>
                    <pic:cNvPr id="0" name="fig2_1_framework.png"/>
                    <pic:cNvPicPr/>
                  </pic:nvPicPr>
                  <pic:blipFill>
                    <a:blip r:embed="rId11"/>
                    <a:stretch>
                      <a:fillRect/>
                    </a:stretch>
                  </pic:blipFill>
                  <pic:spPr>
                    <a:xfrm>
                      <a:off x="0" y="0"/>
                      <a:ext cx="5486400" cy="3236696"/>
                    </a:xfrm>
                    <a:prstGeom prst="rect"/>
                  </pic:spPr>
                </pic:pic>
              </a:graphicData>
            </a:graphic>
          </wp:inline>
        </w:drawing>
      </w:r>
    </w:p>
    <w:p>
      <w:pPr>
        <w:spacing w:after="220" w:line="240"/>
        <w:jc w:val="left"/>
      </w:pPr>
      <w:r>
        <w:rPr>
          <w:sz w:val="20"/>
          <w:szCs w:val="20"/>
        </w:rPr>
        <w:t xml:space="preserve">Figure 2.1. Conceptual framework of the study. Solid arrows denote direct hypothesised effects (H1–H4); the dashed arrow denotes the hypothesised moderating effect of integration depth on the method–drift path (H5); the dotted arrow denotes control variables held constant. Outcome measures adapted from Regvart et al. (2026).</w:t>
      </w:r>
    </w:p>
    <w:p>
      <w:pPr>
        <w:spacing w:after="160" w:before="0" w:line="360"/>
        <w:jc w:val="both"/>
      </w:pPr>
      <w:r>
        <w:t xml:space="preserve">H1 proposes that Terraform-based provisioning is faster than manual provisioning, because declarative specification removes sequential clicking and intermediate decisions, and a tool can create independent resources in parallel where a person cannot. H2 proposes lower drift, because a single parameterised definition applied to several environments cannot produce divergent attributes except where a variable makes the divergence explicit. H3 proposes a higher destroy-and-rebuild success rate, because the definition is the complete specification. H4 proposes that pipeline integration increases the proportion of components under version control and peer review; components that resist codification are what this measure exposes. H5 proposes that integration depth moderates the method–drift relationship, because Terraform run locally permits unreviewed changes and divergent local state, while a gated plan and apply removes both possibilities.</w:t>
      </w:r>
    </w:p>
    <w:p>
      <w:pPr>
        <w:keepNext/>
        <w:spacing w:after="100" w:before="200" w:line="240"/>
        <w:jc w:val="left"/>
      </w:pPr>
      <w:r>
        <w:rPr>
          <w:b/>
          <w:bCs/>
        </w:rPr>
        <w:t xml:space="preserve">Table 2.3 </w:t>
      </w:r>
      <w:r>
        <w:rPr>
          <w:i/>
          <w:iCs/>
        </w:rPr>
        <w:t xml:space="preserve">Summary of Research Hypotheses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600"/>
        <w:gridCol w:w="4000"/>
        <w:gridCol w:w="1200"/>
        <w:gridCol w:w="2840"/>
      </w:tblGrid>
      <w:tr>
        <w:trPr>
          <w:tblHeader/>
        </w:trPr>
        <w:tc>
          <w:tcPr>
            <w:tcW w:type="dxa" w:w="6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No.</w:t>
            </w:r>
          </w:p>
        </w:tc>
        <w:tc>
          <w:tcPr>
            <w:tcW w:type="dxa" w:w="4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Hypothesis</w:t>
            </w:r>
          </w:p>
        </w:tc>
        <w:tc>
          <w:tcPr>
            <w:tcW w:type="dxa" w:w="12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Relationship</w:t>
            </w:r>
          </w:p>
        </w:tc>
        <w:tc>
          <w:tcPr>
            <w:tcW w:type="dxa" w:w="28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Supporting Literature</w:t>
            </w:r>
          </w:p>
        </w:tc>
      </w:tr>
      <w:tr>
        <w:trPr>
          <w:cantSplit/>
        </w:trPr>
        <w:tc>
          <w:tcPr>
            <w:tcW w:type="dxa" w:w="600"/>
            <w:tcMar>
              <w:top w:type="dxa" w:w="80"/>
              <w:left w:type="dxa" w:w="110"/>
              <w:bottom w:type="dxa" w:w="80"/>
              <w:right w:type="dxa" w:w="110"/>
            </w:tcMar>
            <w:vAlign w:val="center"/>
          </w:tcPr>
          <w:p>
            <w:pPr>
              <w:spacing w:after="40" w:line="240"/>
              <w:jc w:val="left"/>
            </w:pPr>
            <w:r>
              <w:rPr>
                <w:b w:val="false"/>
                <w:bCs w:val="false"/>
                <w:sz w:val="20"/>
                <w:szCs w:val="20"/>
              </w:rPr>
              <w:t xml:space="preserve">H1</w:t>
            </w:r>
          </w:p>
        </w:tc>
        <w:tc>
          <w:tcPr>
            <w:tcW w:type="dxa" w:w="4000"/>
            <w:tcMar>
              <w:top w:type="dxa" w:w="80"/>
              <w:left w:type="dxa" w:w="110"/>
              <w:bottom w:type="dxa" w:w="80"/>
              <w:right w:type="dxa" w:w="110"/>
            </w:tcMar>
            <w:vAlign w:val="center"/>
          </w:tcPr>
          <w:p>
            <w:pPr>
              <w:spacing w:after="40" w:line="240"/>
              <w:jc w:val="left"/>
            </w:pPr>
            <w:r>
              <w:rPr>
                <w:b w:val="false"/>
                <w:bCs w:val="false"/>
                <w:sz w:val="20"/>
                <w:szCs w:val="20"/>
              </w:rPr>
              <w:t xml:space="preserve">Terraform-based provisioning produces significantly shorter provisioning duration than manual provisioning</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Direct</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Regvart et al. (2026); Villamizar et al. (2017)</w:t>
            </w:r>
          </w:p>
        </w:tc>
      </w:tr>
      <w:tr>
        <w:trPr>
          <w:cantSplit/>
        </w:trPr>
        <w:tc>
          <w:tcPr>
            <w:tcW w:type="dxa" w:w="600"/>
            <w:tcMar>
              <w:top w:type="dxa" w:w="80"/>
              <w:left w:type="dxa" w:w="110"/>
              <w:bottom w:type="dxa" w:w="80"/>
              <w:right w:type="dxa" w:w="110"/>
            </w:tcMar>
            <w:vAlign w:val="center"/>
          </w:tcPr>
          <w:p>
            <w:pPr>
              <w:spacing w:after="40" w:line="240"/>
              <w:jc w:val="left"/>
            </w:pPr>
            <w:r>
              <w:rPr>
                <w:b w:val="false"/>
                <w:bCs w:val="false"/>
                <w:sz w:val="20"/>
                <w:szCs w:val="20"/>
              </w:rPr>
              <w:t xml:space="preserve">H2</w:t>
            </w:r>
          </w:p>
        </w:tc>
        <w:tc>
          <w:tcPr>
            <w:tcW w:type="dxa" w:w="4000"/>
            <w:tcMar>
              <w:top w:type="dxa" w:w="80"/>
              <w:left w:type="dxa" w:w="110"/>
              <w:bottom w:type="dxa" w:w="80"/>
              <w:right w:type="dxa" w:w="110"/>
            </w:tcMar>
            <w:vAlign w:val="center"/>
          </w:tcPr>
          <w:p>
            <w:pPr>
              <w:spacing w:after="40" w:line="240"/>
              <w:jc w:val="left"/>
            </w:pPr>
            <w:r>
              <w:rPr>
                <w:b w:val="false"/>
                <w:bCs w:val="false"/>
                <w:sz w:val="20"/>
                <w:szCs w:val="20"/>
              </w:rPr>
              <w:t xml:space="preserve">Terraform-based provisioning produces significantly lower configuration drift between environments</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Direct</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Kumara et al. (2021); Kolomytskyi et al. (2026)</w:t>
            </w:r>
          </w:p>
        </w:tc>
      </w:tr>
      <w:tr>
        <w:trPr>
          <w:cantSplit/>
        </w:trPr>
        <w:tc>
          <w:tcPr>
            <w:tcW w:type="dxa" w:w="600"/>
            <w:tcMar>
              <w:top w:type="dxa" w:w="80"/>
              <w:left w:type="dxa" w:w="110"/>
              <w:bottom w:type="dxa" w:w="80"/>
              <w:right w:type="dxa" w:w="110"/>
            </w:tcMar>
            <w:vAlign w:val="center"/>
          </w:tcPr>
          <w:p>
            <w:pPr>
              <w:spacing w:after="40" w:line="240"/>
              <w:jc w:val="left"/>
            </w:pPr>
            <w:r>
              <w:rPr>
                <w:b w:val="false"/>
                <w:bCs w:val="false"/>
                <w:sz w:val="20"/>
                <w:szCs w:val="20"/>
              </w:rPr>
              <w:t xml:space="preserve">H3</w:t>
            </w:r>
          </w:p>
        </w:tc>
        <w:tc>
          <w:tcPr>
            <w:tcW w:type="dxa" w:w="4000"/>
            <w:tcMar>
              <w:top w:type="dxa" w:w="80"/>
              <w:left w:type="dxa" w:w="110"/>
              <w:bottom w:type="dxa" w:w="80"/>
              <w:right w:type="dxa" w:w="110"/>
            </w:tcMar>
            <w:vAlign w:val="center"/>
          </w:tcPr>
          <w:p>
            <w:pPr>
              <w:spacing w:after="40" w:line="240"/>
              <w:jc w:val="left"/>
            </w:pPr>
            <w:r>
              <w:rPr>
                <w:b w:val="false"/>
                <w:bCs w:val="false"/>
                <w:sz w:val="20"/>
                <w:szCs w:val="20"/>
              </w:rPr>
              <w:t xml:space="preserve">Terraform-based provisioning achieves a significantly higher destroy-and-rebuild reproduction rate</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Direct</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Regvart et al. (2026); Rahman et al. (2020)</w:t>
            </w:r>
          </w:p>
        </w:tc>
      </w:tr>
      <w:tr>
        <w:trPr>
          <w:cantSplit/>
        </w:trPr>
        <w:tc>
          <w:tcPr>
            <w:tcW w:type="dxa" w:w="600"/>
            <w:tcMar>
              <w:top w:type="dxa" w:w="80"/>
              <w:left w:type="dxa" w:w="110"/>
              <w:bottom w:type="dxa" w:w="80"/>
              <w:right w:type="dxa" w:w="110"/>
            </w:tcMar>
            <w:vAlign w:val="center"/>
          </w:tcPr>
          <w:p>
            <w:pPr>
              <w:spacing w:after="40" w:line="240"/>
              <w:jc w:val="left"/>
            </w:pPr>
            <w:r>
              <w:rPr>
                <w:b w:val="false"/>
                <w:bCs w:val="false"/>
                <w:sz w:val="20"/>
                <w:szCs w:val="20"/>
              </w:rPr>
              <w:t xml:space="preserve">H4</w:t>
            </w:r>
          </w:p>
        </w:tc>
        <w:tc>
          <w:tcPr>
            <w:tcW w:type="dxa" w:w="4000"/>
            <w:tcMar>
              <w:top w:type="dxa" w:w="80"/>
              <w:left w:type="dxa" w:w="110"/>
              <w:bottom w:type="dxa" w:w="80"/>
              <w:right w:type="dxa" w:w="110"/>
            </w:tcMar>
            <w:vAlign w:val="center"/>
          </w:tcPr>
          <w:p>
            <w:pPr>
              <w:spacing w:after="40" w:line="240"/>
              <w:jc w:val="left"/>
            </w:pPr>
            <w:r>
              <w:rPr>
                <w:b w:val="false"/>
                <w:bCs w:val="false"/>
                <w:sz w:val="20"/>
                <w:szCs w:val="20"/>
              </w:rPr>
              <w:t xml:space="preserve">Pipeline integration significantly increases the proportion of components under version control and peer review</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Direct</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Hilton et al. (2016); Rostami Mazrae et al. (2023)</w:t>
            </w:r>
          </w:p>
        </w:tc>
      </w:tr>
      <w:tr>
        <w:trPr>
          <w:cantSplit/>
        </w:trPr>
        <w:tc>
          <w:tcPr>
            <w:tcW w:type="dxa" w:w="600"/>
            <w:tcMar>
              <w:top w:type="dxa" w:w="80"/>
              <w:left w:type="dxa" w:w="110"/>
              <w:bottom w:type="dxa" w:w="80"/>
              <w:right w:type="dxa" w:w="110"/>
            </w:tcMar>
            <w:vAlign w:val="center"/>
          </w:tcPr>
          <w:p>
            <w:pPr>
              <w:spacing w:after="40" w:line="240"/>
              <w:jc w:val="left"/>
            </w:pPr>
            <w:r>
              <w:rPr>
                <w:b w:val="false"/>
                <w:bCs w:val="false"/>
                <w:sz w:val="20"/>
                <w:szCs w:val="20"/>
              </w:rPr>
              <w:t xml:space="preserve">H5</w:t>
            </w:r>
          </w:p>
        </w:tc>
        <w:tc>
          <w:tcPr>
            <w:tcW w:type="dxa" w:w="4000"/>
            <w:tcMar>
              <w:top w:type="dxa" w:w="80"/>
              <w:left w:type="dxa" w:w="110"/>
              <w:bottom w:type="dxa" w:w="80"/>
              <w:right w:type="dxa" w:w="110"/>
            </w:tcMar>
            <w:vAlign w:val="center"/>
          </w:tcPr>
          <w:p>
            <w:pPr>
              <w:spacing w:after="40" w:line="240"/>
              <w:jc w:val="left"/>
            </w:pPr>
            <w:r>
              <w:rPr>
                <w:b w:val="false"/>
                <w:bCs w:val="false"/>
                <w:sz w:val="20"/>
                <w:szCs w:val="20"/>
              </w:rPr>
              <w:t xml:space="preserve">Pipeline integration depth moderates the provisioning method → configuration drift relationship</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Interaction</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Verdet et al. (2025); Begoug, Ouni, and Chouchen (2025); Kolomytskyi et al. (2026)</w:t>
            </w:r>
          </w:p>
        </w:tc>
      </w:tr>
    </w:tbl>
    <w:p>
      <w:pPr>
        <w:pStyle w:val="Heading2"/>
        <w:keepNext/>
        <w:spacing w:after="140" w:before="280"/>
      </w:pPr>
      <w:r>
        <w:t xml:space="preserve">2.10 Chapter Summary</w:t>
      </w:r>
    </w:p>
    <w:p>
      <w:pPr>
        <w:spacing w:after="160" w:before="0" w:line="360"/>
        <w:jc w:val="both"/>
      </w:pPr>
      <w:r>
        <w:t xml:space="preserve">This chapter reviewed the literature on IaC, CI/CD and AWS infrastructure. It described a structured search across seven databases with explicit inclusion and exclusion criteria, examined three theoretical strands, and explained why four acceptance frameworks were set aside. It summarised twenty verified studies in Table 2.1 and compared the most relevant in Table 2.2. The critical discussion identified three unsettled matters: comparison with manual work is missing, IaC and the pipeline are studied separately, and the evidence comes from open-source and European settings. From these, an empirical, a theoretical and a contextual gap were stated, and a framework with five hypotheses was derived. Chapter 3 sets out how these hypotheses were investigated.</w:t>
      </w:r>
    </w:p>
    <w:p>
      <w:pPr>
        <w:pStyle w:val="Heading1"/>
        <w:pageBreakBefore/>
        <w:spacing w:after="240" w:before="240"/>
        <w:jc w:val="left"/>
      </w:pPr>
      <w:r>
        <w:t xml:space="preserve">CHAPTER 3: RESEARCH METHODOLOGY</w:t>
      </w:r>
    </w:p>
    <w:p>
      <w:pPr>
        <w:pStyle w:val="Heading2"/>
        <w:keepNext/>
        <w:spacing w:after="140" w:before="280"/>
      </w:pPr>
      <w:r>
        <w:t xml:space="preserve">3.1 Introduction</w:t>
      </w:r>
    </w:p>
    <w:p>
      <w:pPr>
        <w:spacing w:after="160" w:before="0" w:line="360"/>
        <w:jc w:val="both"/>
      </w:pPr>
      <w:r>
        <w:t xml:space="preserve">This chapter explains how the research questions stated in Section 1.6 were answered. It sets out the philosophical position, the research approach and design, the population and sample for each strand, the instruments and procedures for data collection, including the simulation used to represent manual provisioning, the analytical techniques applied, the criteria by which quality was judged, and the ethical safeguards. Where the study as conducted departed from the proposal, the departure is stated where it occurred and summarised in Table 3.3.</w:t>
      </w:r>
    </w:p>
    <w:p>
      <w:pPr>
        <w:pStyle w:val="Heading2"/>
        <w:keepNext/>
        <w:spacing w:after="140" w:before="280"/>
      </w:pPr>
      <w:r>
        <w:t xml:space="preserve">3.2 Research Philosophy</w:t>
      </w:r>
    </w:p>
    <w:p>
      <w:pPr>
        <w:spacing w:after="160" w:before="0" w:line="360"/>
        <w:jc w:val="both"/>
      </w:pPr>
      <w:r>
        <w:t xml:space="preserve">Research design decisions rest on assumptions about the nature of reality and of knowledge, and those assumptions should be stated rather than left implicit (Guba &amp; Lincoln, 1994; Saunders et al., 2019). This study adopted pragmatism, which holds that the value of a knowledge claim lies in its usefulness for addressing the problem at hand and rejects the view that quantitative and qualitative evidence rest on incompatible foundations (Johnson &amp; Onwuegbuzie, 2004; Creswell &amp; Plano Clark, 2018).</w:t>
      </w:r>
    </w:p>
    <w:p>
      <w:pPr>
        <w:spacing w:after="160" w:before="0" w:line="360"/>
        <w:jc w:val="both"/>
      </w:pPr>
      <w:r>
        <w:t xml:space="preserve">Ontologically, this position fits the object of study. Some features of the phenomenon exist independently of the researcher and can be measured directly: a pipeline run takes a certain number of seconds, a component is either defined in the repository or it is not. Other features are matters of judgement formed in a specific working context, such as why one module structure was chosen over another. RQ1 to RQ3 ask about magnitude and direction and are answered by instrumentation, simulation and statistical inference; RQ4 asks what made the change difficult, which presupposes an interpretive stance.</w:t>
      </w:r>
    </w:p>
    <w:p>
      <w:pPr>
        <w:pStyle w:val="Heading2"/>
        <w:keepNext/>
        <w:spacing w:after="140" w:before="280"/>
      </w:pPr>
      <w:r>
        <w:t xml:space="preserve">3.3 Research Approach</w:t>
      </w:r>
    </w:p>
    <w:p>
      <w:pPr>
        <w:spacing w:after="160" w:before="0" w:line="360"/>
        <w:jc w:val="both"/>
      </w:pPr>
      <w:r>
        <w:t xml:space="preserve">The study used an abductive approach combining deductive and inductive reasoning (Saunders et al., 2019). The quantitative strand was deductive: hypotheses derived in Chapter 2 were confronted with observed and simulated values. The qualitative strand was inductive: themes were developed from the implementation record rather than imposed from the framework. Integration was abductive, in that the most plausible explanation for the combined pattern was inferred and the framework was revisited where the evidence required (Section 5.7).</w:t>
      </w:r>
    </w:p>
    <w:p>
      <w:pPr>
        <w:pStyle w:val="Heading2"/>
        <w:keepNext/>
        <w:spacing w:after="140" w:before="280"/>
      </w:pPr>
      <w:r>
        <w:t xml:space="preserve">3.4 Research Design</w:t>
      </w:r>
    </w:p>
    <w:p>
      <w:pPr>
        <w:spacing w:after="160" w:before="0" w:line="360"/>
        <w:jc w:val="both"/>
      </w:pPr>
      <w:r>
        <w:t xml:space="preserve">An explanatory sequential mixed methods design was adopted (Creswell &amp; Plano Clark, 2018). Quantitative data were collected and analysed first; the results then determined which parts of the implementation record were examined most closely in the qualitative phase. The design proceeded in three phases (Figure 3.1). Phase 1 compared two provisioning methods: Terraform executed by a GitHub Actions pipeline, which was measured, and manual creation of the same architecture in the AWS console, which was simulated. Phase 2 was a thematic analysis of the implementation record, addressing RQ4. Phase 3 integrated the two strands in a joint display.</w:t>
      </w:r>
    </w:p>
    <w:p>
      <w:pPr>
        <w:keepNext/>
        <w:spacing w:after="80" w:before="200" w:line="240"/>
        <w:jc w:val="center"/>
      </w:pPr>
      <w:r>
        <w:drawing>
          <wp:inline xmlns:a="http://schemas.openxmlformats.org/drawingml/2006/main" xmlns:pic="http://schemas.openxmlformats.org/drawingml/2006/picture">
            <wp:extent cx="5486400" cy="2988949"/>
            <wp:docPr id="3" name="Picture 3"/>
            <wp:cNvGraphicFramePr>
              <a:graphicFrameLocks noChangeAspect="1"/>
            </wp:cNvGraphicFramePr>
            <a:graphic>
              <a:graphicData uri="http://schemas.openxmlformats.org/drawingml/2006/picture">
                <pic:pic>
                  <pic:nvPicPr>
                    <pic:cNvPr id="0" name="fig3_1_design.png"/>
                    <pic:cNvPicPr/>
                  </pic:nvPicPr>
                  <pic:blipFill>
                    <a:blip r:embed="rId12"/>
                    <a:stretch>
                      <a:fillRect/>
                    </a:stretch>
                  </pic:blipFill>
                  <pic:spPr>
                    <a:xfrm>
                      <a:off x="0" y="0"/>
                      <a:ext cx="5486400" cy="2988949"/>
                    </a:xfrm>
                    <a:prstGeom prst="rect"/>
                  </pic:spPr>
                </pic:pic>
              </a:graphicData>
            </a:graphic>
          </wp:inline>
        </w:drawing>
      </w:r>
    </w:p>
    <w:p>
      <w:pPr>
        <w:spacing w:after="220" w:line="240"/>
        <w:jc w:val="left"/>
      </w:pPr>
      <w:r>
        <w:rPr>
          <w:sz w:val="20"/>
          <w:szCs w:val="20"/>
        </w:rPr>
        <w:t xml:space="preserve">Figure 3.1. Explanatory sequential mixed methods design as conducted. Capitalisation indicates the priority given to each strand. Adapted from Creswell and Plano Clark (2018).</w:t>
      </w:r>
    </w:p>
    <w:p>
      <w:pPr>
        <w:spacing w:after="160" w:before="0" w:line="360"/>
        <w:jc w:val="both"/>
      </w:pPr>
      <w:r>
        <w:t xml:space="preserve">Two design decisions require explanation. First, the template assumes a survey of human respondents; this study departs from it because its dependent variables are properties of a system, measured by timestamp rather than rating scale, so no human participants were involved. Second, the manual condition was simulated rather than observed. The proposal planned ten timed manual builds of about 45 minutes each; these could not be carried out within the time available, and the manual condition was therefore represented by a stochastic simulation whose structure and parameters are stated in Section 3.7.1. Every result that depends on simulated values is labelled as simulated, and the conclusions drawn from it are qualified accordingly (Section 3.12).</w:t>
      </w:r>
    </w:p>
    <w:p>
      <w:pPr>
        <w:spacing w:after="160" w:before="0" w:line="360"/>
        <w:jc w:val="both"/>
      </w:pPr>
      <w:r>
        <w:t xml:space="preserve">Because all runs were conducted on one architecture in one account by one researcher, the study is a single case: it establishes what happened in that case rather than what happens generally (Yin, 2018).</w:t>
      </w:r>
    </w:p>
    <w:p>
      <w:pPr>
        <w:keepNext/>
        <w:spacing w:after="100" w:before="200" w:line="240"/>
        <w:jc w:val="left"/>
      </w:pPr>
      <w:r>
        <w:rPr>
          <w:b/>
          <w:bCs/>
        </w:rPr>
        <w:t xml:space="preserve">Table 3.1 </w:t>
      </w:r>
      <w:r>
        <w:rPr>
          <w:i/>
          <w:iCs/>
        </w:rPr>
        <w:t xml:space="preserve">Alignment of Research Questions, Data Sources and Analysis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700"/>
        <w:gridCol w:w="900"/>
        <w:gridCol w:w="1250"/>
        <w:gridCol w:w="3090"/>
        <w:gridCol w:w="2700"/>
      </w:tblGrid>
      <w:tr>
        <w:trPr>
          <w:tblHeader/>
        </w:trPr>
        <w:tc>
          <w:tcPr>
            <w:tcW w:type="dxa" w:w="7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RQ</w:t>
            </w:r>
          </w:p>
        </w:tc>
        <w:tc>
          <w:tcPr>
            <w:tcW w:type="dxa" w:w="9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Objective</w:t>
            </w:r>
          </w:p>
        </w:tc>
        <w:tc>
          <w:tcPr>
            <w:tcW w:type="dxa" w:w="125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Strand</w:t>
            </w:r>
          </w:p>
        </w:tc>
        <w:tc>
          <w:tcPr>
            <w:tcW w:type="dxa" w:w="309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Data Source</w:t>
            </w:r>
          </w:p>
        </w:tc>
        <w:tc>
          <w:tcPr>
            <w:tcW w:type="dxa" w:w="27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Analysis</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RQ1</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Obj. 1</w:t>
            </w:r>
          </w:p>
        </w:tc>
        <w:tc>
          <w:tcPr>
            <w:tcW w:type="dxa" w:w="1250"/>
            <w:tcMar>
              <w:top w:type="dxa" w:w="80"/>
              <w:left w:type="dxa" w:w="110"/>
              <w:bottom w:type="dxa" w:w="80"/>
              <w:right w:type="dxa" w:w="110"/>
            </w:tcMar>
            <w:vAlign w:val="center"/>
          </w:tcPr>
          <w:p>
            <w:pPr>
              <w:spacing w:after="40" w:line="240"/>
              <w:jc w:val="left"/>
            </w:pPr>
            <w:r>
              <w:rPr>
                <w:b w:val="false"/>
                <w:bCs w:val="false"/>
                <w:sz w:val="20"/>
                <w:szCs w:val="20"/>
              </w:rPr>
              <w:t xml:space="preserve">Quantitative</w:t>
            </w:r>
          </w:p>
        </w:tc>
        <w:tc>
          <w:tcPr>
            <w:tcW w:type="dxa" w:w="3090"/>
            <w:tcMar>
              <w:top w:type="dxa" w:w="80"/>
              <w:left w:type="dxa" w:w="110"/>
              <w:bottom w:type="dxa" w:w="80"/>
              <w:right w:type="dxa" w:w="110"/>
            </w:tcMar>
            <w:vAlign w:val="center"/>
          </w:tcPr>
          <w:p>
            <w:pPr>
              <w:spacing w:after="40" w:line="240"/>
              <w:jc w:val="left"/>
            </w:pPr>
            <w:r>
              <w:rPr>
                <w:b w:val="false"/>
                <w:bCs w:val="false"/>
                <w:sz w:val="20"/>
                <w:szCs w:val="20"/>
              </w:rPr>
              <w:t xml:space="preserve">Component inventory; repository audit; Terraform configuration</w:t>
            </w:r>
          </w:p>
        </w:tc>
        <w:tc>
          <w:tcPr>
            <w:tcW w:type="dxa" w:w="2700"/>
            <w:tcMar>
              <w:top w:type="dxa" w:w="80"/>
              <w:left w:type="dxa" w:w="110"/>
              <w:bottom w:type="dxa" w:w="80"/>
              <w:right w:type="dxa" w:w="110"/>
            </w:tcMar>
            <w:vAlign w:val="center"/>
          </w:tcPr>
          <w:p>
            <w:pPr>
              <w:spacing w:after="40" w:line="240"/>
              <w:jc w:val="left"/>
            </w:pPr>
            <w:r>
              <w:rPr>
                <w:b w:val="false"/>
                <w:bCs w:val="false"/>
                <w:sz w:val="20"/>
                <w:szCs w:val="20"/>
              </w:rPr>
              <w:t xml:space="preserve">Counts and percentages</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RQ2</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Obj. 2, 4</w:t>
            </w:r>
          </w:p>
        </w:tc>
        <w:tc>
          <w:tcPr>
            <w:tcW w:type="dxa" w:w="1250"/>
            <w:tcMar>
              <w:top w:type="dxa" w:w="80"/>
              <w:left w:type="dxa" w:w="110"/>
              <w:bottom w:type="dxa" w:w="80"/>
              <w:right w:type="dxa" w:w="110"/>
            </w:tcMar>
            <w:vAlign w:val="center"/>
          </w:tcPr>
          <w:p>
            <w:pPr>
              <w:spacing w:after="40" w:line="240"/>
              <w:jc w:val="left"/>
            </w:pPr>
            <w:r>
              <w:rPr>
                <w:b w:val="false"/>
                <w:bCs w:val="false"/>
                <w:sz w:val="20"/>
                <w:szCs w:val="20"/>
              </w:rPr>
              <w:t xml:space="preserve">Quantitative</w:t>
            </w:r>
          </w:p>
        </w:tc>
        <w:tc>
          <w:tcPr>
            <w:tcW w:type="dxa" w:w="3090"/>
            <w:tcMar>
              <w:top w:type="dxa" w:w="80"/>
              <w:left w:type="dxa" w:w="110"/>
              <w:bottom w:type="dxa" w:w="80"/>
              <w:right w:type="dxa" w:w="110"/>
            </w:tcMar>
            <w:vAlign w:val="center"/>
          </w:tcPr>
          <w:p>
            <w:pPr>
              <w:spacing w:after="40" w:line="240"/>
              <w:jc w:val="left"/>
            </w:pPr>
            <w:r>
              <w:rPr>
                <w:b w:val="false"/>
                <w:bCs w:val="false"/>
                <w:sz w:val="20"/>
                <w:szCs w:val="20"/>
              </w:rPr>
              <w:t xml:space="preserve">30 measured GitHub Actions rebuilds; 10 simulated manual builds and rebuilds; service health records</w:t>
            </w:r>
          </w:p>
        </w:tc>
        <w:tc>
          <w:tcPr>
            <w:tcW w:type="dxa" w:w="2700"/>
            <w:tcMar>
              <w:top w:type="dxa" w:w="80"/>
              <w:left w:type="dxa" w:w="110"/>
              <w:bottom w:type="dxa" w:w="80"/>
              <w:right w:type="dxa" w:w="110"/>
            </w:tcMar>
            <w:vAlign w:val="center"/>
          </w:tcPr>
          <w:p>
            <w:pPr>
              <w:spacing w:after="40" w:line="240"/>
              <w:jc w:val="left"/>
            </w:pPr>
            <w:r>
              <w:rPr>
                <w:b w:val="false"/>
                <w:bCs w:val="false"/>
                <w:sz w:val="20"/>
                <w:szCs w:val="20"/>
              </w:rPr>
              <w:t xml:space="preserve">Descriptives; Welch's t; Mann–Whitney U; Hedges' g; Fisher's exact test; Wilson intervals; Spearman's ρ (stability checks)</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RQ3</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Obj. 3, 4</w:t>
            </w:r>
          </w:p>
        </w:tc>
        <w:tc>
          <w:tcPr>
            <w:tcW w:type="dxa" w:w="1250"/>
            <w:tcMar>
              <w:top w:type="dxa" w:w="80"/>
              <w:left w:type="dxa" w:w="110"/>
              <w:bottom w:type="dxa" w:w="80"/>
              <w:right w:type="dxa" w:w="110"/>
            </w:tcMar>
            <w:vAlign w:val="center"/>
          </w:tcPr>
          <w:p>
            <w:pPr>
              <w:spacing w:after="40" w:line="240"/>
              <w:jc w:val="left"/>
            </w:pPr>
            <w:r>
              <w:rPr>
                <w:b w:val="false"/>
                <w:bCs w:val="false"/>
                <w:sz w:val="20"/>
                <w:szCs w:val="20"/>
              </w:rPr>
              <w:t xml:space="preserve">Quantitative</w:t>
            </w:r>
          </w:p>
        </w:tc>
        <w:tc>
          <w:tcPr>
            <w:tcW w:type="dxa" w:w="3090"/>
            <w:tcMar>
              <w:top w:type="dxa" w:w="80"/>
              <w:left w:type="dxa" w:w="110"/>
              <w:bottom w:type="dxa" w:w="80"/>
              <w:right w:type="dxa" w:w="110"/>
            </w:tcMar>
            <w:vAlign w:val="center"/>
          </w:tcPr>
          <w:p>
            <w:pPr>
              <w:spacing w:after="40" w:line="240"/>
              <w:jc w:val="left"/>
            </w:pPr>
            <w:r>
              <w:rPr>
                <w:b w:val="false"/>
                <w:bCs w:val="false"/>
                <w:sz w:val="20"/>
                <w:szCs w:val="20"/>
              </w:rPr>
              <w:t xml:space="preserve">Workflow configuration (integration level achieved)</w:t>
            </w:r>
          </w:p>
        </w:tc>
        <w:tc>
          <w:tcPr>
            <w:tcW w:type="dxa" w:w="2700"/>
            <w:tcMar>
              <w:top w:type="dxa" w:w="80"/>
              <w:left w:type="dxa" w:w="110"/>
              <w:bottom w:type="dxa" w:w="80"/>
              <w:right w:type="dxa" w:w="110"/>
            </w:tcMar>
            <w:vAlign w:val="center"/>
          </w:tcPr>
          <w:p>
            <w:pPr>
              <w:spacing w:after="40" w:line="240"/>
              <w:jc w:val="left"/>
            </w:pPr>
            <w:r>
              <w:rPr>
                <w:b w:val="false"/>
                <w:bCs w:val="false"/>
                <w:sz w:val="20"/>
                <w:szCs w:val="20"/>
              </w:rPr>
              <w:t xml:space="preserve">Descriptive; drift comparison not possible (Section 3.6.1)</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RQ4</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Obj. 5</w:t>
            </w:r>
          </w:p>
        </w:tc>
        <w:tc>
          <w:tcPr>
            <w:tcW w:type="dxa" w:w="1250"/>
            <w:tcMar>
              <w:top w:type="dxa" w:w="80"/>
              <w:left w:type="dxa" w:w="110"/>
              <w:bottom w:type="dxa" w:w="80"/>
              <w:right w:type="dxa" w:w="110"/>
            </w:tcMar>
            <w:vAlign w:val="center"/>
          </w:tcPr>
          <w:p>
            <w:pPr>
              <w:spacing w:after="40" w:line="240"/>
              <w:jc w:val="left"/>
            </w:pPr>
            <w:r>
              <w:rPr>
                <w:b w:val="false"/>
                <w:bCs w:val="false"/>
                <w:sz w:val="20"/>
                <w:szCs w:val="20"/>
              </w:rPr>
              <w:t xml:space="preserve">Qualitative</w:t>
            </w:r>
          </w:p>
        </w:tc>
        <w:tc>
          <w:tcPr>
            <w:tcW w:type="dxa" w:w="3090"/>
            <w:tcMar>
              <w:top w:type="dxa" w:w="80"/>
              <w:left w:type="dxa" w:w="110"/>
              <w:bottom w:type="dxa" w:w="80"/>
              <w:right w:type="dxa" w:w="110"/>
            </w:tcMar>
            <w:vAlign w:val="center"/>
          </w:tcPr>
          <w:p>
            <w:pPr>
              <w:spacing w:after="40" w:line="240"/>
              <w:jc w:val="left"/>
            </w:pPr>
            <w:r>
              <w:rPr>
                <w:b w:val="false"/>
                <w:bCs w:val="false"/>
                <w:sz w:val="20"/>
                <w:szCs w:val="20"/>
              </w:rPr>
              <w:t xml:space="preserve">Git history (78 commits), 31 run reports, pipeline scripts and workflow</w:t>
            </w:r>
          </w:p>
        </w:tc>
        <w:tc>
          <w:tcPr>
            <w:tcW w:type="dxa" w:w="2700"/>
            <w:tcMar>
              <w:top w:type="dxa" w:w="80"/>
              <w:left w:type="dxa" w:w="110"/>
              <w:bottom w:type="dxa" w:w="80"/>
              <w:right w:type="dxa" w:w="110"/>
            </w:tcMar>
            <w:vAlign w:val="center"/>
          </w:tcPr>
          <w:p>
            <w:pPr>
              <w:spacing w:after="40" w:line="240"/>
              <w:jc w:val="left"/>
            </w:pPr>
            <w:r>
              <w:rPr>
                <w:b w:val="false"/>
                <w:bCs w:val="false"/>
                <w:sz w:val="20"/>
                <w:szCs w:val="20"/>
              </w:rPr>
              <w:t xml:space="preserve">Reflexive thematic analysis (Braun &amp; Clarke, 2006, 2021)</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All</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Obj. 5</w:t>
            </w:r>
          </w:p>
        </w:tc>
        <w:tc>
          <w:tcPr>
            <w:tcW w:type="dxa" w:w="1250"/>
            <w:tcMar>
              <w:top w:type="dxa" w:w="80"/>
              <w:left w:type="dxa" w:w="110"/>
              <w:bottom w:type="dxa" w:w="80"/>
              <w:right w:type="dxa" w:w="110"/>
            </w:tcMar>
            <w:vAlign w:val="center"/>
          </w:tcPr>
          <w:p>
            <w:pPr>
              <w:spacing w:after="40" w:line="240"/>
              <w:jc w:val="left"/>
            </w:pPr>
            <w:r>
              <w:rPr>
                <w:b w:val="false"/>
                <w:bCs w:val="false"/>
                <w:sz w:val="20"/>
                <w:szCs w:val="20"/>
              </w:rPr>
              <w:t xml:space="preserve">Integration</w:t>
            </w:r>
          </w:p>
        </w:tc>
        <w:tc>
          <w:tcPr>
            <w:tcW w:type="dxa" w:w="3090"/>
            <w:tcMar>
              <w:top w:type="dxa" w:w="80"/>
              <w:left w:type="dxa" w:w="110"/>
              <w:bottom w:type="dxa" w:w="80"/>
              <w:right w:type="dxa" w:w="110"/>
            </w:tcMar>
            <w:vAlign w:val="center"/>
          </w:tcPr>
          <w:p>
            <w:pPr>
              <w:spacing w:after="40" w:line="240"/>
              <w:jc w:val="left"/>
            </w:pPr>
            <w:r>
              <w:rPr>
                <w:b w:val="false"/>
                <w:bCs w:val="false"/>
                <w:sz w:val="20"/>
                <w:szCs w:val="20"/>
              </w:rPr>
              <w:t xml:space="preserve">Both datasets</w:t>
            </w:r>
          </w:p>
        </w:tc>
        <w:tc>
          <w:tcPr>
            <w:tcW w:type="dxa" w:w="2700"/>
            <w:tcMar>
              <w:top w:type="dxa" w:w="80"/>
              <w:left w:type="dxa" w:w="110"/>
              <w:bottom w:type="dxa" w:w="80"/>
              <w:right w:type="dxa" w:w="110"/>
            </w:tcMar>
            <w:vAlign w:val="center"/>
          </w:tcPr>
          <w:p>
            <w:pPr>
              <w:spacing w:after="40" w:line="240"/>
              <w:jc w:val="left"/>
            </w:pPr>
            <w:r>
              <w:rPr>
                <w:b w:val="false"/>
                <w:bCs w:val="false"/>
                <w:sz w:val="20"/>
                <w:szCs w:val="20"/>
              </w:rPr>
              <w:t xml:space="preserve">Joint display; meta-inference (Fetters et al., 2013)</w:t>
            </w:r>
          </w:p>
        </w:tc>
      </w:tr>
    </w:tbl>
    <w:p>
      <w:pPr>
        <w:pStyle w:val="Heading2"/>
        <w:keepNext/>
        <w:spacing w:after="140" w:before="280"/>
      </w:pPr>
      <w:r>
        <w:t xml:space="preserve">3.5 Study Population</w:t>
      </w:r>
    </w:p>
    <w:p>
      <w:pPr>
        <w:spacing w:after="160" w:before="0" w:line="360"/>
        <w:jc w:val="both"/>
      </w:pPr>
      <w:r>
        <w:t xml:space="preserve">The study had two populations. The artefact population is the set of AWS components that make up the target architecture: a VPC with public and private subnets in two Availability Zones, an Internet Gateway, two NAT gateways with Elastic IP addresses, route tables, three security groups and their rules, one shared ALB with an HTTP listener, a target group and listener rule per service, an ECS cluster, task definition and Fargate service per service with scaling policies and alarms, ECR repositories, an HTTP API Gateway with a VPC Link and two routes per service, IAM roles and policies, CloudWatch log groups, an Inspector alert topic, and the S3 bucket and DynamoDB table that hold Terraform state. Counted from the Terraform configuration, this amounts to 152 managed resources: 7 in the remote-state stack, 55 in the shared infrastructure stack (12 of them ECR resources) and 18 in each of the five service stacks. A full rebuild recreates 140 of them; the ECR repositories are retained so that container images survive.</w:t>
      </w:r>
    </w:p>
    <w:p>
      <w:pPr>
        <w:spacing w:after="160" w:before="0" w:line="360"/>
        <w:jc w:val="both"/>
      </w:pPr>
      <w:r>
        <w:t xml:space="preserve">The event population is the set of provisioning cycles. In the Terraform condition, a cycle is one complete pipeline rebuild: the five service stacks, the shared infrastructure (except the ECR repositories) and the remote-state stack are destroyed and then recreated, and the cycle ends when every ECS service reaches a steady state. In the simulated manual condition, a run is one simulated console build of the same 140 resources from an empty account. A pipeline cycle was eligible if it completed and wrote its run report; excluded runs are reported with their reasons in Section 4.2.</w:t>
      </w:r>
    </w:p>
    <w:p>
      <w:pPr>
        <w:pStyle w:val="Heading2"/>
        <w:keepNext/>
        <w:spacing w:after="140" w:before="280"/>
      </w:pPr>
      <w:r>
        <w:t xml:space="preserve">3.6 Sample Size and Sampling Method</w:t>
      </w:r>
    </w:p>
    <w:p>
      <w:pPr>
        <w:pStyle w:val="Heading3"/>
        <w:keepNext/>
        <w:spacing w:after="120" w:before="220"/>
      </w:pPr>
      <w:r>
        <w:t xml:space="preserve">3.6.1 Quantitative Strand</w:t>
      </w:r>
    </w:p>
    <w:p>
      <w:pPr>
        <w:spacing w:after="160" w:before="0" w:line="360"/>
        <w:jc w:val="both"/>
      </w:pPr>
      <w:r>
        <w:t xml:space="preserve">The proposal planned 30 Terraform cycles, following Regvart et al. (2026), and 10 manual runs. The planned Terraform sample was achieved: 30 complete rebuild cycles were executed by GitHub Actions between 14 and 15 October 2026. The first 14 cycles (runs 1 and 4–16) were triggered by a commit to the rebuild script, as the workflow was designed; the remaining 16 (runs 17–32) were triggered through the workflow's manual-dispatch event with a repeat count, each run starting the next when it succeeded. The steps executed were identical; only the trigger differed, and Section 4.6 tests whether the trigger affected the timings. The 30 cycles took 14.2 hours of pipeline time in total, each about 28 minutes and each incurring charges for NAT gateways, the load balancer and Fargate tasks. The coefficient of variation of the full build (4.2%) confirms that the distribution was tight. The manual condition comprised 10 simulated builds, matching the planned number of manual runs, and 10 simulated manual rebuilds for the reproducibility comparison.</w:t>
      </w:r>
    </w:p>
    <w:p>
      <w:pPr>
        <w:spacing w:after="160" w:before="0" w:line="360"/>
        <w:jc w:val="both"/>
      </w:pPr>
      <w:r>
        <w:t xml:space="preserve">Configuration drift requires at least two environments built from the same code. A pre-production workspace had been created during development in December 2025 but destroyed before the measurement window, so only the production workspace existed. Drift could therefore not be measured, and H2 and H5 could not be tested. Table 3.3 summarises planned against achieved values.</w:t>
      </w:r>
    </w:p>
    <w:p>
      <w:pPr>
        <w:keepNext/>
        <w:spacing w:after="100" w:before="200" w:line="240"/>
        <w:jc w:val="left"/>
      </w:pPr>
      <w:r>
        <w:rPr>
          <w:b/>
          <w:bCs/>
        </w:rPr>
        <w:t xml:space="preserve">Table 3.3 </w:t>
      </w:r>
      <w:r>
        <w:rPr>
          <w:i/>
          <w:iCs/>
        </w:rPr>
        <w:t xml:space="preserve">Sample Size Determination: Planned and Achieved</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300"/>
        <w:gridCol w:w="1500"/>
        <w:gridCol w:w="2300"/>
        <w:gridCol w:w="2540"/>
      </w:tblGrid>
      <w:tr>
        <w:trPr>
          <w:tblHeader/>
        </w:trPr>
        <w:tc>
          <w:tcPr>
            <w:tcW w:type="dxa" w:w="23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Parameter</w:t>
            </w:r>
          </w:p>
        </w:tc>
        <w:tc>
          <w:tcPr>
            <w:tcW w:type="dxa" w:w="1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Planned (proposal)</w:t>
            </w:r>
          </w:p>
        </w:tc>
        <w:tc>
          <w:tcPr>
            <w:tcW w:type="dxa" w:w="23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Achieved</w:t>
            </w:r>
          </w:p>
        </w:tc>
        <w:tc>
          <w:tcPr>
            <w:tcW w:type="dxa" w:w="25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Basis or reason</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Architecture components (inventory)</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To be established</w:t>
            </w:r>
          </w:p>
        </w:tc>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24 components; 152 Terraform resources</w:t>
            </w:r>
          </w:p>
        </w:tc>
        <w:tc>
          <w:tcPr>
            <w:tcW w:type="dxa" w:w="2540"/>
            <w:tcMar>
              <w:top w:type="dxa" w:w="80"/>
              <w:left w:type="dxa" w:w="110"/>
              <w:bottom w:type="dxa" w:w="80"/>
              <w:right w:type="dxa" w:w="110"/>
            </w:tcMar>
            <w:vAlign w:val="center"/>
          </w:tcPr>
          <w:p>
            <w:pPr>
              <w:spacing w:after="40" w:line="240"/>
              <w:jc w:val="left"/>
            </w:pPr>
            <w:r>
              <w:rPr>
                <w:b w:val="false"/>
                <w:bCs w:val="false"/>
                <w:sz w:val="20"/>
                <w:szCs w:val="20"/>
              </w:rPr>
              <w:t xml:space="preserve">Repository audit; Terraform configuration</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Terraform provisioning cycles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30</w:t>
            </w:r>
          </w:p>
        </w:tc>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30 (GitHub Actions)</w:t>
            </w:r>
          </w:p>
        </w:tc>
        <w:tc>
          <w:tcPr>
            <w:tcW w:type="dxa" w:w="2540"/>
            <w:tcMar>
              <w:top w:type="dxa" w:w="80"/>
              <w:left w:type="dxa" w:w="110"/>
              <w:bottom w:type="dxa" w:w="80"/>
              <w:right w:type="dxa" w:w="110"/>
            </w:tcMar>
            <w:vAlign w:val="center"/>
          </w:tcPr>
          <w:p>
            <w:pPr>
              <w:spacing w:after="40" w:line="240"/>
              <w:jc w:val="left"/>
            </w:pPr>
            <w:r>
              <w:rPr>
                <w:b w:val="false"/>
                <w:bCs w:val="false"/>
                <w:sz w:val="20"/>
                <w:szCs w:val="20"/>
              </w:rPr>
              <w:t xml:space="preserve">Achieved; 14 push-triggered and 16 chained dispatch runs</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Manual provisioning runs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 observed</w:t>
            </w:r>
          </w:p>
        </w:tc>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10 simulated</w:t>
            </w:r>
          </w:p>
        </w:tc>
        <w:tc>
          <w:tcPr>
            <w:tcW w:type="dxa" w:w="2540"/>
            <w:tcMar>
              <w:top w:type="dxa" w:w="80"/>
              <w:left w:type="dxa" w:w="110"/>
              <w:bottom w:type="dxa" w:w="80"/>
              <w:right w:type="dxa" w:w="110"/>
            </w:tcMar>
            <w:vAlign w:val="center"/>
          </w:tcPr>
          <w:p>
            <w:pPr>
              <w:spacing w:after="40" w:line="240"/>
              <w:jc w:val="left"/>
            </w:pPr>
            <w:r>
              <w:rPr>
                <w:b w:val="false"/>
                <w:bCs w:val="false"/>
                <w:sz w:val="20"/>
                <w:szCs w:val="20"/>
              </w:rPr>
              <w:t xml:space="preserve">Researcher time; simulation model in Section 3.7.1</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Destroy-and-rebuild cycles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 per method</w:t>
            </w:r>
          </w:p>
        </w:tc>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30 measured (Terraform); 10 simulated (manual)</w:t>
            </w:r>
          </w:p>
        </w:tc>
        <w:tc>
          <w:tcPr>
            <w:tcW w:type="dxa" w:w="2540"/>
            <w:tcMar>
              <w:top w:type="dxa" w:w="80"/>
              <w:left w:type="dxa" w:w="110"/>
              <w:bottom w:type="dxa" w:w="80"/>
              <w:right w:type="dxa" w:w="110"/>
            </w:tcMar>
            <w:vAlign w:val="center"/>
          </w:tcPr>
          <w:p>
            <w:pPr>
              <w:spacing w:after="40" w:line="240"/>
              <w:jc w:val="left"/>
            </w:pPr>
            <w:r>
              <w:rPr>
                <w:b w:val="false"/>
                <w:bCs w:val="false"/>
                <w:sz w:val="20"/>
                <w:szCs w:val="20"/>
              </w:rPr>
              <w:t xml:space="preserve">Every pipeline cycle was a destroy-and-rebuild cycle</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Environments for drift comparison</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3</w:t>
            </w:r>
          </w:p>
        </w:tc>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1 (production only)</w:t>
            </w:r>
          </w:p>
        </w:tc>
        <w:tc>
          <w:tcPr>
            <w:tcW w:type="dxa" w:w="2540"/>
            <w:tcMar>
              <w:top w:type="dxa" w:w="80"/>
              <w:left w:type="dxa" w:w="110"/>
              <w:bottom w:type="dxa" w:w="80"/>
              <w:right w:type="dxa" w:w="110"/>
            </w:tcMar>
            <w:vAlign w:val="center"/>
          </w:tcPr>
          <w:p>
            <w:pPr>
              <w:spacing w:after="40" w:line="240"/>
              <w:jc w:val="left"/>
            </w:pPr>
            <w:r>
              <w:rPr>
                <w:b w:val="false"/>
                <w:bCs w:val="false"/>
                <w:sz w:val="20"/>
                <w:szCs w:val="20"/>
              </w:rPr>
              <w:t xml:space="preserve">Pre-production destroyed before measurement window</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Pipeline integration depth levels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3</w:t>
            </w:r>
          </w:p>
        </w:tc>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1 observed (pipeline execution, no review gate)</w:t>
            </w:r>
          </w:p>
        </w:tc>
        <w:tc>
          <w:tcPr>
            <w:tcW w:type="dxa" w:w="2540"/>
            <w:tcMar>
              <w:top w:type="dxa" w:w="80"/>
              <w:left w:type="dxa" w:w="110"/>
              <w:bottom w:type="dxa" w:w="80"/>
              <w:right w:type="dxa" w:w="110"/>
            </w:tcMar>
            <w:vAlign w:val="center"/>
          </w:tcPr>
          <w:p>
            <w:pPr>
              <w:spacing w:after="40" w:line="240"/>
              <w:jc w:val="left"/>
            </w:pPr>
            <w:r>
              <w:rPr>
                <w:b w:val="false"/>
                <w:bCs w:val="false"/>
                <w:sz w:val="20"/>
                <w:szCs w:val="20"/>
              </w:rPr>
              <w:t xml:space="preserve">Gated apply on merge not implemented</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Service start-up observations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Not planned</w:t>
            </w:r>
          </w:p>
        </w:tc>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150 (30 cycles × 5 services)</w:t>
            </w:r>
          </w:p>
        </w:tc>
        <w:tc>
          <w:tcPr>
            <w:tcW w:type="dxa" w:w="2540"/>
            <w:tcMar>
              <w:top w:type="dxa" w:w="80"/>
              <w:left w:type="dxa" w:w="110"/>
              <w:bottom w:type="dxa" w:w="80"/>
              <w:right w:type="dxa" w:w="110"/>
            </w:tcMar>
            <w:vAlign w:val="center"/>
          </w:tcPr>
          <w:p>
            <w:pPr>
              <w:spacing w:after="40" w:line="240"/>
              <w:jc w:val="left"/>
            </w:pPr>
            <w:r>
              <w:rPr>
                <w:b w:val="false"/>
                <w:bCs w:val="false"/>
                <w:sz w:val="20"/>
                <w:szCs w:val="20"/>
              </w:rPr>
              <w:t xml:space="preserve">Recorded automatically by the pipeline</w:t>
            </w:r>
          </w:p>
        </w:tc>
      </w:tr>
    </w:tbl>
    <w:p>
      <w:pPr>
        <w:pStyle w:val="Heading3"/>
        <w:keepNext/>
        <w:spacing w:after="120" w:before="220"/>
      </w:pPr>
      <w:r>
        <w:t xml:space="preserve">3.6.2 Qualitative Strand</w:t>
      </w:r>
    </w:p>
    <w:p>
      <w:pPr>
        <w:spacing w:after="160" w:before="0" w:line="360"/>
        <w:jc w:val="both"/>
      </w:pPr>
      <w:r>
        <w:t xml:space="preserve">The qualitative strand did not sample people. The proposal planned a structured implementation log kept at the time of each event; no separate log was kept, so the documented implementation record was used instead. It comprised the complete Git history of the infrastructure repository (78 commits between 5 December 2025 and 15 October 2026, 30 of them made by the pipeline), the 31 run reports committed by the pipeline, and the comments written into the pipeline scripts and workflow. Every commit was read, and the entries examined most closely were those relating to results that Phase 1 identified as requiring explanation. Because the record was not written for the study it is less vulnerable to selective recording, but commit messages are terse, so the researcher's recollection was needed to interpret some entries; this dual role was documented as part of the reflexive approach (Braun &amp; Clarke, 2021).</w:t>
      </w:r>
    </w:p>
    <w:p>
      <w:pPr>
        <w:pStyle w:val="Heading2"/>
        <w:keepNext/>
        <w:spacing w:after="140" w:before="280"/>
      </w:pPr>
      <w:r>
        <w:t xml:space="preserve">3.7 Data Collection Methods and Instruments</w:t>
      </w:r>
    </w:p>
    <w:p>
      <w:pPr>
        <w:pStyle w:val="Heading3"/>
        <w:keepNext/>
        <w:spacing w:after="120" w:before="220"/>
      </w:pPr>
      <w:r>
        <w:t xml:space="preserve">3.7.1 Measurement Instruments and Simulation Model</w:t>
      </w:r>
    </w:p>
    <w:p>
      <w:pPr>
        <w:spacing w:after="160" w:before="0" w:line="360"/>
        <w:jc w:val="both"/>
      </w:pPr>
      <w:r>
        <w:t xml:space="preserve">The Terraform condition was measured by instrumentation built into the pipeline (Table 3.2). A helper script recorded Unix timestamps at the start and end of each phase of the rebuild script; a reporting script wrote one row per phase and a per-run report back to the repository. Service recovery was measured from the AWS ECS service events as the time between each service's creation and the first event reporting a steady state, and each service was requested through the API Gateway to record its HTTP status. A cycle counted as a successful reproduction if every phase completed, every service reached a steady state and every service answered with HTTP 200.</w:t>
      </w:r>
    </w:p>
    <w:p>
      <w:pPr>
        <w:spacing w:after="160" w:before="0" w:line="360"/>
        <w:jc w:val="both"/>
      </w:pPr>
      <w:r>
        <w:t xml:space="preserve">The manual condition was generated by a Monte Carlo simulation written in Python with a fixed random seed (20261015). Each simulated build creates the same 140 resources as a Terraform rebuild. The hands-on console time for each resource is drawn from a log-normal distribution with a median of 35 seconds and a log-scale standard deviation of 0.45, reflecting the fact that some resources are created in a few clicks while others need several screens. Each resource has a 2% chance of having to be corrected and redone. A learning effect makes the first run 15% slower than the long-run level, decaying exponentially by 25% per run, which represents the concern raised in the proposal that manual runs speed up with repetition. Unavoidable waiting time for NAT gateways, the load balancer and services to become available is added as a normal draw with a mean of 8 minutes and a standard deviation of 1 minute. For reproducibility, each simulated manual rebuild has a 0.5% chance per resource of an unintended difference from the baseline configuration; a rebuild succeeds only if no resource differs.</w:t>
      </w:r>
    </w:p>
    <w:p>
      <w:pPr>
        <w:spacing w:after="160" w:before="0" w:line="360"/>
        <w:jc w:val="both"/>
      </w:pPr>
      <w:r>
        <w:t xml:space="preserve">These parameters are the researcher's assumptions, chosen to be plausible for an engineer who knows the architecture and follows a written procedure. They are not drawn from a published measurement, because none exists for this architecture. Their influence on the conclusions is examined by sensitivity analysis in Section 4.8: the per-resource console time is varied from 20 to 120 seconds and the per-resource error probability from 0.2% to 1%.</w:t>
      </w:r>
    </w:p>
    <w:p>
      <w:pPr>
        <w:spacing w:after="160" w:before="0" w:line="360"/>
        <w:jc w:val="both"/>
      </w:pPr>
      <w:r>
        <w:t xml:space="preserve">Version-control coverage was measured by auditing a 24-item component inventory, derived from the architecture description in Section 1.2 together with the governance elements a regulated organisation would expect, against the repository. Each component was classified as fully defined, partially defined (present but switched off or incomplete) or not defined.</w:t>
      </w:r>
    </w:p>
    <w:p>
      <w:pPr>
        <w:keepNext/>
        <w:spacing w:after="100" w:before="200" w:line="240"/>
        <w:jc w:val="left"/>
      </w:pPr>
      <w:r>
        <w:rPr>
          <w:b/>
          <w:bCs/>
        </w:rPr>
        <w:t xml:space="preserve">Table 3.2 </w:t>
      </w:r>
      <w:r>
        <w:rPr>
          <w:i/>
          <w:iCs/>
        </w:rPr>
        <w:t xml:space="preserve">Measurement Instruments, Outputs and Sources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100"/>
        <w:gridCol w:w="2200"/>
        <w:gridCol w:w="2400"/>
        <w:gridCol w:w="1940"/>
      </w:tblGrid>
      <w:tr>
        <w:trPr>
          <w:tblHeader/>
        </w:trPr>
        <w:tc>
          <w:tcPr>
            <w:tcW w:type="dxa" w:w="21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Construct</w:t>
            </w:r>
          </w:p>
        </w:tc>
        <w:tc>
          <w:tcPr>
            <w:tcW w:type="dxa" w:w="22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Measure</w:t>
            </w:r>
          </w:p>
        </w:tc>
        <w:tc>
          <w:tcPr>
            <w:tcW w:type="dxa" w:w="24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Instrument</w:t>
            </w:r>
          </w:p>
        </w:tc>
        <w:tc>
          <w:tcPr>
            <w:tcW w:type="dxa" w:w="19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Source of values</w:t>
            </w:r>
          </w:p>
        </w:tc>
      </w:tr>
      <w:tr>
        <w:trPr>
          <w:cantSplit/>
        </w:trPr>
        <w:tc>
          <w:tcPr>
            <w:tcW w:type="dxa" w:w="2100"/>
            <w:tcMar>
              <w:top w:type="dxa" w:w="80"/>
              <w:left w:type="dxa" w:w="110"/>
              <w:bottom w:type="dxa" w:w="80"/>
              <w:right w:type="dxa" w:w="110"/>
            </w:tcMar>
            <w:vAlign w:val="center"/>
          </w:tcPr>
          <w:p>
            <w:pPr>
              <w:spacing w:after="40" w:line="240"/>
              <w:jc w:val="left"/>
            </w:pPr>
            <w:r>
              <w:rPr>
                <w:b w:val="false"/>
                <w:bCs w:val="false"/>
                <w:sz w:val="20"/>
                <w:szCs w:val="20"/>
              </w:rPr>
              <w:t xml:space="preserve">Provisioning duration (Terraform)</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Seconds per phase and per cycle</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Pipeline timing script writing Unix timestamps to CSV</w:t>
            </w:r>
          </w:p>
        </w:tc>
        <w:tc>
          <w:tcPr>
            <w:tcW w:type="dxa" w:w="1940"/>
            <w:tcMar>
              <w:top w:type="dxa" w:w="80"/>
              <w:left w:type="dxa" w:w="110"/>
              <w:bottom w:type="dxa" w:w="80"/>
              <w:right w:type="dxa" w:w="110"/>
            </w:tcMar>
            <w:vAlign w:val="center"/>
          </w:tcPr>
          <w:p>
            <w:pPr>
              <w:spacing w:after="40" w:line="240"/>
              <w:jc w:val="left"/>
            </w:pPr>
            <w:r>
              <w:rPr>
                <w:b w:val="false"/>
                <w:bCs w:val="false"/>
                <w:sz w:val="20"/>
                <w:szCs w:val="20"/>
              </w:rPr>
              <w:t xml:space="preserve">Measured; procedure after Regvart et al. (2026)</w:t>
            </w:r>
          </w:p>
        </w:tc>
      </w:tr>
      <w:tr>
        <w:trPr>
          <w:cantSplit/>
        </w:trPr>
        <w:tc>
          <w:tcPr>
            <w:tcW w:type="dxa" w:w="2100"/>
            <w:tcMar>
              <w:top w:type="dxa" w:w="80"/>
              <w:left w:type="dxa" w:w="110"/>
              <w:bottom w:type="dxa" w:w="80"/>
              <w:right w:type="dxa" w:w="110"/>
            </w:tcMar>
            <w:vAlign w:val="center"/>
          </w:tcPr>
          <w:p>
            <w:pPr>
              <w:spacing w:after="40" w:line="240"/>
              <w:jc w:val="left"/>
            </w:pPr>
            <w:r>
              <w:rPr>
                <w:b w:val="false"/>
                <w:bCs w:val="false"/>
                <w:sz w:val="20"/>
                <w:szCs w:val="20"/>
              </w:rPr>
              <w:t xml:space="preserve">Provisioning duration (manual)</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Seconds per simulated build</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Monte Carlo model (Section 3.7.1)</w:t>
            </w:r>
          </w:p>
        </w:tc>
        <w:tc>
          <w:tcPr>
            <w:tcW w:type="dxa" w:w="1940"/>
            <w:tcMar>
              <w:top w:type="dxa" w:w="80"/>
              <w:left w:type="dxa" w:w="110"/>
              <w:bottom w:type="dxa" w:w="80"/>
              <w:right w:type="dxa" w:w="110"/>
            </w:tcMar>
            <w:vAlign w:val="center"/>
          </w:tcPr>
          <w:p>
            <w:pPr>
              <w:spacing w:after="40" w:line="240"/>
              <w:jc w:val="left"/>
            </w:pPr>
            <w:r>
              <w:rPr>
                <w:b w:val="false"/>
                <w:bCs w:val="false"/>
                <w:sz w:val="20"/>
                <w:szCs w:val="20"/>
              </w:rPr>
              <w:t xml:space="preserve">Simulated</w:t>
            </w:r>
          </w:p>
        </w:tc>
      </w:tr>
      <w:tr>
        <w:trPr>
          <w:cantSplit/>
        </w:trPr>
        <w:tc>
          <w:tcPr>
            <w:tcW w:type="dxa" w:w="2100"/>
            <w:tcMar>
              <w:top w:type="dxa" w:w="80"/>
              <w:left w:type="dxa" w:w="110"/>
              <w:bottom w:type="dxa" w:w="80"/>
              <w:right w:type="dxa" w:w="110"/>
            </w:tcMar>
            <w:vAlign w:val="center"/>
          </w:tcPr>
          <w:p>
            <w:pPr>
              <w:spacing w:after="40" w:line="240"/>
              <w:jc w:val="left"/>
            </w:pPr>
            <w:r>
              <w:rPr>
                <w:b w:val="false"/>
                <w:bCs w:val="false"/>
                <w:sz w:val="20"/>
                <w:szCs w:val="20"/>
              </w:rPr>
              <w:t xml:space="preserve">Service recovery</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Seconds from creation to steady state; HTTP status</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AWS ECS service events; HTTP request via API Gateway</w:t>
            </w:r>
          </w:p>
        </w:tc>
        <w:tc>
          <w:tcPr>
            <w:tcW w:type="dxa" w:w="1940"/>
            <w:tcMar>
              <w:top w:type="dxa" w:w="80"/>
              <w:left w:type="dxa" w:w="110"/>
              <w:bottom w:type="dxa" w:w="80"/>
              <w:right w:type="dxa" w:w="110"/>
            </w:tcMar>
            <w:vAlign w:val="center"/>
          </w:tcPr>
          <w:p>
            <w:pPr>
              <w:spacing w:after="40" w:line="240"/>
              <w:jc w:val="left"/>
            </w:pPr>
            <w:r>
              <w:rPr>
                <w:b w:val="false"/>
                <w:bCs w:val="false"/>
                <w:sz w:val="20"/>
                <w:szCs w:val="20"/>
              </w:rPr>
              <w:t xml:space="preserve">Measured</w:t>
            </w:r>
          </w:p>
        </w:tc>
      </w:tr>
      <w:tr>
        <w:trPr>
          <w:cantSplit/>
        </w:trPr>
        <w:tc>
          <w:tcPr>
            <w:tcW w:type="dxa" w:w="2100"/>
            <w:tcMar>
              <w:top w:type="dxa" w:w="80"/>
              <w:left w:type="dxa" w:w="110"/>
              <w:bottom w:type="dxa" w:w="80"/>
              <w:right w:type="dxa" w:w="110"/>
            </w:tcMar>
            <w:vAlign w:val="center"/>
          </w:tcPr>
          <w:p>
            <w:pPr>
              <w:spacing w:after="40" w:line="240"/>
              <w:jc w:val="left"/>
            </w:pPr>
            <w:r>
              <w:rPr>
                <w:b w:val="false"/>
                <w:bCs w:val="false"/>
                <w:sz w:val="20"/>
                <w:szCs w:val="20"/>
              </w:rPr>
              <w:t xml:space="preserve">Reproducibility (Terraform)</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Proportion of cycles completed with all services healthy</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Pipeline status and health check</w:t>
            </w:r>
          </w:p>
        </w:tc>
        <w:tc>
          <w:tcPr>
            <w:tcW w:type="dxa" w:w="1940"/>
            <w:tcMar>
              <w:top w:type="dxa" w:w="80"/>
              <w:left w:type="dxa" w:w="110"/>
              <w:bottom w:type="dxa" w:w="80"/>
              <w:right w:type="dxa" w:w="110"/>
            </w:tcMar>
            <w:vAlign w:val="center"/>
          </w:tcPr>
          <w:p>
            <w:pPr>
              <w:spacing w:after="40" w:line="240"/>
              <w:jc w:val="left"/>
            </w:pPr>
            <w:r>
              <w:rPr>
                <w:b w:val="false"/>
                <w:bCs w:val="false"/>
                <w:sz w:val="20"/>
                <w:szCs w:val="20"/>
              </w:rPr>
              <w:t xml:space="preserve">Measured</w:t>
            </w:r>
          </w:p>
        </w:tc>
      </w:tr>
      <w:tr>
        <w:trPr>
          <w:cantSplit/>
        </w:trPr>
        <w:tc>
          <w:tcPr>
            <w:tcW w:type="dxa" w:w="2100"/>
            <w:tcMar>
              <w:top w:type="dxa" w:w="80"/>
              <w:left w:type="dxa" w:w="110"/>
              <w:bottom w:type="dxa" w:w="80"/>
              <w:right w:type="dxa" w:w="110"/>
            </w:tcMar>
            <w:vAlign w:val="center"/>
          </w:tcPr>
          <w:p>
            <w:pPr>
              <w:spacing w:after="40" w:line="240"/>
              <w:jc w:val="left"/>
            </w:pPr>
            <w:r>
              <w:rPr>
                <w:b w:val="false"/>
                <w:bCs w:val="false"/>
                <w:sz w:val="20"/>
                <w:szCs w:val="20"/>
              </w:rPr>
              <w:t xml:space="preserve">Reproducibility (manual)</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Proportion of rebuilds with no differing resource</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Monte Carlo model</w:t>
            </w:r>
          </w:p>
        </w:tc>
        <w:tc>
          <w:tcPr>
            <w:tcW w:type="dxa" w:w="1940"/>
            <w:tcMar>
              <w:top w:type="dxa" w:w="80"/>
              <w:left w:type="dxa" w:w="110"/>
              <w:bottom w:type="dxa" w:w="80"/>
              <w:right w:type="dxa" w:w="110"/>
            </w:tcMar>
            <w:vAlign w:val="center"/>
          </w:tcPr>
          <w:p>
            <w:pPr>
              <w:spacing w:after="40" w:line="240"/>
              <w:jc w:val="left"/>
            </w:pPr>
            <w:r>
              <w:rPr>
                <w:b w:val="false"/>
                <w:bCs w:val="false"/>
                <w:sz w:val="20"/>
                <w:szCs w:val="20"/>
              </w:rPr>
              <w:t xml:space="preserve">Simulated</w:t>
            </w:r>
          </w:p>
        </w:tc>
      </w:tr>
      <w:tr>
        <w:trPr>
          <w:cantSplit/>
        </w:trPr>
        <w:tc>
          <w:tcPr>
            <w:tcW w:type="dxa" w:w="2100"/>
            <w:tcMar>
              <w:top w:type="dxa" w:w="80"/>
              <w:left w:type="dxa" w:w="110"/>
              <w:bottom w:type="dxa" w:w="80"/>
              <w:right w:type="dxa" w:w="110"/>
            </w:tcMar>
            <w:vAlign w:val="center"/>
          </w:tcPr>
          <w:p>
            <w:pPr>
              <w:spacing w:after="40" w:line="240"/>
              <w:jc w:val="left"/>
            </w:pPr>
            <w:r>
              <w:rPr>
                <w:b w:val="false"/>
                <w:bCs w:val="false"/>
                <w:sz w:val="20"/>
                <w:szCs w:val="20"/>
              </w:rPr>
              <w:t xml:space="preserve">Version-control coverage</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Percentage of inventory fully defined in the repository</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Inventory audited against repository</w:t>
            </w:r>
          </w:p>
        </w:tc>
        <w:tc>
          <w:tcPr>
            <w:tcW w:type="dxa" w:w="1940"/>
            <w:tcMar>
              <w:top w:type="dxa" w:w="80"/>
              <w:left w:type="dxa" w:w="110"/>
              <w:bottom w:type="dxa" w:w="80"/>
              <w:right w:type="dxa" w:w="110"/>
            </w:tcMar>
            <w:vAlign w:val="center"/>
          </w:tcPr>
          <w:p>
            <w:pPr>
              <w:spacing w:after="40" w:line="240"/>
              <w:jc w:val="left"/>
            </w:pPr>
            <w:r>
              <w:rPr>
                <w:b w:val="false"/>
                <w:bCs w:val="false"/>
                <w:sz w:val="20"/>
                <w:szCs w:val="20"/>
              </w:rPr>
              <w:t xml:space="preserve">Measured</w:t>
            </w:r>
          </w:p>
        </w:tc>
      </w:tr>
      <w:tr>
        <w:trPr>
          <w:cantSplit/>
        </w:trPr>
        <w:tc>
          <w:tcPr>
            <w:tcW w:type="dxa" w:w="2100"/>
            <w:tcMar>
              <w:top w:type="dxa" w:w="80"/>
              <w:left w:type="dxa" w:w="110"/>
              <w:bottom w:type="dxa" w:w="80"/>
              <w:right w:type="dxa" w:w="110"/>
            </w:tcMar>
            <w:vAlign w:val="center"/>
          </w:tcPr>
          <w:p>
            <w:pPr>
              <w:spacing w:after="40" w:line="240"/>
              <w:jc w:val="left"/>
            </w:pPr>
            <w:r>
              <w:rPr>
                <w:b w:val="false"/>
                <w:bCs w:val="false"/>
                <w:sz w:val="20"/>
                <w:szCs w:val="20"/>
              </w:rPr>
              <w:t xml:space="preserve">Pipeline integration depth</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Ordered level</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Workflow configuration</w:t>
            </w:r>
          </w:p>
        </w:tc>
        <w:tc>
          <w:tcPr>
            <w:tcW w:type="dxa" w:w="1940"/>
            <w:tcMar>
              <w:top w:type="dxa" w:w="80"/>
              <w:left w:type="dxa" w:w="110"/>
              <w:bottom w:type="dxa" w:w="80"/>
              <w:right w:type="dxa" w:w="110"/>
            </w:tcMar>
            <w:vAlign w:val="center"/>
          </w:tcPr>
          <w:p>
            <w:pPr>
              <w:spacing w:after="40" w:line="240"/>
              <w:jc w:val="left"/>
            </w:pPr>
            <w:r>
              <w:rPr>
                <w:b w:val="false"/>
                <w:bCs w:val="false"/>
                <w:sz w:val="20"/>
                <w:szCs w:val="20"/>
              </w:rPr>
              <w:t xml:space="preserve">Measured</w:t>
            </w:r>
          </w:p>
        </w:tc>
      </w:tr>
      <w:tr>
        <w:trPr>
          <w:cantSplit/>
        </w:trPr>
        <w:tc>
          <w:tcPr>
            <w:tcW w:type="dxa" w:w="2100"/>
            <w:tcMar>
              <w:top w:type="dxa" w:w="80"/>
              <w:left w:type="dxa" w:w="110"/>
              <w:bottom w:type="dxa" w:w="80"/>
              <w:right w:type="dxa" w:w="110"/>
            </w:tcMar>
            <w:vAlign w:val="center"/>
          </w:tcPr>
          <w:p>
            <w:pPr>
              <w:spacing w:after="40" w:line="240"/>
              <w:jc w:val="left"/>
            </w:pPr>
            <w:r>
              <w:rPr>
                <w:b w:val="false"/>
                <w:bCs w:val="false"/>
                <w:sz w:val="20"/>
                <w:szCs w:val="20"/>
              </w:rPr>
              <w:t xml:space="preserve">Configuration drift</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Differing attributes between environments</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Planned: Terraform plan and AWS CLI inventory</w:t>
            </w:r>
          </w:p>
        </w:tc>
        <w:tc>
          <w:tcPr>
            <w:tcW w:type="dxa" w:w="1940"/>
            <w:tcMar>
              <w:top w:type="dxa" w:w="80"/>
              <w:left w:type="dxa" w:w="110"/>
              <w:bottom w:type="dxa" w:w="80"/>
              <w:right w:type="dxa" w:w="110"/>
            </w:tcMar>
            <w:vAlign w:val="center"/>
          </w:tcPr>
          <w:p>
            <w:pPr>
              <w:spacing w:after="40" w:line="240"/>
              <w:jc w:val="left"/>
            </w:pPr>
            <w:r>
              <w:rPr>
                <w:b w:val="false"/>
                <w:bCs w:val="false"/>
                <w:sz w:val="20"/>
                <w:szCs w:val="20"/>
              </w:rPr>
              <w:t xml:space="preserve">Not collected (one environment)</w:t>
            </w:r>
          </w:p>
        </w:tc>
      </w:tr>
    </w:tbl>
    <w:p>
      <w:pPr>
        <w:spacing w:after="200" w:before="60" w:line="240"/>
        <w:jc w:val="left"/>
      </w:pPr>
      <w:r>
        <w:rPr>
          <w:i/>
          <w:iCs/>
          <w:sz w:val="20"/>
          <w:szCs w:val="20"/>
        </w:rPr>
        <w:t xml:space="preserve">Note. </w:t>
      </w:r>
      <w:r>
        <w:rPr>
          <w:sz w:val="20"/>
          <w:szCs w:val="20"/>
        </w:rPr>
        <w:t xml:space="preserve">No construct was measured by self-report, so Cronbach's alpha and composite reliability do not apply.</w:t>
      </w:r>
    </w:p>
    <w:p>
      <w:pPr>
        <w:pStyle w:val="Heading3"/>
        <w:keepNext/>
        <w:spacing w:after="120" w:before="220"/>
      </w:pPr>
      <w:r>
        <w:t xml:space="preserve">3.7.2 Implementation Record Protocol</w:t>
      </w:r>
    </w:p>
    <w:p>
      <w:pPr>
        <w:spacing w:after="160" w:before="0" w:line="360"/>
        <w:jc w:val="both"/>
      </w:pPr>
      <w:r>
        <w:t xml:space="preserve">The qualitative data were assembled as a dated table in which each row recorded a commit or run report: its date, identifier, author (researcher or pipeline), the files and Terraform stacks affected, the size of the change, and the message. Each row was then read alongside the corresponding change in code (Appendix B).</w:t>
      </w:r>
    </w:p>
    <w:p>
      <w:pPr>
        <w:pStyle w:val="Heading3"/>
        <w:keepNext/>
        <w:spacing w:after="120" w:before="220"/>
      </w:pPr>
      <w:r>
        <w:t xml:space="preserve">3.7.3 Environment Control and Instrument Calibration</w:t>
      </w:r>
    </w:p>
    <w:p>
      <w:pPr>
        <w:spacing w:after="160" w:before="0" w:line="360"/>
        <w:jc w:val="both"/>
      </w:pPr>
      <w:r>
        <w:t xml:space="preserve">All pipeline cycles used the same AWS account, region, credentials and Terraform configuration, and ran on GitHub-hosted Ubuntu runners with Terraform 1.13.3. The AWS provider was constrained to the 5.x series for the infrastructure and service stacks and pinned to version 6.20.0 for the remote-state stack. No other provisioning activity took place in the account during the measurement window, and each cycle began by destroying the previous environment. The timing script was checked by comparing its phase timestamps with the step timings in the GitHub Actions run history. AWS API responsiveness and the performance of shared runners could not be controlled. Their influence was examined rather than assumed away: the cycles were spread over two days and every hour of the day, and run order, day, hour of day and trigger were each tested against the timings (Section 4.6).</w:t>
      </w:r>
    </w:p>
    <w:p>
      <w:pPr>
        <w:pStyle w:val="Heading3"/>
        <w:keepNext/>
        <w:spacing w:after="120" w:before="220"/>
      </w:pPr>
      <w:r>
        <w:t xml:space="preserve">3.7.4 Pilot Study</w:t>
      </w:r>
    </w:p>
    <w:p>
      <w:pPr>
        <w:spacing w:after="160" w:before="0" w:line="360"/>
        <w:jc w:val="both"/>
      </w:pPr>
      <w:r>
        <w:t xml:space="preserve">No formal pilot was conducted. The development work of December 2025, in which every stack was applied and destroyed many times, and the first pipeline run on 14 October 2026 served as an informal shakedown. The simulation code was checked by running it with its random components removed and confirming that it reproduced the deterministic totals by hand calculation.</w:t>
      </w:r>
    </w:p>
    <w:p>
      <w:pPr>
        <w:pStyle w:val="Heading2"/>
        <w:keepNext/>
        <w:spacing w:after="140" w:before="280"/>
      </w:pPr>
      <w:r>
        <w:t xml:space="preserve">3.8 Data Collection Procedure</w:t>
      </w:r>
    </w:p>
    <w:p>
      <w:pPr>
        <w:spacing w:after="160" w:before="0" w:line="360"/>
        <w:jc w:val="both"/>
      </w:pPr>
      <w:r>
        <w:t xml:space="preserve">The Terraform codebase was developed between 5 and 13 December 2025, working from the network layer outward. During this period the architecture was consolidated from one load balancer per service to a single shared load balancer with path-based routing, and from one API gateway per service to a single gateway (Section 4.11). On 14 October 2026 the GitHub Actions workflow was added, with rebuild, redeploy and destroy modes, and the measurement campaign began: ten rebuild cycles and one redeploy ran on 14 October, each started by a commit to the trigger script. On 15 October four further push-triggered cycles ran; a repeat option was then added to the workflow's manual-dispatch event so that each successful run started the next, and the remaining sixteen cycles ran back to back without intervention, the last finishing at 17:21 local time. The simulation was run once with the fixed seed after the measured data had been collected. Raw data were retained unmodified, and all analysis was performed by scripts that read copies.</w:t>
      </w:r>
    </w:p>
    <w:p>
      <w:pPr>
        <w:pStyle w:val="Heading2"/>
        <w:keepNext/>
        <w:spacing w:after="140" w:before="280"/>
      </w:pPr>
      <w:r>
        <w:t xml:space="preserve">3.9 Data Analysis</w:t>
      </w:r>
    </w:p>
    <w:p>
      <w:pPr>
        <w:pStyle w:val="Heading3"/>
        <w:keepNext/>
        <w:spacing w:after="120" w:before="220"/>
      </w:pPr>
      <w:r>
        <w:t xml:space="preserve">3.9.1 Quantitative Analysis</w:t>
      </w:r>
    </w:p>
    <w:p>
      <w:pPr>
        <w:spacing w:after="160" w:before="0" w:line="360"/>
        <w:jc w:val="both"/>
      </w:pPr>
      <w:r>
        <w:t xml:space="preserve">Data were analysed in Python using pandas, NumPy, SciPy and Matplotlib; the analysis script, the simulation code and the raw files are listed in Appendix C. Descriptive statistics (mean, standard deviation, median, range, coefficient of variation and 95% confidence interval) characterised each phase. Distributional shape was assessed by skewness, kurtosis and the Shapiro–Wilk test (Shapiro &amp; Wilk, 1965). H1 was tested by comparing the measured Terraform build times with the simulated manual build times using both Welch's </w:t>
      </w:r>
      <w:r>
        <w:rPr>
          <w:i/>
          <w:iCs/>
        </w:rPr>
        <w:t xml:space="preserve">t</w:t>
      </w:r>
      <w:r>
        <w:t xml:space="preserve">-test (Welch, 1947) and the Mann–Whitney </w:t>
      </w:r>
      <w:r>
        <w:rPr>
          <w:i/>
          <w:iCs/>
        </w:rPr>
        <w:t xml:space="preserve">U</w:t>
      </w:r>
      <w:r>
        <w:t xml:space="preserve"> test (Mann &amp; Whitney, 1947), with Hedges' </w:t>
      </w:r>
      <w:r>
        <w:rPr>
          <w:i/>
          <w:iCs/>
        </w:rPr>
        <w:t xml:space="preserve">g</w:t>
      </w:r>
      <w:r>
        <w:t xml:space="preserve"> (Hedges, 1981) as the effect size. H3 was tested with Fisher's exact test on rebuild success counts, with proportions reported with Wilson score intervals (Wilson, 1927). Because the Terraform cycles were collected under two triggers and on two days, four stability checks preceded hypothesis testing: Welch's </w:t>
      </w:r>
      <w:r>
        <w:rPr>
          <w:i/>
          <w:iCs/>
        </w:rPr>
        <w:t xml:space="preserve">t</w:t>
      </w:r>
      <w:r>
        <w:t xml:space="preserve"> and Mann–Whitney </w:t>
      </w:r>
      <w:r>
        <w:rPr>
          <w:i/>
          <w:iCs/>
        </w:rPr>
        <w:t xml:space="preserve">U</w:t>
      </w:r>
      <w:r>
        <w:t xml:space="preserve"> comparing push-triggered with dispatch-triggered cycles and the first day with the second, and Spearman's rank correlation of each duration with run order and with hour of day. Outliers were identified with Tukey's fences (1.5 times the interquartile range) and retained unless they reflected a measurement fault. Version-control coverage is a census, so it was reported descriptively. Significance was set at </w:t>
      </w:r>
      <w:r>
        <w:rPr>
          <w:i/>
          <w:iCs/>
        </w:rPr>
        <w:t xml:space="preserve">p</w:t>
      </w:r>
      <w:r>
        <w:t xml:space="preserve"> &lt; .05 (Cohen, 1988; Field, 2018).</w:t>
      </w:r>
    </w:p>
    <w:p>
      <w:pPr>
        <w:spacing w:after="160" w:before="0" w:line="360"/>
        <w:jc w:val="both"/>
      </w:pPr>
      <w:r>
        <w:t xml:space="preserve">Statistical tests that involve simulated values describe the model, not the world: the variance of the simulated group is determined by the model's parameters, so the test statistic and effect size are only as meaningful as those parameters. They are therefore reported together with the sensitivity analysis and interpreted for direction and order of magnitude.</w:t>
      </w:r>
    </w:p>
    <w:p>
      <w:pPr>
        <w:pStyle w:val="Heading3"/>
        <w:keepNext/>
        <w:spacing w:after="120" w:before="220"/>
      </w:pPr>
      <w:r>
        <w:t xml:space="preserve">3.9.2 Qualitative Analysis</w:t>
      </w:r>
    </w:p>
    <w:p>
      <w:pPr>
        <w:spacing w:after="160" w:before="0" w:line="360"/>
        <w:jc w:val="both"/>
      </w:pPr>
      <w:r>
        <w:t xml:space="preserve">The implementation record was analysed using reflexive thematic analysis in the six phases described by Braun and Clarke (2006, 2021): familiarisation; systematic generation of initial codes; construction of candidate themes; review of themes against the coded entries and the full record; definition and naming of themes; and production of the written account. Coding was manual and predominantly inductive. Reflexive thematic analysis was chosen over content analysis because the aim was to explain what made the implementation difficult, not to count types of change.</w:t>
      </w:r>
    </w:p>
    <w:p>
      <w:pPr>
        <w:pStyle w:val="Heading3"/>
        <w:keepNext/>
        <w:spacing w:after="120" w:before="220"/>
      </w:pPr>
      <w:r>
        <w:t xml:space="preserve">3.9.3 Integration of Quantitative and Qualitative Findings</w:t>
      </w:r>
    </w:p>
    <w:p>
      <w:pPr>
        <w:spacing w:after="160" w:before="0" w:line="360"/>
        <w:jc w:val="both"/>
      </w:pPr>
      <w:r>
        <w:t xml:space="preserve">Integration occurred at three points (Fetters et al., 2013): through building, when the Phase 1 results determined which entries received close reading; through connecting, because every measured run has a corresponding entry in the record; and through merging, in the joint display (Table 4.12), which arrays each research question against the quantitative result, the qualitative finding and a meta-inference stating whether they converge, complement or diverge.</w:t>
      </w:r>
    </w:p>
    <w:p>
      <w:pPr>
        <w:pStyle w:val="Heading2"/>
        <w:keepNext/>
        <w:spacing w:after="140" w:before="280"/>
      </w:pPr>
      <w:r>
        <w:t xml:space="preserve">3.10 Validity, Reliability and Trustworthiness</w:t>
      </w:r>
    </w:p>
    <w:p>
      <w:pPr>
        <w:pStyle w:val="Heading3"/>
        <w:keepNext/>
        <w:spacing w:after="120" w:before="220"/>
      </w:pPr>
      <w:r>
        <w:t xml:space="preserve">3.10.1 Validity of the Quantitative Strand</w:t>
      </w:r>
    </w:p>
    <w:p>
      <w:pPr>
        <w:spacing w:after="160" w:before="0" w:line="360"/>
        <w:jc w:val="both"/>
      </w:pPr>
      <w:r>
        <w:t xml:space="preserve">Provisioning duration in the Terraform condition is a direct measure. In the manual condition it is a model output, so its validity rests on the plausibility of the model's assumptions; this is the main threat to the validity of the H1 and H3 comparisons and is addressed by stating every parameter, fixing the random seed and reporting a sensitivity analysis. Reproducibility in the Terraform condition is operationalised as completion with every service healthy, which shows that the environment came back but not that every attribute was identical. Version-control coverage treats all components as equivalent; the full inventory is reported so that a reader can weigh it differently. External validity is limited by design: one architecture, one account, one region, one researcher.</w:t>
      </w:r>
    </w:p>
    <w:p>
      <w:pPr>
        <w:pStyle w:val="Heading3"/>
        <w:keepNext/>
        <w:spacing w:after="120" w:before="220"/>
      </w:pPr>
      <w:r>
        <w:t xml:space="preserve">3.10.2 Reliability of the Quantitative Strand</w:t>
      </w:r>
    </w:p>
    <w:p>
      <w:pPr>
        <w:spacing w:after="160" w:before="0" w:line="360"/>
        <w:jc w:val="both"/>
      </w:pPr>
      <w:r>
        <w:t xml:space="preserve">Reliability is supported by automated measurement, by repetition over 30 cycles under two triggers and on two days, by the publication of the scripts and raw data, and by the fixed seed, which means the simulated values can be regenerated exactly by anyone running the analysis script.</w:t>
      </w:r>
    </w:p>
    <w:p>
      <w:pPr>
        <w:pStyle w:val="Heading3"/>
        <w:keepNext/>
        <w:spacing w:after="120" w:before="220"/>
      </w:pPr>
      <w:r>
        <w:t xml:space="preserve">3.10.3 Instrumentation and Researcher Bias</w:t>
      </w:r>
    </w:p>
    <w:p>
      <w:pPr>
        <w:spacing w:after="160" w:before="0" w:line="360"/>
        <w:jc w:val="both"/>
      </w:pPr>
      <w:r>
        <w:t xml:space="preserve">Common method bias does not arise because no variable was self-reported (Podsakoff et al., 2003). The more important threat is expectancy bias in the simulation: the researcher expected Terraform to be faster and more reliable and also chose the parameters of the manual model. To limit this, the parameters were set conservatively in the manual condition's favour (a median of 35 seconds per resource and a waiting time comparable to Terraform's own), and the sensitivity analysis includes a faster 20-second scenario. Selective recording in the qualitative strand is reduced by using a record not written for the study.</w:t>
      </w:r>
    </w:p>
    <w:p>
      <w:pPr>
        <w:pStyle w:val="Heading3"/>
        <w:keepNext/>
        <w:spacing w:after="120" w:before="220"/>
      </w:pPr>
      <w:r>
        <w:t xml:space="preserve">3.10.4 Trustworthiness of the Qualitative Strand</w:t>
      </w:r>
    </w:p>
    <w:p>
      <w:pPr>
        <w:spacing w:after="160" w:before="0" w:line="360"/>
        <w:jc w:val="both"/>
      </w:pPr>
      <w:r>
        <w:t xml:space="preserve">The qualitative strand was evaluated against credibility, transferability, dependability and confirmability (Lincoln &amp; Guba, 1985; Nowell et al., 2017). Table 3.4 states the strategy adopted for each criterion.</w:t>
      </w:r>
    </w:p>
    <w:p>
      <w:pPr>
        <w:keepNext/>
        <w:spacing w:after="100" w:before="200" w:line="240"/>
        <w:jc w:val="left"/>
      </w:pPr>
      <w:r>
        <w:rPr>
          <w:b/>
          <w:bCs/>
        </w:rPr>
        <w:t xml:space="preserve">Table 3.4 </w:t>
      </w:r>
      <w:r>
        <w:rPr>
          <w:i/>
          <w:iCs/>
        </w:rPr>
        <w:t xml:space="preserve">Strategies for Establishing Trustworthiness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700"/>
        <w:gridCol w:w="2400"/>
        <w:gridCol w:w="4540"/>
      </w:tblGrid>
      <w:tr>
        <w:trPr>
          <w:tblHeader/>
        </w:trPr>
        <w:tc>
          <w:tcPr>
            <w:tcW w:type="dxa" w:w="17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Criterion</w:t>
            </w:r>
          </w:p>
        </w:tc>
        <w:tc>
          <w:tcPr>
            <w:tcW w:type="dxa" w:w="24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Definition</w:t>
            </w:r>
          </w:p>
        </w:tc>
        <w:tc>
          <w:tcPr>
            <w:tcW w:type="dxa" w:w="45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Strategy Applied in This Study</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20"/>
                <w:szCs w:val="20"/>
              </w:rPr>
              <w:t xml:space="preserve">Credibility</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Confidence in the truth of the findings</w:t>
            </w:r>
          </w:p>
        </w:tc>
        <w:tc>
          <w:tcPr>
            <w:tcW w:type="dxa" w:w="4540"/>
            <w:tcMar>
              <w:top w:type="dxa" w:w="80"/>
              <w:left w:type="dxa" w:w="110"/>
              <w:bottom w:type="dxa" w:w="80"/>
              <w:right w:type="dxa" w:w="110"/>
            </w:tcMar>
            <w:vAlign w:val="center"/>
          </w:tcPr>
          <w:p>
            <w:pPr>
              <w:spacing w:after="40" w:line="240"/>
              <w:jc w:val="left"/>
            </w:pPr>
            <w:r>
              <w:rPr>
                <w:b w:val="false"/>
                <w:bCs w:val="false"/>
                <w:sz w:val="20"/>
                <w:szCs w:val="20"/>
              </w:rPr>
              <w:t xml:space="preserve">Every theme anchored to specific commits and code; triangulation against the timing data and pipeline-authored commits; peer debriefing with the supervisor</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20"/>
                <w:szCs w:val="20"/>
              </w:rPr>
              <w:t xml:space="preserve">Transferability</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Applicability to other contexts</w:t>
            </w:r>
          </w:p>
        </w:tc>
        <w:tc>
          <w:tcPr>
            <w:tcW w:type="dxa" w:w="4540"/>
            <w:tcMar>
              <w:top w:type="dxa" w:w="80"/>
              <w:left w:type="dxa" w:w="110"/>
              <w:bottom w:type="dxa" w:w="80"/>
              <w:right w:type="dxa" w:w="110"/>
            </w:tcMar>
            <w:vAlign w:val="center"/>
          </w:tcPr>
          <w:p>
            <w:pPr>
              <w:spacing w:after="40" w:line="240"/>
              <w:jc w:val="left"/>
            </w:pPr>
            <w:r>
              <w:rPr>
                <w:b w:val="false"/>
                <w:bCs w:val="false"/>
                <w:sz w:val="20"/>
                <w:szCs w:val="20"/>
              </w:rPr>
              <w:t xml:space="preserve">Full description of the architecture, tool versions and procedure; resource counts and component inventory reported</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20"/>
                <w:szCs w:val="20"/>
              </w:rPr>
              <w:t xml:space="preserve">Dependability</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Consistency of the process</w:t>
            </w:r>
          </w:p>
        </w:tc>
        <w:tc>
          <w:tcPr>
            <w:tcW w:type="dxa" w:w="4540"/>
            <w:tcMar>
              <w:top w:type="dxa" w:w="80"/>
              <w:left w:type="dxa" w:w="110"/>
              <w:bottom w:type="dxa" w:w="80"/>
              <w:right w:type="dxa" w:w="110"/>
            </w:tcMar>
            <w:vAlign w:val="center"/>
          </w:tcPr>
          <w:p>
            <w:pPr>
              <w:spacing w:after="40" w:line="240"/>
              <w:jc w:val="left"/>
            </w:pPr>
            <w:r>
              <w:rPr>
                <w:b w:val="false"/>
                <w:bCs w:val="false"/>
                <w:sz w:val="20"/>
                <w:szCs w:val="20"/>
              </w:rPr>
              <w:t xml:space="preserve">Repository history retained in full; coding decisions recorded in a codebook (Appendix G)</w:t>
            </w:r>
          </w:p>
        </w:tc>
      </w:tr>
      <w:tr>
        <w:trPr>
          <w:cantSplit/>
        </w:trPr>
        <w:tc>
          <w:tcPr>
            <w:tcW w:type="dxa" w:w="1700"/>
            <w:tcMar>
              <w:top w:type="dxa" w:w="80"/>
              <w:left w:type="dxa" w:w="110"/>
              <w:bottom w:type="dxa" w:w="80"/>
              <w:right w:type="dxa" w:w="110"/>
            </w:tcMar>
            <w:vAlign w:val="center"/>
          </w:tcPr>
          <w:p>
            <w:pPr>
              <w:spacing w:after="40" w:line="240"/>
              <w:jc w:val="left"/>
            </w:pPr>
            <w:r>
              <w:rPr>
                <w:b w:val="false"/>
                <w:bCs w:val="false"/>
                <w:sz w:val="20"/>
                <w:szCs w:val="20"/>
              </w:rPr>
              <w:t xml:space="preserve">Confirmability</w:t>
            </w:r>
          </w:p>
        </w:tc>
        <w:tc>
          <w:tcPr>
            <w:tcW w:type="dxa" w:w="2400"/>
            <w:tcMar>
              <w:top w:type="dxa" w:w="80"/>
              <w:left w:type="dxa" w:w="110"/>
              <w:bottom w:type="dxa" w:w="80"/>
              <w:right w:type="dxa" w:w="110"/>
            </w:tcMar>
            <w:vAlign w:val="center"/>
          </w:tcPr>
          <w:p>
            <w:pPr>
              <w:spacing w:after="40" w:line="240"/>
              <w:jc w:val="left"/>
            </w:pPr>
            <w:r>
              <w:rPr>
                <w:b w:val="false"/>
                <w:bCs w:val="false"/>
                <w:sz w:val="20"/>
                <w:szCs w:val="20"/>
              </w:rPr>
              <w:t xml:space="preserve">Findings shaped by the data rather than researcher preference</w:t>
            </w:r>
          </w:p>
        </w:tc>
        <w:tc>
          <w:tcPr>
            <w:tcW w:type="dxa" w:w="4540"/>
            <w:tcMar>
              <w:top w:type="dxa" w:w="80"/>
              <w:left w:type="dxa" w:w="110"/>
              <w:bottom w:type="dxa" w:w="80"/>
              <w:right w:type="dxa" w:w="110"/>
            </w:tcMar>
            <w:vAlign w:val="center"/>
          </w:tcPr>
          <w:p>
            <w:pPr>
              <w:spacing w:after="40" w:line="240"/>
              <w:jc w:val="left"/>
            </w:pPr>
            <w:r>
              <w:rPr>
                <w:b w:val="false"/>
                <w:bCs w:val="false"/>
                <w:sz w:val="20"/>
                <w:szCs w:val="20"/>
              </w:rPr>
              <w:t xml:space="preserve">Verbatim commit messages and code comments quoted for every theme; the researcher's expectations recorded and checked against disconfirming entries</w:t>
            </w:r>
          </w:p>
        </w:tc>
      </w:tr>
    </w:tbl>
    <w:p>
      <w:pPr>
        <w:pStyle w:val="Heading2"/>
        <w:keepNext/>
        <w:spacing w:after="140" w:before="280"/>
      </w:pPr>
      <w:r>
        <w:t xml:space="preserve">3.11 Ethical Considerations</w:t>
      </w:r>
    </w:p>
    <w:p>
      <w:pPr>
        <w:spacing w:after="160" w:before="0" w:line="360"/>
        <w:jc w:val="both"/>
      </w:pPr>
      <w:r>
        <w:t xml:space="preserve">This study involved no human participants, so the consent and confidentiality procedures that dominate the template's corresponding section did not apply in their usual form. Confirmation that no ethical approval was required is to be recorded in Appendix D. Five ethical matters did arise.</w:t>
      </w:r>
    </w:p>
    <w:p>
      <w:pPr>
        <w:spacing w:after="160" w:before="0" w:line="360"/>
        <w:jc w:val="both"/>
      </w:pPr>
      <w:r>
        <w:t xml:space="preserve">The first is organisational confidentiality: the case organisation is not named, and account identifiers, internal addresses and policy documents are not reproduced. The second is data protection: all work was performed in an isolated AWS account holding no real data. The third is credential handling: the proposal committed to short-lived OpenID Connect credentials, but the implemented workflow authenticated with a long-lived access key stored as an encrypted repository secret; no credential was written to the repository, and the deviation is addressed in the recommendations (Guerriero et al., 2019; Rahman, Parnin, &amp; Williams, 2019). The fourth is cost: each cycle destroyed the previous environment before rebuilding it, so only one environment was billed at a time, and the planned 30 cycles were run within two days to bound the charges.</w:t>
      </w:r>
    </w:p>
    <w:p>
      <w:pPr>
        <w:spacing w:after="160" w:before="0" w:line="360"/>
        <w:jc w:val="both"/>
      </w:pPr>
      <w:r>
        <w:t xml:space="preserve">The fifth is research integrity in the use of simulated data. Presenting simulated values as observations would be falsification. The manual condition is therefore identified as simulated in the abstract, in this chapter, and in every table and figure in which it appears; the model and its parameters are published with the analysis code; and the conclusions drawn from simulated comparisons are worded as conditional on the model.</w:t>
      </w:r>
    </w:p>
    <w:p>
      <w:pPr>
        <w:pStyle w:val="Heading2"/>
        <w:keepNext/>
        <w:spacing w:after="140" w:before="280"/>
      </w:pPr>
      <w:r>
        <w:t xml:space="preserve">3.12 Methodological Limitations</w:t>
      </w:r>
    </w:p>
    <w:p>
      <w:pPr>
        <w:spacing w:after="160" w:before="0" w:line="360"/>
        <w:jc w:val="both"/>
      </w:pPr>
      <w:r>
        <w:t xml:space="preserve">Six limitations follow from the design and its execution. First, this is a single case, so generalisation is analytical rather than statistical. Second, and most important, the manual condition was simulated: the H1 and H3 comparisons show what follows from the stated model, and their strength depends on its assumptions. Third, the Terraform cycles were run within two days, so they sample AWS and runner conditions over a short window, and the last sixteen were triggered differently from the first fourteen. Fourth, only one environment existed, so configuration drift, H2 and H5 could not be tested. Fifth, the gated-apply level of integration was not implemented, so integration depth could not be varied. Sixth, the researcher built, measured, modelled and interpreted the system, which bears on both strands. These limitations are revisited in Chapter 6 with recommendations for designs that could address them.</w:t>
      </w:r>
    </w:p>
    <w:p>
      <w:pPr>
        <w:pStyle w:val="Heading2"/>
        <w:keepNext/>
        <w:spacing w:after="140" w:before="280"/>
      </w:pPr>
      <w:r>
        <w:t xml:space="preserve">3.13 Chapter Summary</w:t>
      </w:r>
    </w:p>
    <w:p>
      <w:pPr>
        <w:spacing w:after="160" w:before="0" w:line="360"/>
        <w:jc w:val="both"/>
      </w:pPr>
      <w:r>
        <w:t xml:space="preserve">This chapter set out the methodology as conducted. A pragmatist philosophy justified an abductive approach and an explanatory sequential mixed methods design. Thirty Terraform rebuilds executed by GitHub Actions were measured by pipeline instrumentation and compared with ten simulated manual console builds generated by a stated, seeded model; a component audit measured coverage. The implementation record of 78 commits and 31 run reports was analysed by reflexive thematic analysis, and the strands were integrated in a joint display. Deviations from the proposal (simulated rather than observed manual runs, one environment and no gated apply) were stated with their consequences. The research timeline as conducted is presented in Table 3.5.</w:t>
      </w:r>
    </w:p>
    <w:p>
      <w:pPr>
        <w:keepNext/>
        <w:spacing w:after="100" w:before="200" w:line="240"/>
        <w:jc w:val="left"/>
      </w:pPr>
      <w:r>
        <w:rPr>
          <w:b/>
          <w:bCs/>
        </w:rPr>
        <w:t xml:space="preserve">Table 3.5 </w:t>
      </w:r>
      <w:r>
        <w:rPr>
          <w:i/>
          <w:iCs/>
        </w:rPr>
        <w:t xml:space="preserve">Research Timeline as Conducted</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400"/>
        <w:gridCol w:w="5040"/>
        <w:gridCol w:w="2200"/>
      </w:tblGrid>
      <w:tr>
        <w:trPr>
          <w:tblHeader/>
        </w:trPr>
        <w:tc>
          <w:tcPr>
            <w:tcW w:type="dxa" w:w="14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Phase</w:t>
            </w:r>
          </w:p>
        </w:tc>
        <w:tc>
          <w:tcPr>
            <w:tcW w:type="dxa" w:w="50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Activity</w:t>
            </w:r>
          </w:p>
        </w:tc>
        <w:tc>
          <w:tcPr>
            <w:tcW w:type="dxa" w:w="22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Period</w:t>
            </w:r>
          </w:p>
        </w:tc>
      </w:tr>
      <w:tr>
        <w:trPr>
          <w:cantSplit/>
        </w:trPr>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Build</w:t>
            </w:r>
          </w:p>
        </w:tc>
        <w:tc>
          <w:tcPr>
            <w:tcW w:type="dxa" w:w="5040"/>
            <w:tcMar>
              <w:top w:type="dxa" w:w="80"/>
              <w:left w:type="dxa" w:w="110"/>
              <w:bottom w:type="dxa" w:w="80"/>
              <w:right w:type="dxa" w:w="110"/>
            </w:tcMar>
            <w:vAlign w:val="center"/>
          </w:tcPr>
          <w:p>
            <w:pPr>
              <w:spacing w:after="40" w:line="240"/>
              <w:jc w:val="left"/>
            </w:pPr>
            <w:r>
              <w:rPr>
                <w:b w:val="false"/>
                <w:bCs w:val="false"/>
                <w:sz w:val="20"/>
                <w:szCs w:val="20"/>
              </w:rPr>
              <w:t xml:space="preserve">Terraform module development; consolidation to shared ALB and API Gateway; pre-production workspace trial</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5–13 December 2025</w:t>
            </w:r>
          </w:p>
        </w:tc>
      </w:tr>
      <w:tr>
        <w:trPr>
          <w:cantSplit/>
        </w:trPr>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Proposal</w:t>
            </w:r>
          </w:p>
        </w:tc>
        <w:tc>
          <w:tcPr>
            <w:tcW w:type="dxa" w:w="5040"/>
            <w:tcMar>
              <w:top w:type="dxa" w:w="80"/>
              <w:left w:type="dxa" w:w="110"/>
              <w:bottom w:type="dxa" w:w="80"/>
              <w:right w:type="dxa" w:w="110"/>
            </w:tcMar>
            <w:vAlign w:val="center"/>
          </w:tcPr>
          <w:p>
            <w:pPr>
              <w:spacing w:after="40" w:line="240"/>
              <w:jc w:val="left"/>
            </w:pPr>
            <w:r>
              <w:rPr>
                <w:b w:val="false"/>
                <w:bCs w:val="false"/>
                <w:sz w:val="20"/>
                <w:szCs w:val="20"/>
              </w:rPr>
              <w:t xml:space="preserve">Chapters 1–3 submitted (Assessment 1)</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August 2026</w:t>
            </w:r>
          </w:p>
        </w:tc>
      </w:tr>
      <w:tr>
        <w:trPr>
          <w:cantSplit/>
        </w:trPr>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Build</w:t>
            </w:r>
          </w:p>
        </w:tc>
        <w:tc>
          <w:tcPr>
            <w:tcW w:type="dxa" w:w="5040"/>
            <w:tcMar>
              <w:top w:type="dxa" w:w="80"/>
              <w:left w:type="dxa" w:w="110"/>
              <w:bottom w:type="dxa" w:w="80"/>
              <w:right w:type="dxa" w:w="110"/>
            </w:tcMar>
            <w:vAlign w:val="center"/>
          </w:tcPr>
          <w:p>
            <w:pPr>
              <w:spacing w:after="40" w:line="240"/>
              <w:jc w:val="left"/>
            </w:pPr>
            <w:r>
              <w:rPr>
                <w:b w:val="false"/>
                <w:bCs w:val="false"/>
                <w:sz w:val="20"/>
                <w:szCs w:val="20"/>
              </w:rPr>
              <w:t xml:space="preserve">GitHub Actions workflow; rebuild, redeploy and destroy modes; run reporting</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14 October 2026</w:t>
            </w:r>
          </w:p>
        </w:tc>
      </w:tr>
      <w:tr>
        <w:trPr>
          <w:cantSplit/>
        </w:trPr>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Phase 1</w:t>
            </w:r>
          </w:p>
        </w:tc>
        <w:tc>
          <w:tcPr>
            <w:tcW w:type="dxa" w:w="5040"/>
            <w:tcMar>
              <w:top w:type="dxa" w:w="80"/>
              <w:left w:type="dxa" w:w="110"/>
              <w:bottom w:type="dxa" w:w="80"/>
              <w:right w:type="dxa" w:w="110"/>
            </w:tcMar>
            <w:vAlign w:val="center"/>
          </w:tcPr>
          <w:p>
            <w:pPr>
              <w:spacing w:after="40" w:line="240"/>
              <w:jc w:val="left"/>
            </w:pPr>
            <w:r>
              <w:rPr>
                <w:b w:val="false"/>
                <w:bCs w:val="false"/>
                <w:sz w:val="20"/>
                <w:szCs w:val="20"/>
              </w:rPr>
              <w:t xml:space="preserve">Pipeline measurement campaign, push-triggered (10 rebuild cycles, 1 redeploy; then 4 rebuild cycles)</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14–15 October 2026</w:t>
            </w:r>
          </w:p>
        </w:tc>
      </w:tr>
      <w:tr>
        <w:trPr>
          <w:cantSplit/>
        </w:trPr>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Phase 1</w:t>
            </w:r>
          </w:p>
        </w:tc>
        <w:tc>
          <w:tcPr>
            <w:tcW w:type="dxa" w:w="5040"/>
            <w:tcMar>
              <w:top w:type="dxa" w:w="80"/>
              <w:left w:type="dxa" w:w="110"/>
              <w:bottom w:type="dxa" w:w="80"/>
              <w:right w:type="dxa" w:w="110"/>
            </w:tcMar>
            <w:vAlign w:val="center"/>
          </w:tcPr>
          <w:p>
            <w:pPr>
              <w:spacing w:after="40" w:line="240"/>
              <w:jc w:val="left"/>
            </w:pPr>
            <w:r>
              <w:rPr>
                <w:b w:val="false"/>
                <w:bCs w:val="false"/>
                <w:sz w:val="20"/>
                <w:szCs w:val="20"/>
              </w:rPr>
              <w:t xml:space="preserve">Repeat option added to the workflow; 16 chained rebuild cycles</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15 October 2026</w:t>
            </w:r>
          </w:p>
        </w:tc>
      </w:tr>
      <w:tr>
        <w:trPr>
          <w:cantSplit/>
        </w:trPr>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Phase 1</w:t>
            </w:r>
          </w:p>
        </w:tc>
        <w:tc>
          <w:tcPr>
            <w:tcW w:type="dxa" w:w="5040"/>
            <w:tcMar>
              <w:top w:type="dxa" w:w="80"/>
              <w:left w:type="dxa" w:w="110"/>
              <w:bottom w:type="dxa" w:w="80"/>
              <w:right w:type="dxa" w:w="110"/>
            </w:tcMar>
            <w:vAlign w:val="center"/>
          </w:tcPr>
          <w:p>
            <w:pPr>
              <w:spacing w:after="40" w:line="240"/>
              <w:jc w:val="left"/>
            </w:pPr>
            <w:r>
              <w:rPr>
                <w:b w:val="false"/>
                <w:bCs w:val="false"/>
                <w:sz w:val="20"/>
                <w:szCs w:val="20"/>
              </w:rPr>
              <w:t xml:space="preserve">Simulation of the manual condition; quantitative analysis</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October 2026</w:t>
            </w:r>
          </w:p>
        </w:tc>
      </w:tr>
      <w:tr>
        <w:trPr>
          <w:cantSplit/>
        </w:trPr>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Phase 2</w:t>
            </w:r>
          </w:p>
        </w:tc>
        <w:tc>
          <w:tcPr>
            <w:tcW w:type="dxa" w:w="5040"/>
            <w:tcMar>
              <w:top w:type="dxa" w:w="80"/>
              <w:left w:type="dxa" w:w="110"/>
              <w:bottom w:type="dxa" w:w="80"/>
              <w:right w:type="dxa" w:w="110"/>
            </w:tcMar>
            <w:vAlign w:val="center"/>
          </w:tcPr>
          <w:p>
            <w:pPr>
              <w:spacing w:after="40" w:line="240"/>
              <w:jc w:val="left"/>
            </w:pPr>
            <w:r>
              <w:rPr>
                <w:b w:val="false"/>
                <w:bCs w:val="false"/>
                <w:sz w:val="20"/>
                <w:szCs w:val="20"/>
              </w:rPr>
              <w:t xml:space="preserve">Thematic analysis of the implementation record</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October 2026</w:t>
            </w:r>
          </w:p>
        </w:tc>
      </w:tr>
      <w:tr>
        <w:trPr>
          <w:cantSplit/>
        </w:trPr>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Phase 3</w:t>
            </w:r>
          </w:p>
        </w:tc>
        <w:tc>
          <w:tcPr>
            <w:tcW w:type="dxa" w:w="5040"/>
            <w:tcMar>
              <w:top w:type="dxa" w:w="80"/>
              <w:left w:type="dxa" w:w="110"/>
              <w:bottom w:type="dxa" w:w="80"/>
              <w:right w:type="dxa" w:w="110"/>
            </w:tcMar>
            <w:vAlign w:val="center"/>
          </w:tcPr>
          <w:p>
            <w:pPr>
              <w:spacing w:after="40" w:line="240"/>
              <w:jc w:val="left"/>
            </w:pPr>
            <w:r>
              <w:rPr>
                <w:b w:val="false"/>
                <w:bCs w:val="false"/>
                <w:sz w:val="20"/>
                <w:szCs w:val="20"/>
              </w:rPr>
              <w:t xml:space="preserve">Integration, writing of Chapters 4–6, submission</w:t>
            </w:r>
          </w:p>
        </w:tc>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October 2026</w:t>
            </w:r>
          </w:p>
        </w:tc>
      </w:tr>
    </w:tbl>
    <w:p>
      <w:pPr>
        <w:spacing w:after="200" w:before="60" w:line="240"/>
        <w:jc w:val="left"/>
      </w:pPr>
      <w:r>
        <w:rPr>
          <w:i/>
          <w:iCs/>
          <w:sz w:val="20"/>
          <w:szCs w:val="20"/>
        </w:rPr>
        <w:t xml:space="preserve">Note. </w:t>
      </w:r>
      <w:r>
        <w:rPr>
          <w:sz w:val="20"/>
          <w:szCs w:val="20"/>
        </w:rPr>
        <w:t xml:space="preserve">The proposal's twelve-week schedule (July to September 2026) slipped; measurement took place in October 2026.</w:t>
      </w:r>
    </w:p>
    <w:p>
      <w:pPr>
        <w:pStyle w:val="Heading1"/>
        <w:pageBreakBefore/>
        <w:spacing w:after="240" w:before="240"/>
        <w:jc w:val="left"/>
      </w:pPr>
      <w:r>
        <w:t xml:space="preserve">CHAPTER 4: RESULTS AND FINDINGS</w:t>
      </w:r>
    </w:p>
    <w:p>
      <w:pPr>
        <w:pStyle w:val="Heading2"/>
        <w:keepNext/>
        <w:spacing w:after="140" w:before="280"/>
      </w:pPr>
      <w:r>
        <w:t xml:space="preserve">4.1 Introduction</w:t>
      </w:r>
    </w:p>
    <w:p>
      <w:pPr>
        <w:spacing w:after="160" w:before="0" w:line="360"/>
        <w:jc w:val="both"/>
      </w:pPr>
      <w:r>
        <w:t xml:space="preserve">This chapter presents the results of the study. It reports the completeness of the data, describes the architecture and the measurement runs, and answers RQ1 through the component inventory. It then reports the measured durations and service recovery of the Terraform pipeline, the simulated manual condition, the tests applied to each hypothesis (RQ2) and the integration level achieved (RQ3). The qualitative findings follow (RQ4), and the chapter closes by integrating the two strands. Results are reported without interpretation; their meaning is discussed in Chapter 5.</w:t>
      </w:r>
    </w:p>
    <w:p>
      <w:pPr>
        <w:spacing w:after="160" w:before="0" w:line="360"/>
        <w:jc w:val="both"/>
      </w:pPr>
      <w:r>
        <w:t xml:space="preserve">Statistics are reported in accordance with the seventh edition of the APA Publication Manual (American Psychological Association, 2020). </w:t>
      </w:r>
      <w:r>
        <w:rPr>
          <w:b/>
          <w:bCs/>
        </w:rPr>
        <w:t xml:space="preserve">All values for the manual condition are simulated</w:t>
      </w:r>
      <w:r>
        <w:t xml:space="preserve"> from the model described in Section 3.7.1 and are labelled as such in every table and figure. All values for the Terraform condition are measured. Every figure can be regenerated from the raw files and the seeded simulation by the analysis script listed in Appendix C.</w:t>
      </w:r>
    </w:p>
    <w:p>
      <w:pPr>
        <w:pStyle w:val="Heading2"/>
        <w:keepNext/>
        <w:spacing w:after="140" w:before="280"/>
      </w:pPr>
      <w:r>
        <w:t xml:space="preserve">4.2 Data Completeness and Screening</w:t>
      </w:r>
    </w:p>
    <w:p>
      <w:pPr>
        <w:pStyle w:val="Heading3"/>
        <w:keepNext/>
        <w:spacing w:after="120" w:before="220"/>
      </w:pPr>
      <w:r>
        <w:t xml:space="preserve">4.2.1 Completeness of Measurement Runs</w:t>
      </w:r>
    </w:p>
    <w:p>
      <w:pPr>
        <w:spacing w:after="160" w:before="0" w:line="360"/>
        <w:jc w:val="both"/>
      </w:pPr>
      <w:r>
        <w:t xml:space="preserve">Thirty-one rebuild runs were triggered in GitHub Actions between 14 Oct 2026 01:13 and 15 Oct 2026 16:53 (local time). Thirty completed and wrote a run report. The remaining run (run 3) produced no report because the step that commits the report back to the repository failed; the fault was corrected in the next commit, but the provisioning outcome of that run was not recorded, so it was excluded. One further run (run 2) was a redeploy rather than a rebuild and is reported separately in Section 4.7. Of the 30 analysed cycles, 14 (runs 1 and 4–16) were triggered by a commit to the rebuild script and 16 (runs 17–32) by the chained manual-dispatch event; 10 ran on 14 October and 20 on 15 October. The analysed Terraform sample is therefore 30 complete rebuild cycles and 150 service start-ups. The simulated manual condition comprises 10 builds and 10 rebuilds generated with seed 20261015.</w:t>
      </w:r>
    </w:p>
    <w:p>
      <w:pPr>
        <w:keepNext/>
        <w:spacing w:after="100" w:before="200" w:line="240"/>
        <w:jc w:val="left"/>
      </w:pPr>
      <w:r>
        <w:rPr>
          <w:b/>
          <w:bCs/>
        </w:rPr>
        <w:t xml:space="preserve">Table 4.1 </w:t>
      </w:r>
      <w:r>
        <w:rPr>
          <w:i/>
          <w:iCs/>
        </w:rPr>
        <w:t xml:space="preserve">Measurement Runs Collected, Excluded and Analysed</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500"/>
        <w:gridCol w:w="1200"/>
        <w:gridCol w:w="1300"/>
        <w:gridCol w:w="2240"/>
        <w:gridCol w:w="1400"/>
      </w:tblGrid>
      <w:tr>
        <w:trPr>
          <w:tblHeader/>
        </w:trPr>
        <w:tc>
          <w:tcPr>
            <w:tcW w:type="dxa" w:w="2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Condition</w:t>
            </w:r>
          </w:p>
        </w:tc>
        <w:tc>
          <w:tcPr>
            <w:tcW w:type="dxa" w:w="12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Date</w:t>
            </w:r>
          </w:p>
        </w:tc>
        <w:tc>
          <w:tcPr>
            <w:tcW w:type="dxa" w:w="13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Runs</w:t>
            </w:r>
          </w:p>
        </w:tc>
        <w:tc>
          <w:tcPr>
            <w:tcW w:type="dxa" w:w="22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Excluded (reason)</w:t>
            </w:r>
          </w:p>
        </w:tc>
        <w:tc>
          <w:tcPr>
            <w:tcW w:type="dxa" w:w="14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Analysed</w:t>
            </w:r>
          </w:p>
        </w:tc>
      </w:tr>
      <w:tr>
        <w:trPr>
          <w:cantSplit/>
        </w:trPr>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Terraform via GitHub Actions: rebuild, push-triggered</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14–15 Oct 2026</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15</w:t>
            </w:r>
          </w:p>
        </w:tc>
        <w:tc>
          <w:tcPr>
            <w:tcW w:type="dxa" w:w="2240"/>
            <w:tcMar>
              <w:top w:type="dxa" w:w="80"/>
              <w:left w:type="dxa" w:w="110"/>
              <w:bottom w:type="dxa" w:w="80"/>
              <w:right w:type="dxa" w:w="110"/>
            </w:tcMar>
            <w:vAlign w:val="center"/>
          </w:tcPr>
          <w:p>
            <w:pPr>
              <w:spacing w:after="40" w:line="240"/>
              <w:jc w:val="left"/>
            </w:pPr>
            <w:r>
              <w:rPr>
                <w:b w:val="false"/>
                <w:bCs w:val="false"/>
                <w:sz w:val="20"/>
                <w:szCs w:val="20"/>
              </w:rPr>
              <w:t xml:space="preserve">Run 3 (report commit failed; outcome unrecorded)</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14 cycles; 70 service start-ups</w:t>
            </w:r>
          </w:p>
        </w:tc>
      </w:tr>
      <w:tr>
        <w:trPr>
          <w:cantSplit/>
        </w:trPr>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Terraform via GitHub Actions: rebuild, chained dispatch</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15 Oct 2026</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16</w:t>
            </w:r>
          </w:p>
        </w:tc>
        <w:tc>
          <w:tcPr>
            <w:tcW w:type="dxa" w:w="2240"/>
            <w:tcMar>
              <w:top w:type="dxa" w:w="80"/>
              <w:left w:type="dxa" w:w="110"/>
              <w:bottom w:type="dxa" w:w="80"/>
              <w:right w:type="dxa" w:w="110"/>
            </w:tcMar>
            <w:vAlign w:val="center"/>
          </w:tcPr>
          <w:p>
            <w:pPr>
              <w:spacing w:after="40" w:line="240"/>
              <w:jc w:val="left"/>
            </w:pPr>
            <w:r>
              <w:rPr>
                <w:b w:val="false"/>
                <w:bCs w:val="false"/>
                <w:sz w:val="20"/>
                <w:szCs w:val="20"/>
              </w:rPr>
              <w:t xml:space="preserve">None</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16 cycles; 80 service start-ups</w:t>
            </w:r>
          </w:p>
        </w:tc>
      </w:tr>
      <w:tr>
        <w:trPr>
          <w:cantSplit/>
        </w:trPr>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Terraform via GitHub Actions: redeploy</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14 Oct 2026</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1</w:t>
            </w:r>
          </w:p>
        </w:tc>
        <w:tc>
          <w:tcPr>
            <w:tcW w:type="dxa" w:w="2240"/>
            <w:tcMar>
              <w:top w:type="dxa" w:w="80"/>
              <w:left w:type="dxa" w:w="110"/>
              <w:bottom w:type="dxa" w:w="80"/>
              <w:right w:type="dxa" w:w="110"/>
            </w:tcMar>
            <w:vAlign w:val="center"/>
          </w:tcPr>
          <w:p>
            <w:pPr>
              <w:spacing w:after="40" w:line="240"/>
              <w:jc w:val="left"/>
            </w:pPr>
            <w:r>
              <w:rPr>
                <w:b w:val="false"/>
                <w:bCs w:val="false"/>
                <w:sz w:val="20"/>
                <w:szCs w:val="20"/>
              </w:rPr>
              <w:t xml:space="preserve">None</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Reported separately (Section 4.7)</w:t>
            </w:r>
          </w:p>
        </w:tc>
      </w:tr>
      <w:tr>
        <w:trPr>
          <w:cantSplit/>
        </w:trPr>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Manual console (SIMULATED)</w:t>
            </w:r>
          </w:p>
        </w:tc>
        <w:tc>
          <w:tcPr>
            <w:tcW w:type="dxa" w:w="1200"/>
            <w:tcMar>
              <w:top w:type="dxa" w:w="80"/>
              <w:left w:type="dxa" w:w="110"/>
              <w:bottom w:type="dxa" w:w="80"/>
              <w:right w:type="dxa" w:w="110"/>
            </w:tcMar>
            <w:vAlign w:val="center"/>
          </w:tcPr>
          <w:p>
            <w:pPr>
              <w:spacing w:after="40" w:line="240"/>
              <w:jc w:val="left"/>
            </w:pPr>
            <w:r>
              <w:rPr>
                <w:b w:val="false"/>
                <w:bCs w:val="false"/>
                <w:sz w:val="20"/>
                <w:szCs w:val="20"/>
              </w:rPr>
              <w:t xml:space="preserve">Oct 2026</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10 builds; 10 rebuilds</w:t>
            </w:r>
          </w:p>
        </w:tc>
        <w:tc>
          <w:tcPr>
            <w:tcW w:type="dxa" w:w="2240"/>
            <w:tcMar>
              <w:top w:type="dxa" w:w="80"/>
              <w:left w:type="dxa" w:w="110"/>
              <w:bottom w:type="dxa" w:w="80"/>
              <w:right w:type="dxa" w:w="110"/>
            </w:tcMar>
            <w:vAlign w:val="center"/>
          </w:tcPr>
          <w:p>
            <w:pPr>
              <w:spacing w:after="40" w:line="240"/>
              <w:jc w:val="left"/>
            </w:pPr>
            <w:r>
              <w:rPr>
                <w:b w:val="false"/>
                <w:bCs w:val="false"/>
                <w:sz w:val="20"/>
                <w:szCs w:val="20"/>
              </w:rPr>
              <w:t xml:space="preserve">None</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10 simulated builds; 10 simulated rebuilds</w:t>
            </w:r>
          </w:p>
        </w:tc>
      </w:tr>
    </w:tbl>
    <w:p>
      <w:pPr>
        <w:pStyle w:val="Heading3"/>
        <w:keepNext/>
        <w:spacing w:after="120" w:before="220"/>
      </w:pPr>
      <w:r>
        <w:t xml:space="preserve">4.2.2 Data Screening</w:t>
      </w:r>
    </w:p>
    <w:p>
      <w:pPr>
        <w:spacing w:after="160" w:before="0" w:line="360"/>
        <w:jc w:val="both"/>
      </w:pPr>
      <w:r>
        <w:t xml:space="preserve">The timing files contained no missing or malformed rows, and every phase of every analysed cycle completed with status "ok". The service-health file had one missing value: in run 14 the finance service answered HTTP 200 through the API Gateway, but ECS had not yet logged a steady-state event when the pipeline collected the record, so its start-up time is missing. It was treated as missing, not as a failure, leaving 149 timed start-ups. Tukey's fences flagged a small number of phase outliers: destroy deployments (run 1); create remote-state (runs 1, 19); create infrastructures (run 21); wait until healthy (run 6). All of them completed with status "ok", each was within 40% of its phase median (the largest relative excess being run 6’s wait for healthy services, 115 s against 84 s), and none indicated a measurement fault, so all were retained. The longest deployment-destroy phase (1295 s) occurred in run 1, the first run of the new workflow, which also produced the longest full cycle. The longest service start-up (159 s, the authentication service in run 12) was a single observation; the next longest was 125 s.</w:t>
      </w:r>
    </w:p>
    <w:p>
      <w:pPr>
        <w:pStyle w:val="Heading2"/>
        <w:keepNext/>
        <w:spacing w:after="140" w:before="280"/>
      </w:pPr>
      <w:r>
        <w:t xml:space="preserve">4.3 Profile of the Architecture and Measurement Runs</w:t>
      </w:r>
    </w:p>
    <w:p>
      <w:pPr>
        <w:spacing w:after="160" w:before="0" w:line="360"/>
        <w:jc w:val="both"/>
      </w:pPr>
      <w:r>
        <w:t xml:space="preserve">Table 4.2 profiles the architecture as Terraform manages it, counted from the configuration. A full rebuild destroyed and recreated 140 resources; the 12 ECR resources (six repositories and their lifecycle policies) were deliberately retained so that container images survived each rebuild. The simulated manual builds create the same 140 resources.</w:t>
      </w:r>
    </w:p>
    <w:p>
      <w:pPr>
        <w:keepNext/>
        <w:spacing w:after="100" w:before="200" w:line="240"/>
        <w:jc w:val="left"/>
      </w:pPr>
      <w:r>
        <w:rPr>
          <w:b/>
          <w:bCs/>
        </w:rPr>
        <w:t xml:space="preserve">Table 4.2 </w:t>
      </w:r>
      <w:r>
        <w:rPr>
          <w:i/>
          <w:iCs/>
        </w:rPr>
        <w:t xml:space="preserve">Terraform Stacks and Managed Resources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000"/>
        <w:gridCol w:w="4240"/>
        <w:gridCol w:w="1100"/>
        <w:gridCol w:w="1300"/>
      </w:tblGrid>
      <w:tr>
        <w:trPr>
          <w:tblHeader/>
        </w:trPr>
        <w:tc>
          <w:tcPr>
            <w:tcW w:type="dxa" w:w="2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Stack</w:t>
            </w:r>
          </w:p>
        </w:tc>
        <w:tc>
          <w:tcPr>
            <w:tcW w:type="dxa" w:w="42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Main contents</w:t>
            </w:r>
          </w:p>
        </w:tc>
        <w:tc>
          <w:tcPr>
            <w:tcW w:type="dxa" w:w="11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Resources</w:t>
            </w:r>
          </w:p>
        </w:tc>
        <w:tc>
          <w:tcPr>
            <w:tcW w:type="dxa" w:w="13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Recreated each cycle</w:t>
            </w:r>
          </w:p>
        </w:tc>
      </w:tr>
      <w:tr>
        <w:trPr>
          <w:cantSplit/>
        </w:trPr>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Remote state</w:t>
            </w:r>
          </w:p>
        </w:tc>
        <w:tc>
          <w:tcPr>
            <w:tcW w:type="dxa" w:w="4240"/>
            <w:tcMar>
              <w:top w:type="dxa" w:w="80"/>
              <w:left w:type="dxa" w:w="110"/>
              <w:bottom w:type="dxa" w:w="80"/>
              <w:right w:type="dxa" w:w="110"/>
            </w:tcMar>
            <w:vAlign w:val="center"/>
          </w:tcPr>
          <w:p>
            <w:pPr>
              <w:spacing w:after="40" w:line="240"/>
              <w:jc w:val="left"/>
            </w:pPr>
            <w:r>
              <w:rPr>
                <w:b w:val="false"/>
                <w:bCs w:val="false"/>
                <w:sz w:val="20"/>
                <w:szCs w:val="20"/>
              </w:rPr>
              <w:t xml:space="preserve">S3 bucket (versioning, encryption, public-access block, lifecycle, CORS); DynamoDB lock table</w:t>
            </w:r>
          </w:p>
        </w:tc>
        <w:tc>
          <w:tcPr>
            <w:tcW w:type="dxa" w:w="1100"/>
            <w:tcMar>
              <w:top w:type="dxa" w:w="80"/>
              <w:left w:type="dxa" w:w="110"/>
              <w:bottom w:type="dxa" w:w="80"/>
              <w:right w:type="dxa" w:w="110"/>
            </w:tcMar>
            <w:vAlign w:val="center"/>
          </w:tcPr>
          <w:p>
            <w:pPr>
              <w:spacing w:after="40" w:line="240"/>
              <w:jc w:val="left"/>
            </w:pPr>
            <w:r>
              <w:rPr>
                <w:b w:val="false"/>
                <w:bCs w:val="false"/>
                <w:sz w:val="20"/>
                <w:szCs w:val="20"/>
              </w:rPr>
              <w:t xml:space="preserve">7</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Yes</w:t>
            </w:r>
          </w:p>
        </w:tc>
      </w:tr>
      <w:tr>
        <w:trPr>
          <w:cantSplit/>
        </w:trPr>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Shared infrastructure</w:t>
            </w:r>
          </w:p>
        </w:tc>
        <w:tc>
          <w:tcPr>
            <w:tcW w:type="dxa" w:w="4240"/>
            <w:tcMar>
              <w:top w:type="dxa" w:w="80"/>
              <w:left w:type="dxa" w:w="110"/>
              <w:bottom w:type="dxa" w:w="80"/>
              <w:right w:type="dxa" w:w="110"/>
            </w:tcMar>
            <w:vAlign w:val="center"/>
          </w:tcPr>
          <w:p>
            <w:pPr>
              <w:spacing w:after="40" w:line="240"/>
              <w:jc w:val="left"/>
            </w:pPr>
            <w:r>
              <w:rPr>
                <w:b w:val="false"/>
                <w:bCs w:val="false"/>
                <w:sz w:val="20"/>
                <w:szCs w:val="20"/>
              </w:rPr>
              <w:t xml:space="preserve">VPC, 4 subnets, Internet Gateway, 2 NAT gateways and Elastic IPs, route tables, 3 security groups and 7 rules, ALB and listener, API Gateway, stage and VPC Link, 2 IAM roles and policies, 2 log groups, alert topic and event rule</w:t>
            </w:r>
          </w:p>
        </w:tc>
        <w:tc>
          <w:tcPr>
            <w:tcW w:type="dxa" w:w="1100"/>
            <w:tcMar>
              <w:top w:type="dxa" w:w="80"/>
              <w:left w:type="dxa" w:w="110"/>
              <w:bottom w:type="dxa" w:w="80"/>
              <w:right w:type="dxa" w:w="110"/>
            </w:tcMar>
            <w:vAlign w:val="center"/>
          </w:tcPr>
          <w:p>
            <w:pPr>
              <w:spacing w:after="40" w:line="240"/>
              <w:jc w:val="left"/>
            </w:pPr>
            <w:r>
              <w:rPr>
                <w:b w:val="false"/>
                <w:bCs w:val="false"/>
                <w:sz w:val="20"/>
                <w:szCs w:val="20"/>
              </w:rPr>
              <w:t xml:space="preserve">43</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Yes</w:t>
            </w:r>
          </w:p>
        </w:tc>
      </w:tr>
      <w:tr>
        <w:trPr>
          <w:cantSplit/>
        </w:trPr>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Shared infrastructure (ECR)</w:t>
            </w:r>
          </w:p>
        </w:tc>
        <w:tc>
          <w:tcPr>
            <w:tcW w:type="dxa" w:w="4240"/>
            <w:tcMar>
              <w:top w:type="dxa" w:w="80"/>
              <w:left w:type="dxa" w:w="110"/>
              <w:bottom w:type="dxa" w:w="80"/>
              <w:right w:type="dxa" w:w="110"/>
            </w:tcMar>
            <w:vAlign w:val="center"/>
          </w:tcPr>
          <w:p>
            <w:pPr>
              <w:spacing w:after="40" w:line="240"/>
              <w:jc w:val="left"/>
            </w:pPr>
            <w:r>
              <w:rPr>
                <w:b w:val="false"/>
                <w:bCs w:val="false"/>
                <w:sz w:val="20"/>
                <w:szCs w:val="20"/>
              </w:rPr>
              <w:t xml:space="preserve">6 container repositories and lifecycle policies</w:t>
            </w:r>
          </w:p>
        </w:tc>
        <w:tc>
          <w:tcPr>
            <w:tcW w:type="dxa" w:w="1100"/>
            <w:tcMar>
              <w:top w:type="dxa" w:w="80"/>
              <w:left w:type="dxa" w:w="110"/>
              <w:bottom w:type="dxa" w:w="80"/>
              <w:right w:type="dxa" w:w="110"/>
            </w:tcMar>
            <w:vAlign w:val="center"/>
          </w:tcPr>
          <w:p>
            <w:pPr>
              <w:spacing w:after="40" w:line="240"/>
              <w:jc w:val="left"/>
            </w:pPr>
            <w:r>
              <w:rPr>
                <w:b w:val="false"/>
                <w:bCs w:val="false"/>
                <w:sz w:val="20"/>
                <w:szCs w:val="20"/>
              </w:rPr>
              <w:t xml:space="preserve">12</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No (retained)</w:t>
            </w:r>
          </w:p>
        </w:tc>
      </w:tr>
      <w:tr>
        <w:trPr>
          <w:cantSplit/>
        </w:trPr>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Each of 5 services</w:t>
            </w:r>
          </w:p>
        </w:tc>
        <w:tc>
          <w:tcPr>
            <w:tcW w:type="dxa" w:w="4240"/>
            <w:tcMar>
              <w:top w:type="dxa" w:w="80"/>
              <w:left w:type="dxa" w:w="110"/>
              <w:bottom w:type="dxa" w:w="80"/>
              <w:right w:type="dxa" w:w="110"/>
            </w:tcMar>
            <w:vAlign w:val="center"/>
          </w:tcPr>
          <w:p>
            <w:pPr>
              <w:spacing w:after="40" w:line="240"/>
              <w:jc w:val="left"/>
            </w:pPr>
            <w:r>
              <w:rPr>
                <w:b w:val="false"/>
                <w:bCs w:val="false"/>
                <w:sz w:val="20"/>
                <w:szCs w:val="20"/>
              </w:rPr>
              <w:t xml:space="preserve">Target group, listener rule, ECS cluster, task definition, Fargate service, scaling target, 4 scaling policies, 4 alarms, 2 API integrations and 2 routes</w:t>
            </w:r>
          </w:p>
        </w:tc>
        <w:tc>
          <w:tcPr>
            <w:tcW w:type="dxa" w:w="1100"/>
            <w:tcMar>
              <w:top w:type="dxa" w:w="80"/>
              <w:left w:type="dxa" w:w="110"/>
              <w:bottom w:type="dxa" w:w="80"/>
              <w:right w:type="dxa" w:w="110"/>
            </w:tcMar>
            <w:vAlign w:val="center"/>
          </w:tcPr>
          <w:p>
            <w:pPr>
              <w:spacing w:after="40" w:line="240"/>
              <w:jc w:val="left"/>
            </w:pPr>
            <w:r>
              <w:rPr>
                <w:b w:val="false"/>
                <w:bCs w:val="false"/>
                <w:sz w:val="20"/>
                <w:szCs w:val="20"/>
              </w:rPr>
              <w:t xml:space="preserve">18 (90 in total)</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Yes</w:t>
            </w:r>
          </w:p>
        </w:tc>
      </w:tr>
      <w:tr>
        <w:trPr>
          <w:cantSplit/>
        </w:trPr>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Total</w:t>
            </w:r>
          </w:p>
        </w:tc>
        <w:tc>
          <w:tcPr>
            <w:tcW w:type="dxa" w:w="4240"/>
            <w:tcMar>
              <w:top w:type="dxa" w:w="80"/>
              <w:left w:type="dxa" w:w="110"/>
              <w:bottom w:type="dxa" w:w="80"/>
              <w:right w:type="dxa" w:w="110"/>
            </w:tcMar>
            <w:vAlign w:val="center"/>
          </w:tcPr>
          <w:p>
            <w:pPr>
              <w:spacing w:after="40" w:line="240"/>
              <w:jc w:val="left"/>
            </w:pPr>
          </w:p>
        </w:tc>
        <w:tc>
          <w:tcPr>
            <w:tcW w:type="dxa" w:w="1100"/>
            <w:tcMar>
              <w:top w:type="dxa" w:w="80"/>
              <w:left w:type="dxa" w:w="110"/>
              <w:bottom w:type="dxa" w:w="80"/>
              <w:right w:type="dxa" w:w="110"/>
            </w:tcMar>
            <w:vAlign w:val="center"/>
          </w:tcPr>
          <w:p>
            <w:pPr>
              <w:spacing w:after="40" w:line="240"/>
              <w:jc w:val="left"/>
            </w:pPr>
            <w:r>
              <w:rPr>
                <w:b w:val="false"/>
                <w:bCs w:val="false"/>
                <w:sz w:val="20"/>
                <w:szCs w:val="20"/>
              </w:rPr>
              <w:t xml:space="preserve">152</w:t>
            </w:r>
          </w:p>
        </w:tc>
        <w:tc>
          <w:tcPr>
            <w:tcW w:type="dxa" w:w="1300"/>
            <w:tcMar>
              <w:top w:type="dxa" w:w="80"/>
              <w:left w:type="dxa" w:w="110"/>
              <w:bottom w:type="dxa" w:w="80"/>
              <w:right w:type="dxa" w:w="110"/>
            </w:tcMar>
            <w:vAlign w:val="center"/>
          </w:tcPr>
          <w:p>
            <w:pPr>
              <w:spacing w:after="40" w:line="240"/>
              <w:jc w:val="left"/>
            </w:pPr>
            <w:r>
              <w:rPr>
                <w:b w:val="false"/>
                <w:bCs w:val="false"/>
                <w:sz w:val="20"/>
                <w:szCs w:val="20"/>
              </w:rPr>
              <w:t xml:space="preserve">140</w:t>
            </w:r>
          </w:p>
        </w:tc>
      </w:tr>
    </w:tbl>
    <w:p>
      <w:pPr>
        <w:pStyle w:val="Heading2"/>
        <w:keepNext/>
        <w:spacing w:after="140" w:before="280"/>
      </w:pPr>
      <w:r>
        <w:t xml:space="preserve">4.4 Version-Control Coverage and Current Provisioning (RQ1)</w:t>
      </w:r>
    </w:p>
    <w:p>
      <w:pPr>
        <w:spacing w:after="160" w:before="0" w:line="360"/>
        <w:jc w:val="both"/>
      </w:pPr>
      <w:r>
        <w:t xml:space="preserve">RQ1 asked how the target architecture is provisioned and what proportion of its components are under version control. Before the study every component was created by hand in the AWS console and none was defined in the repository, so coverage was 0%. After implementation, 19 of the 24 inventory components (79.2%) were fully defined in Terraform or in the workflow file, 2 (8.3%) were partially defined, and 3 (12.5%) were not defined (Table 4.3). Including partial definitions, coverage was 87.5%.</w:t>
      </w:r>
    </w:p>
    <w:p>
      <w:pPr>
        <w:spacing w:after="160" w:before="0" w:line="360"/>
        <w:jc w:val="both"/>
      </w:pPr>
      <w:r>
        <w:t xml:space="preserve">The two partially defined components are switched off in code rather than missing: the Inspector module creates the alert topic and event rule but its scanning enabler is disabled with the comment that Inspector "is blocked by an SCP on the AWS Free plan account", and the ALB and API Gateway modules support a TLS certificate and custom domain through optional variables that are not set, so the load balancer listener serves plain HTTP. The three undefined components are the Web Application Firewall, the Route 53 DNS records and the repository's branch-protection and review rules.</w:t>
      </w:r>
    </w:p>
    <w:p>
      <w:pPr>
        <w:spacing w:after="160" w:before="0" w:line="360"/>
        <w:jc w:val="both"/>
      </w:pPr>
      <w:r>
        <w:t xml:space="preserve">On the peer-review half of RQ1, none of the 48 human-authored commits in the repository history passed through a pull request: the history contains no merge commits, and every change was pushed directly to the main branch. Infrastructure changes were therefore version-controlled but not peer-reviewed.</w:t>
      </w:r>
    </w:p>
    <w:p>
      <w:pPr>
        <w:keepNext/>
        <w:spacing w:after="100" w:before="200" w:line="240"/>
        <w:jc w:val="left"/>
      </w:pPr>
      <w:r>
        <w:rPr>
          <w:b/>
          <w:bCs/>
        </w:rPr>
        <w:t xml:space="preserve">Table 4.3 </w:t>
      </w:r>
      <w:r>
        <w:rPr>
          <w:i/>
          <w:iCs/>
        </w:rPr>
        <w:t xml:space="preserve">Component Inventory and Codification Status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800"/>
        <w:gridCol w:w="1000"/>
        <w:gridCol w:w="3840"/>
        <w:gridCol w:w="1000"/>
      </w:tblGrid>
      <w:tr>
        <w:trPr>
          <w:tblHeader/>
        </w:trPr>
        <w:tc>
          <w:tcPr>
            <w:tcW w:type="dxa" w:w="28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Component</w:t>
            </w:r>
          </w:p>
        </w:tc>
        <w:tc>
          <w:tcPr>
            <w:tcW w:type="dxa" w:w="1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Status</w:t>
            </w:r>
          </w:p>
        </w:tc>
        <w:tc>
          <w:tcPr>
            <w:tcW w:type="dxa" w:w="38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Component</w:t>
            </w:r>
          </w:p>
        </w:tc>
        <w:tc>
          <w:tcPr>
            <w:tcW w:type="dxa" w:w="1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Status</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VPC</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Auto scaling targets and policies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Public and private subnets (2 AZs)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CloudWatch alarms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Internet Gateway</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CloudWatch log groups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NAT gateways and Elastic IPs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ECR repositories and lifecycle policies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Route tables and associations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API Gateway, stage and VPC Link</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Security groups and rules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API Gateway routes and integrations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ALB and listener</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IAM roles and policies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Target groups and listener rules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Terraform remote state (S3, DynamoDB)</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ECS clusters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CI/CD pipeline definition</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ECS task definitions and Fargate services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Full</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Inspector scanning and alert topic</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Partial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Web Application Firewall</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None</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TLS certificate binding and custom domain</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Partial</w:t>
            </w:r>
          </w:p>
        </w:tc>
      </w:tr>
      <w:tr>
        <w:trPr>
          <w:cantSplit/>
        </w:trPr>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Route 53 DNS records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None</w:t>
            </w:r>
          </w:p>
        </w:tc>
        <w:tc>
          <w:tcPr>
            <w:tcW w:type="dxa" w:w="3840"/>
            <w:tcMar>
              <w:top w:type="dxa" w:w="80"/>
              <w:left w:type="dxa" w:w="110"/>
              <w:bottom w:type="dxa" w:w="80"/>
              <w:right w:type="dxa" w:w="110"/>
            </w:tcMar>
            <w:vAlign w:val="center"/>
          </w:tcPr>
          <w:p>
            <w:pPr>
              <w:spacing w:after="40" w:line="240"/>
              <w:jc w:val="left"/>
            </w:pPr>
            <w:r>
              <w:rPr>
                <w:b w:val="false"/>
                <w:bCs w:val="false"/>
                <w:sz w:val="20"/>
                <w:szCs w:val="20"/>
              </w:rPr>
              <w:t xml:space="preserve">Branch protection and review rules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None</w:t>
            </w:r>
          </w:p>
        </w:tc>
      </w:tr>
    </w:tbl>
    <w:p>
      <w:pPr>
        <w:spacing w:after="200" w:before="60" w:line="240"/>
        <w:jc w:val="left"/>
      </w:pPr>
      <w:r>
        <w:rPr>
          <w:i/>
          <w:iCs/>
          <w:sz w:val="20"/>
          <w:szCs w:val="20"/>
        </w:rPr>
        <w:t xml:space="preserve">Note. </w:t>
      </w:r>
      <w:r>
        <w:rPr>
          <w:sz w:val="20"/>
          <w:szCs w:val="20"/>
        </w:rPr>
        <w:t xml:space="preserve">Full = 19 (79.2%); Partial = 2 (8.3%); None = 3 (12.5%); N = 24. Before the study all 24 were created manually (0% coverage).</w:t>
      </w:r>
    </w:p>
    <w:p>
      <w:pPr>
        <w:pStyle w:val="Heading2"/>
        <w:keepNext/>
        <w:spacing w:after="140" w:before="280"/>
      </w:pPr>
      <w:r>
        <w:t xml:space="preserve">4.5 Terraform Pipeline Durations</w:t>
      </w:r>
    </w:p>
    <w:p>
      <w:pPr>
        <w:spacing w:after="160" w:before="0" w:line="360"/>
        <w:jc w:val="both"/>
      </w:pPr>
      <w:r>
        <w:t xml:space="preserve">Table 4.4 reports descriptive statistics for every phase of the thirty measured pipeline rebuilds. Building the full environment from empty (remote state, shared infrastructure, five services and waiting until all services were stable) took a mean of 499.8 s (8.3 min; </w:t>
      </w:r>
      <w:r>
        <w:rPr>
          <w:i/>
          <w:iCs/>
        </w:rPr>
        <w:t xml:space="preserve">SD</w:t>
      </w:r>
      <w:r>
        <w:t xml:space="preserve"> = 21.0; 95% CI [491.9, 507.7]). Destroying the environment took 1207.1 s (20.1 min), and a complete destroy-and-rebuild cycle took 28.4 minutes. The build was consistent: its coefficient of variation was 4.2%. Destroying the five service stacks accounted for 64.1% of the cycle, about 3.6 minutes per service stack.</w:t>
      </w:r>
    </w:p>
    <w:p>
      <w:pPr>
        <w:keepNext/>
        <w:spacing w:after="100" w:before="200" w:line="240"/>
        <w:jc w:val="left"/>
      </w:pPr>
      <w:r>
        <w:rPr>
          <w:b/>
          <w:bCs/>
        </w:rPr>
        <w:t xml:space="preserve">Table 4.4 </w:t>
      </w:r>
      <w:r>
        <w:rPr>
          <w:i/>
          <w:iCs/>
        </w:rPr>
        <w:t xml:space="preserve">Descriptive Statistics of Pipeline Rebuild Phases (Seconds, n = 30, Measured)</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840"/>
        <w:gridCol w:w="1500"/>
        <w:gridCol w:w="1000"/>
        <w:gridCol w:w="900"/>
        <w:gridCol w:w="1400"/>
        <w:gridCol w:w="1000"/>
      </w:tblGrid>
      <w:tr>
        <w:trPr>
          <w:tblHeader/>
        </w:trPr>
        <w:tc>
          <w:tcPr>
            <w:tcW w:type="dxa" w:w="28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Phase</w:t>
            </w:r>
          </w:p>
        </w:tc>
        <w:tc>
          <w:tcPr>
            <w:tcW w:type="dxa" w:w="1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M (SD)</w:t>
            </w:r>
          </w:p>
        </w:tc>
        <w:tc>
          <w:tcPr>
            <w:tcW w:type="dxa" w:w="1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Minutes</w:t>
            </w:r>
          </w:p>
        </w:tc>
        <w:tc>
          <w:tcPr>
            <w:tcW w:type="dxa" w:w="9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Mdn</w:t>
            </w:r>
          </w:p>
        </w:tc>
        <w:tc>
          <w:tcPr>
            <w:tcW w:type="dxa" w:w="14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Range</w:t>
            </w:r>
          </w:p>
        </w:tc>
        <w:tc>
          <w:tcPr>
            <w:tcW w:type="dxa" w:w="1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CV %</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Destroy deployments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1094.2 (54.2)</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18.2</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1088</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1019–1295</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5.0</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Destroy infrastructures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90.5 (9.2)</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1.5</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92</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72–110</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10.2</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Destroy remote-state</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22.5 (1.8)</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0.4</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23</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18–25</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8.2</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Create remote-state</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71.4 (3.6)</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1.2</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70</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68–82</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5.0</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Create infrastructures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183.5 (7.1)</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3.1</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184</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172–204</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3.9</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Create deployments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164.4 (10.8)</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2.7</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162</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151–183</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6.6</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Wait until healthy</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80.5 (12.0)</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1.3</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84</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53–115</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14.9</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Full create</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499.8 (21.0)</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8.3</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496</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471–541</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4.2</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Full destroy</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1207.1 (57.7)</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20.1</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1198</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1123–1429</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4.8</w:t>
            </w:r>
          </w:p>
        </w:tc>
      </w:tr>
      <w:tr>
        <w:trPr>
          <w:cantSplit/>
        </w:trPr>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Total cycle</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1707.0 (69.5)</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28.4</w:t>
            </w:r>
          </w:p>
        </w:tc>
        <w:tc>
          <w:tcPr>
            <w:tcW w:type="dxa" w:w="900"/>
            <w:tcMar>
              <w:top w:type="dxa" w:w="80"/>
              <w:left w:type="dxa" w:w="110"/>
              <w:bottom w:type="dxa" w:w="80"/>
              <w:right w:type="dxa" w:w="110"/>
            </w:tcMar>
            <w:vAlign w:val="center"/>
          </w:tcPr>
          <w:p>
            <w:pPr>
              <w:spacing w:after="40" w:line="240"/>
              <w:jc w:val="left"/>
            </w:pPr>
            <w:r>
              <w:rPr>
                <w:b w:val="false"/>
                <w:bCs w:val="false"/>
                <w:sz w:val="20"/>
                <w:szCs w:val="20"/>
              </w:rPr>
              <w:t xml:space="preserve">1703</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1600–1961</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4.1</w:t>
            </w:r>
          </w:p>
        </w:tc>
      </w:tr>
    </w:tbl>
    <w:p>
      <w:pPr>
        <w:spacing w:after="200" w:before="60" w:line="240"/>
        <w:jc w:val="left"/>
      </w:pPr>
      <w:r>
        <w:rPr>
          <w:i/>
          <w:iCs/>
          <w:sz w:val="20"/>
          <w:szCs w:val="20"/>
        </w:rPr>
        <w:t xml:space="preserve">Note. </w:t>
      </w:r>
      <w:r>
        <w:rPr>
          <w:sz w:val="20"/>
          <w:szCs w:val="20"/>
        </w:rPr>
        <w:t xml:space="preserve">CV = coefficient of variation. The total cycle is the workflow's own elapsed time and includes initialisation between phases.</w:t>
      </w:r>
    </w:p>
    <w:p>
      <w:pPr>
        <w:keepNext/>
        <w:spacing w:after="80" w:before="200" w:line="240"/>
        <w:jc w:val="center"/>
      </w:pPr>
      <w:r>
        <w:drawing>
          <wp:inline xmlns:a="http://schemas.openxmlformats.org/drawingml/2006/main" xmlns:pic="http://schemas.openxmlformats.org/drawingml/2006/picture">
            <wp:extent cx="5486400" cy="2328760"/>
            <wp:docPr id="4" name="Picture 4"/>
            <wp:cNvGraphicFramePr>
              <a:graphicFrameLocks noChangeAspect="1"/>
            </wp:cNvGraphicFramePr>
            <a:graphic>
              <a:graphicData uri="http://schemas.openxmlformats.org/drawingml/2006/picture">
                <pic:pic>
                  <pic:nvPicPr>
                    <pic:cNvPr id="0" name="fig4_1_phase_durations.png"/>
                    <pic:cNvPicPr/>
                  </pic:nvPicPr>
                  <pic:blipFill>
                    <a:blip r:embed="rId13"/>
                    <a:stretch>
                      <a:fillRect/>
                    </a:stretch>
                  </pic:blipFill>
                  <pic:spPr>
                    <a:xfrm>
                      <a:off x="0" y="0"/>
                      <a:ext cx="5486400" cy="2328760"/>
                    </a:xfrm>
                    <a:prstGeom prst="rect"/>
                  </pic:spPr>
                </pic:pic>
              </a:graphicData>
            </a:graphic>
          </wp:inline>
        </w:drawing>
      </w:r>
    </w:p>
    <w:p>
      <w:pPr>
        <w:spacing w:after="220" w:line="240"/>
        <w:jc w:val="left"/>
      </w:pPr>
      <w:r>
        <w:rPr>
          <w:sz w:val="20"/>
          <w:szCs w:val="20"/>
        </w:rPr>
        <w:t xml:space="preserve">Figure 4.1. Mean duration of each phase of the thirty measured GitHub Actions rebuilds; whiskers show one standard deviation.</w:t>
      </w:r>
    </w:p>
    <w:p>
      <w:pPr>
        <w:spacing w:after="160" w:before="0" w:line="360"/>
        <w:jc w:val="both"/>
      </w:pPr>
      <w:r>
        <w:t xml:space="preserve">Figure 4.2 plots the full-build and full-cycle durations against run order, with each run coloured by its trigger and a band of two standard deviations around each mean. Neither series shows a trend over the 30 runs (full build ρ = 0.25, </w:t>
      </w:r>
      <w:r>
        <w:rPr>
          <w:i/>
          <w:iCs/>
        </w:rPr>
        <w:t xml:space="preserve">p</w:t>
      </w:r>
      <w:r>
        <w:t xml:space="preserve"> = .177; full cycle ρ = 0.10, </w:t>
      </w:r>
      <w:r>
        <w:rPr>
          <w:i/>
          <w:iCs/>
        </w:rPr>
        <w:t xml:space="preserve">p</w:t>
      </w:r>
      <w:r>
        <w:t xml:space="preserve"> = .613). Run 1 is the only cycle outside the band, after which durations settled. Adding twenty cycles to the first ten changed the mean full build by 8.7 s (from 491.1 s to 499.8 s) and narrowed its 95% confidence interval from ±15.2 s to ±7.9 s.</w:t>
      </w:r>
    </w:p>
    <w:p>
      <w:pPr>
        <w:keepNext/>
        <w:spacing w:after="80" w:before="200" w:line="240"/>
        <w:jc w:val="center"/>
      </w:pPr>
      <w:r>
        <w:drawing>
          <wp:inline xmlns:a="http://schemas.openxmlformats.org/drawingml/2006/main" xmlns:pic="http://schemas.openxmlformats.org/drawingml/2006/picture">
            <wp:extent cx="5486400" cy="2448379"/>
            <wp:docPr id="5" name="Picture 5"/>
            <wp:cNvGraphicFramePr>
              <a:graphicFrameLocks noChangeAspect="1"/>
            </wp:cNvGraphicFramePr>
            <a:graphic>
              <a:graphicData uri="http://schemas.openxmlformats.org/drawingml/2006/picture">
                <pic:pic>
                  <pic:nvPicPr>
                    <pic:cNvPr id="0" name="fig4_2_run_order.png"/>
                    <pic:cNvPicPr/>
                  </pic:nvPicPr>
                  <pic:blipFill>
                    <a:blip r:embed="rId14"/>
                    <a:stretch>
                      <a:fillRect/>
                    </a:stretch>
                  </pic:blipFill>
                  <pic:spPr>
                    <a:xfrm>
                      <a:off x="0" y="0"/>
                      <a:ext cx="5486400" cy="2448379"/>
                    </a:xfrm>
                    <a:prstGeom prst="rect"/>
                  </pic:spPr>
                </pic:pic>
              </a:graphicData>
            </a:graphic>
          </wp:inline>
        </w:drawing>
      </w:r>
    </w:p>
    <w:p>
      <w:pPr>
        <w:spacing w:after="220" w:line="240"/>
        <w:jc w:val="left"/>
      </w:pPr>
      <w:r>
        <w:rPr>
          <w:sz w:val="20"/>
          <w:szCs w:val="20"/>
        </w:rPr>
        <w:t xml:space="preserve">Figure 4.2. Full-build and full destroy-and-rebuild durations of the thirty measured rebuilds in run order. Blue: triggered by a push; orange: chained manual dispatch. Shaded bands show the mean ± 2 SD; the dashed line separates the two days.</w:t>
      </w:r>
    </w:p>
    <w:p>
      <w:pPr>
        <w:pStyle w:val="Heading2"/>
        <w:keepNext/>
        <w:spacing w:after="140" w:before="280"/>
      </w:pPr>
      <w:r>
        <w:t xml:space="preserve">4.6 Stability Checks and Assumption Testing</w:t>
      </w:r>
    </w:p>
    <w:p>
      <w:pPr>
        <w:pStyle w:val="Heading3"/>
        <w:keepNext/>
        <w:spacing w:after="120" w:before="220"/>
      </w:pPr>
      <w:r>
        <w:t xml:space="preserve">4.6.1 Stability of the Measured Sample</w:t>
      </w:r>
    </w:p>
    <w:p>
      <w:pPr>
        <w:spacing w:after="160" w:before="0" w:line="360"/>
        <w:jc w:val="both"/>
      </w:pPr>
      <w:r>
        <w:t xml:space="preserve">Before the cycles were pooled, four checks examined whether the conditions under which they ran affected the timings (Table 4.5). No difference between the triggers was detected in the full destroy or the total cycle (total cycle 1702.3 s for push-triggered runs against 1711.1 s for dispatched runs, Welch's </w:t>
      </w:r>
      <w:r>
        <w:rPr>
          <w:i/>
          <w:iCs/>
        </w:rPr>
        <w:t xml:space="preserve">t</w:t>
      </w:r>
      <w:r>
        <w:t xml:space="preserve">(19.4) = -0.33, </w:t>
      </w:r>
      <w:r>
        <w:rPr>
          <w:i/>
          <w:iCs/>
        </w:rPr>
        <w:t xml:space="preserve">p</w:t>
      </w:r>
      <w:r>
        <w:t xml:space="preserve"> = .747). The full build, however, was 18.0 s (3.7%) longer in the dispatched runs (490.2 s against 508.2 s; Welch's </w:t>
      </w:r>
      <w:r>
        <w:rPr>
          <w:i/>
          <w:iCs/>
        </w:rPr>
        <w:t xml:space="preserve">t</w:t>
      </w:r>
      <w:r>
        <w:t xml:space="preserve">(25.4) = -2.51, </w:t>
      </w:r>
      <w:r>
        <w:rPr>
          <w:i/>
          <w:iCs/>
        </w:rPr>
        <w:t xml:space="preserve">p</w:t>
      </w:r>
      <w:r>
        <w:t xml:space="preserve"> = .019; Mann–Whitney </w:t>
      </w:r>
      <w:r>
        <w:rPr>
          <w:i/>
          <w:iCs/>
        </w:rPr>
        <w:t xml:space="preserve">U</w:t>
      </w:r>
      <w:r>
        <w:t xml:space="preserve"> = 51, </w:t>
      </w:r>
      <w:r>
        <w:rPr>
          <w:i/>
          <w:iCs/>
        </w:rPr>
        <w:t xml:space="preserve">p</w:t>
      </w:r>
      <w:r>
        <w:t xml:space="preserve"> = .012; Hedges' </w:t>
      </w:r>
      <w:r>
        <w:rPr>
          <w:i/>
          <w:iCs/>
        </w:rPr>
        <w:t xml:space="preserve">g</w:t>
      </w:r>
      <w:r>
        <w:t xml:space="preserve"> = 0.91).</w:t>
      </w:r>
    </w:p>
    <w:p>
      <w:pPr>
        <w:spacing w:after="160" w:before="0" w:line="360"/>
        <w:jc w:val="both"/>
      </w:pPr>
      <w:r>
        <w:t xml:space="preserve">Trigger is confounded with time: every dispatched run took place on the second day, back to back, while the push-triggered runs were spread across both days with gaps between them. Comparing the days directly gave a difference in the same direction that was not significant (full build 491.1 s against 504.1 s; Welch's </w:t>
      </w:r>
      <w:r>
        <w:rPr>
          <w:i/>
          <w:iCs/>
        </w:rPr>
        <w:t xml:space="preserve">t</w:t>
      </w:r>
      <w:r>
        <w:t xml:space="preserve">(17.2) = -1.62, </w:t>
      </w:r>
      <w:r>
        <w:rPr>
          <w:i/>
          <w:iCs/>
        </w:rPr>
        <w:t xml:space="preserve">p</w:t>
      </w:r>
      <w:r>
        <w:t xml:space="preserve"> = .124), and neither run order nor hour of day was correlated with any duration. The difference most plausibly reflects AWS and runner conditions during the back-to-back runs rather than the trigger itself, which does not change the steps executed, although the design cannot separate the two. It is small in practical terms, about a third of a minute against a build of 8.3 minutes, and two orders of magnitude smaller than the difference tested under H1, so the 30 cycles were pooled.</w:t>
      </w:r>
    </w:p>
    <w:p>
      <w:pPr>
        <w:keepNext/>
        <w:spacing w:after="100" w:before="200" w:line="240"/>
        <w:jc w:val="left"/>
      </w:pPr>
      <w:r>
        <w:rPr>
          <w:b/>
          <w:bCs/>
        </w:rPr>
        <w:t xml:space="preserve">Table 4.5 </w:t>
      </w:r>
      <w:r>
        <w:rPr>
          <w:i/>
          <w:iCs/>
        </w:rPr>
        <w:t xml:space="preserve">Stability Checks on the Measured Terraform Cycles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700"/>
        <w:gridCol w:w="1700"/>
        <w:gridCol w:w="2100"/>
        <w:gridCol w:w="1300"/>
        <w:gridCol w:w="840"/>
      </w:tblGrid>
      <w:tr>
        <w:trPr>
          <w:tblHeader/>
        </w:trPr>
        <w:tc>
          <w:tcPr>
            <w:tcW w:type="dxa" w:w="27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Comparison</w:t>
            </w:r>
          </w:p>
        </w:tc>
        <w:tc>
          <w:tcPr>
            <w:tcW w:type="dxa" w:w="17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Means (s)</w:t>
            </w:r>
          </w:p>
        </w:tc>
        <w:tc>
          <w:tcPr>
            <w:tcW w:type="dxa" w:w="21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Statistic</w:t>
            </w:r>
          </w:p>
        </w:tc>
        <w:tc>
          <w:tcPr>
            <w:tcW w:type="dxa" w:w="13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p (Welch; M–W)</w:t>
            </w:r>
          </w:p>
        </w:tc>
        <w:tc>
          <w:tcPr>
            <w:tcW w:type="dxa" w:w="84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Hedges' g</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Full build: push vs. dispatch</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490.2 vs. 508.2</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t(25.4) = -2.51; U = 51</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.019; .012</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-0.91</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Full destroy: push vs. dispatch</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1212.0 vs. 1202.9</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t(18.9) = 0.41; U = 106</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.687; .835</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0.15</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Total cycle: push vs. dispatch</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1702.3 vs. 1711.1</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t(19.4) = -0.33; U = 88</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.747; .329</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-0.12</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Full build: 14 Oct vs. 15 Oct</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491.1 vs. 504.1</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t(17.2) = -1.62; U = 63</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.124; .108</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-0.62</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Total cycle: 14 Oct vs. 15 Oct</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1698.4 vs. 1711.2</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t(11.5) = -0.38; U = 70</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.708; .194</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-0.18</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Full build: run order</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ρ = 0.25</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.177</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Full destroy: run order</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ρ = 0.01</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.979</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Total cycle: run order</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ρ = 0.10</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.613</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Full build: hour of day</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ρ = -0.24</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.192</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w:t>
            </w:r>
          </w:p>
        </w:tc>
      </w:tr>
      <w:tr>
        <w:trPr>
          <w:cantSplit/>
        </w:trPr>
        <w:tc>
          <w:tcPr>
            <w:tcW w:type="dxa" w:w="2700"/>
            <w:tcMar>
              <w:top w:type="dxa" w:w="80"/>
              <w:left w:type="dxa" w:w="110"/>
              <w:bottom w:type="dxa" w:w="80"/>
              <w:right w:type="dxa" w:w="110"/>
            </w:tcMar>
            <w:vAlign w:val="center"/>
          </w:tcPr>
          <w:p>
            <w:pPr>
              <w:spacing w:after="40" w:line="240"/>
              <w:jc w:val="left"/>
            </w:pPr>
            <w:r>
              <w:rPr>
                <w:b w:val="false"/>
                <w:bCs w:val="false"/>
                <w:sz w:val="18"/>
                <w:szCs w:val="18"/>
              </w:rPr>
              <w:t xml:space="preserve">Total cycle: hour of day</w:t>
            </w:r>
          </w:p>
        </w:tc>
        <w:tc>
          <w:tcPr>
            <w:tcW w:type="dxa" w:w="1700"/>
            <w:tcMar>
              <w:top w:type="dxa" w:w="80"/>
              <w:left w:type="dxa" w:w="110"/>
              <w:bottom w:type="dxa" w:w="80"/>
              <w:right w:type="dxa" w:w="110"/>
            </w:tcMar>
            <w:vAlign w:val="center"/>
          </w:tcPr>
          <w:p>
            <w:pPr>
              <w:spacing w:after="40" w:line="240"/>
              <w:jc w:val="left"/>
            </w:pPr>
            <w:r>
              <w:rPr>
                <w:b w:val="false"/>
                <w:bCs w:val="false"/>
                <w:sz w:val="18"/>
                <w:szCs w:val="18"/>
              </w:rPr>
              <w:t xml:space="preserve">—</w:t>
            </w:r>
          </w:p>
        </w:tc>
        <w:tc>
          <w:tcPr>
            <w:tcW w:type="dxa" w:w="2100"/>
            <w:tcMar>
              <w:top w:type="dxa" w:w="80"/>
              <w:left w:type="dxa" w:w="110"/>
              <w:bottom w:type="dxa" w:w="80"/>
              <w:right w:type="dxa" w:w="110"/>
            </w:tcMar>
            <w:vAlign w:val="center"/>
          </w:tcPr>
          <w:p>
            <w:pPr>
              <w:spacing w:after="40" w:line="240"/>
              <w:jc w:val="left"/>
            </w:pPr>
            <w:r>
              <w:rPr>
                <w:b w:val="false"/>
                <w:bCs w:val="false"/>
                <w:sz w:val="18"/>
                <w:szCs w:val="18"/>
              </w:rPr>
              <w:t xml:space="preserve">ρ = -0.29</w:t>
            </w:r>
          </w:p>
        </w:tc>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.114</w:t>
            </w:r>
          </w:p>
        </w:tc>
        <w:tc>
          <w:tcPr>
            <w:tcW w:type="dxa" w:w="840"/>
            <w:tcMar>
              <w:top w:type="dxa" w:w="80"/>
              <w:left w:type="dxa" w:w="110"/>
              <w:bottom w:type="dxa" w:w="80"/>
              <w:right w:type="dxa" w:w="110"/>
            </w:tcMar>
            <w:vAlign w:val="center"/>
          </w:tcPr>
          <w:p>
            <w:pPr>
              <w:spacing w:after="40" w:line="240"/>
              <w:jc w:val="left"/>
            </w:pPr>
            <w:r>
              <w:rPr>
                <w:b w:val="false"/>
                <w:bCs w:val="false"/>
                <w:sz w:val="18"/>
                <w:szCs w:val="18"/>
              </w:rPr>
              <w:t xml:space="preserve">—</w:t>
            </w:r>
          </w:p>
        </w:tc>
      </w:tr>
    </w:tbl>
    <w:p>
      <w:pPr>
        <w:spacing w:after="200" w:before="60" w:line="240"/>
        <w:jc w:val="left"/>
      </w:pPr>
      <w:r>
        <w:rPr>
          <w:i/>
          <w:iCs/>
          <w:sz w:val="20"/>
          <w:szCs w:val="20"/>
        </w:rPr>
        <w:t xml:space="preserve">Note. </w:t>
      </w:r>
      <w:r>
        <w:rPr>
          <w:sz w:val="20"/>
          <w:szCs w:val="20"/>
        </w:rPr>
        <w:t xml:space="preserve">Push-triggered n = 14; dispatch-triggered n = 16; 14 Oct n = 10; 15 Oct n = 20. Group comparisons report Welch's t and the Mann–Whitney U, with their p values in that order. Run-order and hour-of-day rows report Spearman's ρ.</w:t>
      </w:r>
    </w:p>
    <w:p>
      <w:pPr>
        <w:pStyle w:val="Heading3"/>
        <w:keepNext/>
        <w:spacing w:after="120" w:before="220"/>
      </w:pPr>
      <w:r>
        <w:t xml:space="preserve">4.6.2 Distributional Assumptions</w:t>
      </w:r>
    </w:p>
    <w:p>
      <w:pPr>
        <w:spacing w:after="160" w:before="0" w:line="360"/>
        <w:jc w:val="both"/>
      </w:pPr>
      <w:r>
        <w:t xml:space="preserve">With thirty cycles the full build no longer departed from normality (</w:t>
      </w:r>
      <w:r>
        <w:rPr>
          <w:i/>
          <w:iCs/>
        </w:rPr>
        <w:t xml:space="preserve">W</w:t>
      </w:r>
      <w:r>
        <w:t xml:space="preserve"> = 0.94, </w:t>
      </w:r>
      <w:r>
        <w:rPr>
          <w:i/>
          <w:iCs/>
        </w:rPr>
        <w:t xml:space="preserve">p</w:t>
      </w:r>
      <w:r>
        <w:t xml:space="preserve"> = .107), but Shapiro–Wilk tests indicated departures in five of the seven phases: destroy deployments (</w:t>
      </w:r>
      <w:r>
        <w:rPr>
          <w:i/>
          <w:iCs/>
        </w:rPr>
        <w:t xml:space="preserve">W</w:t>
      </w:r>
      <w:r>
        <w:t xml:space="preserve"> = 0.87, </w:t>
      </w:r>
      <w:r>
        <w:rPr>
          <w:i/>
          <w:iCs/>
        </w:rPr>
        <w:t xml:space="preserve">p</w:t>
      </w:r>
      <w:r>
        <w:t xml:space="preserve"> = .002), destroy remote-state (</w:t>
      </w:r>
      <w:r>
        <w:rPr>
          <w:i/>
          <w:iCs/>
        </w:rPr>
        <w:t xml:space="preserve">W</w:t>
      </w:r>
      <w:r>
        <w:t xml:space="preserve"> = 0.87, </w:t>
      </w:r>
      <w:r>
        <w:rPr>
          <w:i/>
          <w:iCs/>
        </w:rPr>
        <w:t xml:space="preserve">p</w:t>
      </w:r>
      <w:r>
        <w:t xml:space="preserve"> = .002), create remote-state (</w:t>
      </w:r>
      <w:r>
        <w:rPr>
          <w:i/>
          <w:iCs/>
        </w:rPr>
        <w:t xml:space="preserve">W</w:t>
      </w:r>
      <w:r>
        <w:t xml:space="preserve"> = 0.77, </w:t>
      </w:r>
      <w:r>
        <w:rPr>
          <w:i/>
          <w:iCs/>
        </w:rPr>
        <w:t xml:space="preserve">p</w:t>
      </w:r>
      <w:r>
        <w:t xml:space="preserve"> &lt; .001), create deployments (</w:t>
      </w:r>
      <w:r>
        <w:rPr>
          <w:i/>
          <w:iCs/>
        </w:rPr>
        <w:t xml:space="preserve">W</w:t>
      </w:r>
      <w:r>
        <w:t xml:space="preserve"> = 0.89, </w:t>
      </w:r>
      <w:r>
        <w:rPr>
          <w:i/>
          <w:iCs/>
        </w:rPr>
        <w:t xml:space="preserve">p</w:t>
      </w:r>
      <w:r>
        <w:t xml:space="preserve"> = .004), wait until healthy (</w:t>
      </w:r>
      <w:r>
        <w:rPr>
          <w:i/>
          <w:iCs/>
        </w:rPr>
        <w:t xml:space="preserve">W</w:t>
      </w:r>
      <w:r>
        <w:t xml:space="preserve"> = 0.87, </w:t>
      </w:r>
      <w:r>
        <w:rPr>
          <w:i/>
          <w:iCs/>
        </w:rPr>
        <w:t xml:space="preserve">p</w:t>
      </w:r>
      <w:r>
        <w:t xml:space="preserve"> = .001). The full destroy (</w:t>
      </w:r>
      <w:r>
        <w:rPr>
          <w:i/>
          <w:iCs/>
        </w:rPr>
        <w:t xml:space="preserve">W</w:t>
      </w:r>
      <w:r>
        <w:t xml:space="preserve"> = 0.85, </w:t>
      </w:r>
      <w:r>
        <w:rPr>
          <w:i/>
          <w:iCs/>
        </w:rPr>
        <w:t xml:space="preserve">p</w:t>
      </w:r>
      <w:r>
        <w:t xml:space="preserve"> &lt; .001) and total cycle (</w:t>
      </w:r>
      <w:r>
        <w:rPr>
          <w:i/>
          <w:iCs/>
        </w:rPr>
        <w:t xml:space="preserve">W</w:t>
      </w:r>
      <w:r>
        <w:t xml:space="preserve"> = 0.88, </w:t>
      </w:r>
      <w:r>
        <w:rPr>
          <w:i/>
          <w:iCs/>
        </w:rPr>
        <w:t xml:space="preserve">p</w:t>
      </w:r>
      <w:r>
        <w:t xml:space="preserve"> = .003) were positively skewed by run 1. The simulated manual build times did not depart from normality (</w:t>
      </w:r>
      <w:r>
        <w:rPr>
          <w:i/>
          <w:iCs/>
        </w:rPr>
        <w:t xml:space="preserve">W</w:t>
      </w:r>
      <w:r>
        <w:t xml:space="preserve"> = 0.93, </w:t>
      </w:r>
      <w:r>
        <w:rPr>
          <w:i/>
          <w:iCs/>
        </w:rPr>
        <w:t xml:space="preserve">p</w:t>
      </w:r>
      <w:r>
        <w:t xml:space="preserve"> = .487). Because some measured distributions are non-normal and the simulated group is small, H1 is reported with both Welch's </w:t>
      </w:r>
      <w:r>
        <w:rPr>
          <w:i/>
          <w:iCs/>
        </w:rPr>
        <w:t xml:space="preserve">t</w:t>
      </w:r>
      <w:r>
        <w:t xml:space="preserve">-test and the Mann–Whitney </w:t>
      </w:r>
      <w:r>
        <w:rPr>
          <w:i/>
          <w:iCs/>
        </w:rPr>
        <w:t xml:space="preserve">U</w:t>
      </w:r>
      <w:r>
        <w:t xml:space="preserve"> test. Common method bias is not applicable because no variable was self-reported.</w:t>
      </w:r>
    </w:p>
    <w:p>
      <w:pPr>
        <w:pStyle w:val="Heading2"/>
        <w:keepNext/>
        <w:spacing w:after="140" w:before="280"/>
      </w:pPr>
      <w:r>
        <w:t xml:space="preserve">4.7 Service Recovery Analysis</w:t>
      </w:r>
    </w:p>
    <w:p>
      <w:pPr>
        <w:spacing w:after="160" w:before="0" w:line="360"/>
        <w:jc w:val="both"/>
      </w:pPr>
      <w:r>
        <w:t xml:space="preserve">All 150 service start-ups in the thirty rebuilds came back into service: 149 reached a recorded ECS steady state, and the remaining one (run 14, finance) answered HTTP 200 before its steady-state event was logged. The time from service creation to steady state averaged 89.5 s (</w:t>
      </w:r>
      <w:r>
        <w:rPr>
          <w:i/>
          <w:iCs/>
        </w:rPr>
        <w:t xml:space="preserve">SD</w:t>
      </w:r>
      <w:r>
        <w:t xml:space="preserve"> = 12.1; 95% CI [87.5, 91.4]; range 64–159 s). The authentication and finance services were the slowest and most variable; the share service was the fastest. All 155 HTTP requests made through the API Gateway (150 in rebuilds, 5 in the redeploy run) returned status 200. The redeploy run replaced all five services without rebuilding infrastructure in 300 s (120 s to redeploy and 180 s to become healthy).</w:t>
      </w:r>
    </w:p>
    <w:p>
      <w:pPr>
        <w:keepNext/>
        <w:spacing w:after="100" w:before="200" w:line="240"/>
        <w:jc w:val="left"/>
      </w:pPr>
      <w:r>
        <w:rPr>
          <w:b/>
          <w:bCs/>
        </w:rPr>
        <w:t xml:space="preserve">Table 4.6 </w:t>
      </w:r>
      <w:r>
        <w:rPr>
          <w:i/>
          <w:iCs/>
        </w:rPr>
        <w:t xml:space="preserve">Time from Service Creation to Steady State by Service (Seconds, Measured)</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200"/>
        <w:gridCol w:w="1000"/>
        <w:gridCol w:w="2000"/>
        <w:gridCol w:w="1640"/>
        <w:gridCol w:w="1800"/>
      </w:tblGrid>
      <w:tr>
        <w:trPr>
          <w:tblHeader/>
        </w:trPr>
        <w:tc>
          <w:tcPr>
            <w:tcW w:type="dxa" w:w="22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Service</w:t>
            </w:r>
          </w:p>
        </w:tc>
        <w:tc>
          <w:tcPr>
            <w:tcW w:type="dxa" w:w="1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n</w:t>
            </w:r>
          </w:p>
        </w:tc>
        <w:tc>
          <w:tcPr>
            <w:tcW w:type="dxa" w:w="2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M (SD)</w:t>
            </w:r>
          </w:p>
        </w:tc>
        <w:tc>
          <w:tcPr>
            <w:tcW w:type="dxa" w:w="16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Range</w:t>
            </w:r>
          </w:p>
        </w:tc>
        <w:tc>
          <w:tcPr>
            <w:tcW w:type="dxa" w:w="18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HTTP 200</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Authentication</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30</w:t>
            </w:r>
          </w:p>
        </w:tc>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93.8 (15.9)</w:t>
            </w:r>
          </w:p>
        </w:tc>
        <w:tc>
          <w:tcPr>
            <w:tcW w:type="dxa" w:w="1640"/>
            <w:tcMar>
              <w:top w:type="dxa" w:w="80"/>
              <w:left w:type="dxa" w:w="110"/>
              <w:bottom w:type="dxa" w:w="80"/>
              <w:right w:type="dxa" w:w="110"/>
            </w:tcMar>
            <w:vAlign w:val="center"/>
          </w:tcPr>
          <w:p>
            <w:pPr>
              <w:spacing w:after="40" w:line="240"/>
              <w:jc w:val="left"/>
            </w:pPr>
            <w:r>
              <w:rPr>
                <w:b w:val="false"/>
                <w:bCs w:val="false"/>
                <w:sz w:val="20"/>
                <w:szCs w:val="20"/>
              </w:rPr>
              <w:t xml:space="preserve">76–159</w:t>
            </w:r>
          </w:p>
        </w:tc>
        <w:tc>
          <w:tcPr>
            <w:tcW w:type="dxa" w:w="1800"/>
            <w:tcMar>
              <w:top w:type="dxa" w:w="80"/>
              <w:left w:type="dxa" w:w="110"/>
              <w:bottom w:type="dxa" w:w="80"/>
              <w:right w:type="dxa" w:w="110"/>
            </w:tcMar>
            <w:vAlign w:val="center"/>
          </w:tcPr>
          <w:p>
            <w:pPr>
              <w:spacing w:after="40" w:line="240"/>
              <w:jc w:val="left"/>
            </w:pPr>
            <w:r>
              <w:rPr>
                <w:b w:val="false"/>
                <w:bCs w:val="false"/>
                <w:sz w:val="20"/>
                <w:szCs w:val="20"/>
              </w:rPr>
              <w:t xml:space="preserve">30 / 30</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Messenger</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30</w:t>
            </w:r>
          </w:p>
        </w:tc>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87.3 (9.1)</w:t>
            </w:r>
          </w:p>
        </w:tc>
        <w:tc>
          <w:tcPr>
            <w:tcW w:type="dxa" w:w="1640"/>
            <w:tcMar>
              <w:top w:type="dxa" w:w="80"/>
              <w:left w:type="dxa" w:w="110"/>
              <w:bottom w:type="dxa" w:w="80"/>
              <w:right w:type="dxa" w:w="110"/>
            </w:tcMar>
            <w:vAlign w:val="center"/>
          </w:tcPr>
          <w:p>
            <w:pPr>
              <w:spacing w:after="40" w:line="240"/>
              <w:jc w:val="left"/>
            </w:pPr>
            <w:r>
              <w:rPr>
                <w:b w:val="false"/>
                <w:bCs w:val="false"/>
                <w:sz w:val="20"/>
                <w:szCs w:val="20"/>
              </w:rPr>
              <w:t xml:space="preserve">71–106</w:t>
            </w:r>
          </w:p>
        </w:tc>
        <w:tc>
          <w:tcPr>
            <w:tcW w:type="dxa" w:w="1800"/>
            <w:tcMar>
              <w:top w:type="dxa" w:w="80"/>
              <w:left w:type="dxa" w:w="110"/>
              <w:bottom w:type="dxa" w:w="80"/>
              <w:right w:type="dxa" w:w="110"/>
            </w:tcMar>
            <w:vAlign w:val="center"/>
          </w:tcPr>
          <w:p>
            <w:pPr>
              <w:spacing w:after="40" w:line="240"/>
              <w:jc w:val="left"/>
            </w:pPr>
            <w:r>
              <w:rPr>
                <w:b w:val="false"/>
                <w:bCs w:val="false"/>
                <w:sz w:val="20"/>
                <w:szCs w:val="20"/>
              </w:rPr>
              <w:t xml:space="preserve">30 / 30</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Profile</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30</w:t>
            </w:r>
          </w:p>
        </w:tc>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89.0 (8.0)</w:t>
            </w:r>
          </w:p>
        </w:tc>
        <w:tc>
          <w:tcPr>
            <w:tcW w:type="dxa" w:w="1640"/>
            <w:tcMar>
              <w:top w:type="dxa" w:w="80"/>
              <w:left w:type="dxa" w:w="110"/>
              <w:bottom w:type="dxa" w:w="80"/>
              <w:right w:type="dxa" w:w="110"/>
            </w:tcMar>
            <w:vAlign w:val="center"/>
          </w:tcPr>
          <w:p>
            <w:pPr>
              <w:spacing w:after="40" w:line="240"/>
              <w:jc w:val="left"/>
            </w:pPr>
            <w:r>
              <w:rPr>
                <w:b w:val="false"/>
                <w:bCs w:val="false"/>
                <w:sz w:val="20"/>
                <w:szCs w:val="20"/>
              </w:rPr>
              <w:t xml:space="preserve">76–103</w:t>
            </w:r>
          </w:p>
        </w:tc>
        <w:tc>
          <w:tcPr>
            <w:tcW w:type="dxa" w:w="1800"/>
            <w:tcMar>
              <w:top w:type="dxa" w:w="80"/>
              <w:left w:type="dxa" w:w="110"/>
              <w:bottom w:type="dxa" w:w="80"/>
              <w:right w:type="dxa" w:w="110"/>
            </w:tcMar>
            <w:vAlign w:val="center"/>
          </w:tcPr>
          <w:p>
            <w:pPr>
              <w:spacing w:after="40" w:line="240"/>
              <w:jc w:val="left"/>
            </w:pPr>
            <w:r>
              <w:rPr>
                <w:b w:val="false"/>
                <w:bCs w:val="false"/>
                <w:sz w:val="20"/>
                <w:szCs w:val="20"/>
              </w:rPr>
              <w:t xml:space="preserve">30 / 30</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Finance</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29</w:t>
            </w:r>
          </w:p>
        </w:tc>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93.4 (13.8)</w:t>
            </w:r>
          </w:p>
        </w:tc>
        <w:tc>
          <w:tcPr>
            <w:tcW w:type="dxa" w:w="1640"/>
            <w:tcMar>
              <w:top w:type="dxa" w:w="80"/>
              <w:left w:type="dxa" w:w="110"/>
              <w:bottom w:type="dxa" w:w="80"/>
              <w:right w:type="dxa" w:w="110"/>
            </w:tcMar>
            <w:vAlign w:val="center"/>
          </w:tcPr>
          <w:p>
            <w:pPr>
              <w:spacing w:after="40" w:line="240"/>
              <w:jc w:val="left"/>
            </w:pPr>
            <w:r>
              <w:rPr>
                <w:b w:val="false"/>
                <w:bCs w:val="false"/>
                <w:sz w:val="20"/>
                <w:szCs w:val="20"/>
              </w:rPr>
              <w:t xml:space="preserve">67–125</w:t>
            </w:r>
          </w:p>
        </w:tc>
        <w:tc>
          <w:tcPr>
            <w:tcW w:type="dxa" w:w="1800"/>
            <w:tcMar>
              <w:top w:type="dxa" w:w="80"/>
              <w:left w:type="dxa" w:w="110"/>
              <w:bottom w:type="dxa" w:w="80"/>
              <w:right w:type="dxa" w:w="110"/>
            </w:tcMar>
            <w:vAlign w:val="center"/>
          </w:tcPr>
          <w:p>
            <w:pPr>
              <w:spacing w:after="40" w:line="240"/>
              <w:jc w:val="left"/>
            </w:pPr>
            <w:r>
              <w:rPr>
                <w:b w:val="false"/>
                <w:bCs w:val="false"/>
                <w:sz w:val="20"/>
                <w:szCs w:val="20"/>
              </w:rPr>
              <w:t xml:space="preserve">30 / 30</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Share</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30</w:t>
            </w:r>
          </w:p>
        </w:tc>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83.9 (9.7)</w:t>
            </w:r>
          </w:p>
        </w:tc>
        <w:tc>
          <w:tcPr>
            <w:tcW w:type="dxa" w:w="1640"/>
            <w:tcMar>
              <w:top w:type="dxa" w:w="80"/>
              <w:left w:type="dxa" w:w="110"/>
              <w:bottom w:type="dxa" w:w="80"/>
              <w:right w:type="dxa" w:w="110"/>
            </w:tcMar>
            <w:vAlign w:val="center"/>
          </w:tcPr>
          <w:p>
            <w:pPr>
              <w:spacing w:after="40" w:line="240"/>
              <w:jc w:val="left"/>
            </w:pPr>
            <w:r>
              <w:rPr>
                <w:b w:val="false"/>
                <w:bCs w:val="false"/>
                <w:sz w:val="20"/>
                <w:szCs w:val="20"/>
              </w:rPr>
              <w:t xml:space="preserve">64–112</w:t>
            </w:r>
          </w:p>
        </w:tc>
        <w:tc>
          <w:tcPr>
            <w:tcW w:type="dxa" w:w="1800"/>
            <w:tcMar>
              <w:top w:type="dxa" w:w="80"/>
              <w:left w:type="dxa" w:w="110"/>
              <w:bottom w:type="dxa" w:w="80"/>
              <w:right w:type="dxa" w:w="110"/>
            </w:tcMar>
            <w:vAlign w:val="center"/>
          </w:tcPr>
          <w:p>
            <w:pPr>
              <w:spacing w:after="40" w:line="240"/>
              <w:jc w:val="left"/>
            </w:pPr>
            <w:r>
              <w:rPr>
                <w:b w:val="false"/>
                <w:bCs w:val="false"/>
                <w:sz w:val="20"/>
                <w:szCs w:val="20"/>
              </w:rPr>
              <w:t xml:space="preserve">30 / 30</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All services</w:t>
            </w:r>
          </w:p>
        </w:tc>
        <w:tc>
          <w:tcPr>
            <w:tcW w:type="dxa" w:w="1000"/>
            <w:tcMar>
              <w:top w:type="dxa" w:w="80"/>
              <w:left w:type="dxa" w:w="110"/>
              <w:bottom w:type="dxa" w:w="80"/>
              <w:right w:type="dxa" w:w="110"/>
            </w:tcMar>
            <w:vAlign w:val="center"/>
          </w:tcPr>
          <w:p>
            <w:pPr>
              <w:spacing w:after="40" w:line="240"/>
              <w:jc w:val="left"/>
            </w:pPr>
            <w:r>
              <w:rPr>
                <w:b w:val="false"/>
                <w:bCs w:val="false"/>
                <w:sz w:val="20"/>
                <w:szCs w:val="20"/>
              </w:rPr>
              <w:t xml:space="preserve">149</w:t>
            </w:r>
          </w:p>
        </w:tc>
        <w:tc>
          <w:tcPr>
            <w:tcW w:type="dxa" w:w="2000"/>
            <w:tcMar>
              <w:top w:type="dxa" w:w="80"/>
              <w:left w:type="dxa" w:w="110"/>
              <w:bottom w:type="dxa" w:w="80"/>
              <w:right w:type="dxa" w:w="110"/>
            </w:tcMar>
            <w:vAlign w:val="center"/>
          </w:tcPr>
          <w:p>
            <w:pPr>
              <w:spacing w:after="40" w:line="240"/>
              <w:jc w:val="left"/>
            </w:pPr>
            <w:r>
              <w:rPr>
                <w:b w:val="false"/>
                <w:bCs w:val="false"/>
                <w:sz w:val="20"/>
                <w:szCs w:val="20"/>
              </w:rPr>
              <w:t xml:space="preserve">89.5 (12.1)</w:t>
            </w:r>
          </w:p>
        </w:tc>
        <w:tc>
          <w:tcPr>
            <w:tcW w:type="dxa" w:w="1640"/>
            <w:tcMar>
              <w:top w:type="dxa" w:w="80"/>
              <w:left w:type="dxa" w:w="110"/>
              <w:bottom w:type="dxa" w:w="80"/>
              <w:right w:type="dxa" w:w="110"/>
            </w:tcMar>
            <w:vAlign w:val="center"/>
          </w:tcPr>
          <w:p>
            <w:pPr>
              <w:spacing w:after="40" w:line="240"/>
              <w:jc w:val="left"/>
            </w:pPr>
            <w:r>
              <w:rPr>
                <w:b w:val="false"/>
                <w:bCs w:val="false"/>
                <w:sz w:val="20"/>
                <w:szCs w:val="20"/>
              </w:rPr>
              <w:t xml:space="preserve">64–159</w:t>
            </w:r>
          </w:p>
        </w:tc>
        <w:tc>
          <w:tcPr>
            <w:tcW w:type="dxa" w:w="1800"/>
            <w:tcMar>
              <w:top w:type="dxa" w:w="80"/>
              <w:left w:type="dxa" w:w="110"/>
              <w:bottom w:type="dxa" w:w="80"/>
              <w:right w:type="dxa" w:w="110"/>
            </w:tcMar>
            <w:vAlign w:val="center"/>
          </w:tcPr>
          <w:p>
            <w:pPr>
              <w:spacing w:after="40" w:line="240"/>
              <w:jc w:val="left"/>
            </w:pPr>
            <w:r>
              <w:rPr>
                <w:b w:val="false"/>
                <w:bCs w:val="false"/>
                <w:sz w:val="20"/>
                <w:szCs w:val="20"/>
              </w:rPr>
              <w:t xml:space="preserve">150 / 150</w:t>
            </w:r>
          </w:p>
        </w:tc>
      </w:tr>
    </w:tbl>
    <w:p>
      <w:pPr>
        <w:spacing w:after="200" w:before="60" w:line="240"/>
        <w:jc w:val="left"/>
      </w:pPr>
      <w:r>
        <w:rPr>
          <w:i/>
          <w:iCs/>
          <w:sz w:val="20"/>
          <w:szCs w:val="20"/>
        </w:rPr>
        <w:t xml:space="preserve">Note. </w:t>
      </w:r>
      <w:r>
        <w:rPr>
          <w:sz w:val="20"/>
          <w:szCs w:val="20"/>
        </w:rPr>
        <w:t xml:space="preserve">n = timed start-ups. One finance start-up (run 14) has no recorded steady-state event and is excluded from the timings but counted in the HTTP column.</w:t>
      </w:r>
    </w:p>
    <w:p>
      <w:pPr>
        <w:keepNext/>
        <w:spacing w:after="80" w:before="200" w:line="240"/>
        <w:jc w:val="center"/>
      </w:pPr>
      <w:r>
        <w:drawing>
          <wp:inline xmlns:a="http://schemas.openxmlformats.org/drawingml/2006/main" xmlns:pic="http://schemas.openxmlformats.org/drawingml/2006/picture">
            <wp:extent cx="5486400" cy="2304540"/>
            <wp:docPr id="6" name="Picture 6"/>
            <wp:cNvGraphicFramePr>
              <a:graphicFrameLocks noChangeAspect="1"/>
            </wp:cNvGraphicFramePr>
            <a:graphic>
              <a:graphicData uri="http://schemas.openxmlformats.org/drawingml/2006/picture">
                <pic:pic>
                  <pic:nvPicPr>
                    <pic:cNvPr id="0" name="fig4_3_time_to_healthy.png"/>
                    <pic:cNvPicPr/>
                  </pic:nvPicPr>
                  <pic:blipFill>
                    <a:blip r:embed="rId15"/>
                    <a:stretch>
                      <a:fillRect/>
                    </a:stretch>
                  </pic:blipFill>
                  <pic:spPr>
                    <a:xfrm>
                      <a:off x="0" y="0"/>
                      <a:ext cx="5486400" cy="2304540"/>
                    </a:xfrm>
                    <a:prstGeom prst="rect"/>
                  </pic:spPr>
                </pic:pic>
              </a:graphicData>
            </a:graphic>
          </wp:inline>
        </w:drawing>
      </w:r>
    </w:p>
    <w:p>
      <w:pPr>
        <w:spacing w:after="220" w:line="240"/>
        <w:jc w:val="left"/>
      </w:pPr>
      <w:r>
        <w:rPr>
          <w:sz w:val="20"/>
          <w:szCs w:val="20"/>
        </w:rPr>
        <w:t xml:space="preserve">Figure 4.3. Time from service creation to ECS steady state for each start-up in the thirty measured rebuilds; horizontal bars mark the mean.</w:t>
      </w:r>
    </w:p>
    <w:p>
      <w:pPr>
        <w:pStyle w:val="Heading2"/>
        <w:keepNext/>
        <w:spacing w:after="140" w:before="280"/>
      </w:pPr>
      <w:r>
        <w:t xml:space="preserve">4.8 Hypothesis Testing (RQ2)</w:t>
      </w:r>
    </w:p>
    <w:p>
      <w:pPr>
        <w:spacing w:after="160" w:before="0" w:line="360"/>
        <w:jc w:val="both"/>
      </w:pPr>
      <w:r>
        <w:t xml:space="preserve">RQ2 asked how Terraform-based provisioning differs from manual provisioning. Table 4.7 lists the ten simulated manual runs; Table 4.9 summarises the decision for each hypothesis.</w:t>
      </w:r>
    </w:p>
    <w:p>
      <w:pPr>
        <w:keepNext/>
        <w:spacing w:after="100" w:before="200" w:line="240"/>
        <w:jc w:val="left"/>
      </w:pPr>
      <w:r>
        <w:rPr>
          <w:b/>
          <w:bCs/>
        </w:rPr>
        <w:t xml:space="preserve">Table 4.7 </w:t>
      </w:r>
      <w:r>
        <w:rPr>
          <w:i/>
          <w:iCs/>
        </w:rPr>
        <w:t xml:space="preserve">Simulated Manual Console Runs (SIMULATED, Seed 20261015)</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700"/>
        <w:gridCol w:w="1500"/>
        <w:gridCol w:w="1400"/>
        <w:gridCol w:w="1500"/>
        <w:gridCol w:w="1500"/>
        <w:gridCol w:w="2040"/>
      </w:tblGrid>
      <w:tr>
        <w:trPr>
          <w:tblHeader/>
        </w:trPr>
        <w:tc>
          <w:tcPr>
            <w:tcW w:type="dxa" w:w="7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Run</w:t>
            </w:r>
          </w:p>
        </w:tc>
        <w:tc>
          <w:tcPr>
            <w:tcW w:type="dxa" w:w="1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Hands-on (min)</w:t>
            </w:r>
          </w:p>
        </w:tc>
        <w:tc>
          <w:tcPr>
            <w:tcW w:type="dxa" w:w="14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Waiting (min)</w:t>
            </w:r>
          </w:p>
        </w:tc>
        <w:tc>
          <w:tcPr>
            <w:tcW w:type="dxa" w:w="1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Full build (min)</w:t>
            </w:r>
          </w:p>
        </w:tc>
        <w:tc>
          <w:tcPr>
            <w:tcW w:type="dxa" w:w="1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Resources redone</w:t>
            </w:r>
          </w:p>
        </w:tc>
        <w:tc>
          <w:tcPr>
            <w:tcW w:type="dxa" w:w="20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Rebuild identical?</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1</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101.5</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8.7</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110.3</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8</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Yes</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2</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106.1</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7.3</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113.4</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2</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No (1 differing)</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3</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98.8</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7.8</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106.6</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4</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Yes</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4</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100.6</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7.9</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108.5</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2</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No (1 differing)</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5</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99.7</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7.9</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107.7</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2</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No (1 differing)</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6</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92.4</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8.7</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101.2</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No (1 differing)</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7</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93.7</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6.9</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100.6</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3</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No (1 differing)</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8</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92.5</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7.0</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99.5</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2</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No (1 differing)</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9</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94.1</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7.3</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101.4</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4</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No (1 differing)</w:t>
            </w:r>
          </w:p>
        </w:tc>
      </w:tr>
      <w:tr>
        <w:trPr>
          <w:cantSplit/>
        </w:trPr>
        <w:tc>
          <w:tcPr>
            <w:tcW w:type="dxa" w:w="700"/>
            <w:tcMar>
              <w:top w:type="dxa" w:w="80"/>
              <w:left w:type="dxa" w:w="110"/>
              <w:bottom w:type="dxa" w:w="80"/>
              <w:right w:type="dxa" w:w="110"/>
            </w:tcMar>
            <w:vAlign w:val="center"/>
          </w:tcPr>
          <w:p>
            <w:pPr>
              <w:spacing w:after="40" w:line="240"/>
              <w:jc w:val="left"/>
            </w:pPr>
            <w:r>
              <w:rPr>
                <w:b w:val="false"/>
                <w:bCs w:val="false"/>
                <w:sz w:val="20"/>
                <w:szCs w:val="20"/>
              </w:rPr>
              <w:t xml:space="preserve">10</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94.2</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9.6</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103.8</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4</w:t>
            </w:r>
          </w:p>
        </w:tc>
        <w:tc>
          <w:tcPr>
            <w:tcW w:type="dxa" w:w="2040"/>
            <w:tcMar>
              <w:top w:type="dxa" w:w="80"/>
              <w:left w:type="dxa" w:w="110"/>
              <w:bottom w:type="dxa" w:w="80"/>
              <w:right w:type="dxa" w:w="110"/>
            </w:tcMar>
            <w:vAlign w:val="center"/>
          </w:tcPr>
          <w:p>
            <w:pPr>
              <w:spacing w:after="40" w:line="240"/>
              <w:jc w:val="left"/>
            </w:pPr>
            <w:r>
              <w:rPr>
                <w:b w:val="false"/>
                <w:bCs w:val="false"/>
                <w:sz w:val="20"/>
                <w:szCs w:val="20"/>
              </w:rPr>
              <w:t xml:space="preserve">Yes</w:t>
            </w:r>
          </w:p>
        </w:tc>
      </w:tr>
    </w:tbl>
    <w:p>
      <w:pPr>
        <w:spacing w:after="200" w:before="60" w:line="240"/>
        <w:jc w:val="left"/>
      </w:pPr>
      <w:r>
        <w:rPr>
          <w:i/>
          <w:iCs/>
          <w:sz w:val="20"/>
          <w:szCs w:val="20"/>
        </w:rPr>
        <w:t xml:space="preserve">Note. </w:t>
      </w:r>
      <w:r>
        <w:rPr>
          <w:sz w:val="20"/>
          <w:szCs w:val="20"/>
        </w:rPr>
        <w:t xml:space="preserve">Simulated values generated by the model in Section 3.7.1. They are not observations.</w:t>
      </w:r>
    </w:p>
    <w:p>
      <w:pPr>
        <w:pStyle w:val="Heading3"/>
        <w:keepNext/>
        <w:spacing w:after="120" w:before="220"/>
      </w:pPr>
      <w:r>
        <w:t xml:space="preserve">4.8.1 Provisioning Duration (H1)</w:t>
      </w:r>
    </w:p>
    <w:p>
      <w:pPr>
        <w:spacing w:after="160" w:before="0" w:line="360"/>
        <w:jc w:val="both"/>
      </w:pPr>
      <w:r>
        <w:t xml:space="preserve">The measured Terraform build averaged 8.3 minutes over 30 cycles. The simulated manual build averaged 105.3 minutes (</w:t>
      </w:r>
      <w:r>
        <w:rPr>
          <w:i/>
          <w:iCs/>
        </w:rPr>
        <w:t xml:space="preserve">SD</w:t>
      </w:r>
      <w:r>
        <w:t xml:space="preserve"> = 4.7; range 99.5–113.4), 12.6 times longer. On the simulated data the difference was significant, Welch's </w:t>
      </w:r>
      <w:r>
        <w:rPr>
          <w:i/>
          <w:iCs/>
        </w:rPr>
        <w:t xml:space="preserve">t</w:t>
      </w:r>
      <w:r>
        <w:t xml:space="preserve">(9.0) = -65.17, </w:t>
      </w:r>
      <w:r>
        <w:rPr>
          <w:i/>
          <w:iCs/>
        </w:rPr>
        <w:t xml:space="preserve">p</w:t>
      </w:r>
      <w:r>
        <w:t xml:space="preserve"> &lt; .001; Mann–Whitney </w:t>
      </w:r>
      <w:r>
        <w:rPr>
          <w:i/>
          <w:iCs/>
        </w:rPr>
        <w:t xml:space="preserve">U</w:t>
      </w:r>
      <w:r>
        <w:t xml:space="preserve"> = 0, </w:t>
      </w:r>
      <w:r>
        <w:rPr>
          <w:i/>
          <w:iCs/>
        </w:rPr>
        <w:t xml:space="preserve">p</w:t>
      </w:r>
      <w:r>
        <w:t xml:space="preserve"> &lt; .001; Hedges' </w:t>
      </w:r>
      <w:r>
        <w:rPr>
          <w:i/>
          <w:iCs/>
        </w:rPr>
        <w:t xml:space="preserve">g</w:t>
      </w:r>
      <w:r>
        <w:t xml:space="preserve"> = -41.17, 95% CI [-50.23, -32.12]. Because the spread of the simulated group is set by the model, the size of </w:t>
      </w:r>
      <w:r>
        <w:rPr>
          <w:i/>
          <w:iCs/>
        </w:rPr>
        <w:t xml:space="preserve">t</w:t>
      </w:r>
      <w:r>
        <w:t xml:space="preserve"> and </w:t>
      </w:r>
      <w:r>
        <w:rPr>
          <w:i/>
          <w:iCs/>
        </w:rPr>
        <w:t xml:space="preserve">g</w:t>
      </w:r>
      <w:r>
        <w:t xml:space="preserve"> reflects the model's assumptions rather than a property of manual work. The result did not depend on the larger Terraform sample: using only the first ten cycles gave a ratio of 12.9 and the same decision, and using only the push-triggered or only the dispatched cycles changes the Terraform mean by less than 3%.</w:t>
      </w:r>
    </w:p>
    <w:p>
      <w:pPr>
        <w:spacing w:after="160" w:before="0" w:line="360"/>
        <w:jc w:val="both"/>
      </w:pPr>
      <w:r>
        <w:t xml:space="preserve">The simulated runs also show the built-in learning effect: build time fell with run order (Spearman's ρ = -0.76, </w:t>
      </w:r>
      <w:r>
        <w:rPr>
          <w:i/>
          <w:iCs/>
        </w:rPr>
        <w:t xml:space="preserve">p</w:t>
      </w:r>
      <w:r>
        <w:t xml:space="preserve"> = .011), from 110.3 minutes in run 1 to 103.8 minutes in run 10. Table 4.8 shows the sensitivity of the comparison to the key assumption, the median console time per resource. Even at 20 seconds per resource, the manual build would take 54.7 minutes, 6.6 times the Terraform build.</w:t>
      </w:r>
    </w:p>
    <w:p>
      <w:pPr>
        <w:keepNext/>
        <w:spacing w:after="100" w:before="200" w:line="240"/>
        <w:jc w:val="left"/>
      </w:pPr>
      <w:r>
        <w:rPr>
          <w:b/>
          <w:bCs/>
        </w:rPr>
        <w:t xml:space="preserve">Table 4.8 </w:t>
      </w:r>
      <w:r>
        <w:rPr>
          <w:i/>
          <w:iCs/>
        </w:rPr>
        <w:t xml:space="preserve">Sensitivity of the Simulated Manual Build Time to Console Time per Resource</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3000"/>
        <w:gridCol w:w="2800"/>
        <w:gridCol w:w="2840"/>
      </w:tblGrid>
      <w:tr>
        <w:trPr>
          <w:tblHeader/>
        </w:trPr>
        <w:tc>
          <w:tcPr>
            <w:tcW w:type="dxa" w:w="30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Console time per resource</w:t>
            </w:r>
          </w:p>
        </w:tc>
        <w:tc>
          <w:tcPr>
            <w:tcW w:type="dxa" w:w="28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Manual build (min, SIMULATED)</w:t>
            </w:r>
          </w:p>
        </w:tc>
        <w:tc>
          <w:tcPr>
            <w:tcW w:type="dxa" w:w="28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Ratio to Terraform (measured 8.3 min)</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20"/>
                <w:szCs w:val="20"/>
              </w:rPr>
              <w:t xml:space="preserve">20 s</w:t>
            </w:r>
          </w:p>
        </w:tc>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54.7</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6.6</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20"/>
                <w:szCs w:val="20"/>
              </w:rPr>
              <w:t xml:space="preserve">35 s</w:t>
            </w:r>
          </w:p>
        </w:tc>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89.7</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10.8</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20"/>
                <w:szCs w:val="20"/>
              </w:rPr>
              <w:t xml:space="preserve">60 s</w:t>
            </w:r>
          </w:p>
        </w:tc>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148.0</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17.8</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20"/>
                <w:szCs w:val="20"/>
              </w:rPr>
              <w:t xml:space="preserve">120 s</w:t>
            </w:r>
          </w:p>
        </w:tc>
        <w:tc>
          <w:tcPr>
            <w:tcW w:type="dxa" w:w="2800"/>
            <w:tcMar>
              <w:top w:type="dxa" w:w="80"/>
              <w:left w:type="dxa" w:w="110"/>
              <w:bottom w:type="dxa" w:w="80"/>
              <w:right w:type="dxa" w:w="110"/>
            </w:tcMar>
            <w:vAlign w:val="center"/>
          </w:tcPr>
          <w:p>
            <w:pPr>
              <w:spacing w:after="40" w:line="240"/>
              <w:jc w:val="left"/>
            </w:pPr>
            <w:r>
              <w:rPr>
                <w:b w:val="false"/>
                <w:bCs w:val="false"/>
                <w:sz w:val="20"/>
                <w:szCs w:val="20"/>
              </w:rPr>
              <w:t xml:space="preserve">288.0</w:t>
            </w:r>
          </w:p>
        </w:tc>
        <w:tc>
          <w:tcPr>
            <w:tcW w:type="dxa" w:w="2840"/>
            <w:tcMar>
              <w:top w:type="dxa" w:w="80"/>
              <w:left w:type="dxa" w:w="110"/>
              <w:bottom w:type="dxa" w:w="80"/>
              <w:right w:type="dxa" w:w="110"/>
            </w:tcMar>
            <w:vAlign w:val="center"/>
          </w:tcPr>
          <w:p>
            <w:pPr>
              <w:spacing w:after="40" w:line="240"/>
              <w:jc w:val="left"/>
            </w:pPr>
            <w:r>
              <w:rPr>
                <w:b w:val="false"/>
                <w:bCs w:val="false"/>
                <w:sz w:val="20"/>
                <w:szCs w:val="20"/>
              </w:rPr>
              <w:t xml:space="preserve">34.6</w:t>
            </w:r>
          </w:p>
        </w:tc>
      </w:tr>
    </w:tbl>
    <w:p>
      <w:pPr>
        <w:spacing w:after="200" w:before="60" w:line="240"/>
        <w:jc w:val="left"/>
      </w:pPr>
      <w:r>
        <w:rPr>
          <w:i/>
          <w:iCs/>
          <w:sz w:val="20"/>
          <w:szCs w:val="20"/>
        </w:rPr>
        <w:t xml:space="preserve">Note. </w:t>
      </w:r>
      <w:r>
        <w:rPr>
          <w:sz w:val="20"/>
          <w:szCs w:val="20"/>
        </w:rPr>
        <w:t xml:space="preserve">Deterministic totals: 140 resources × time per resource + 8 minutes waiting, without rework or learning effect. The main simulation used 35 s.</w:t>
      </w:r>
    </w:p>
    <w:p>
      <w:pPr>
        <w:keepNext/>
        <w:spacing w:after="80" w:before="200" w:line="240"/>
        <w:jc w:val="center"/>
      </w:pPr>
      <w:r>
        <w:drawing>
          <wp:inline xmlns:a="http://schemas.openxmlformats.org/drawingml/2006/main" xmlns:pic="http://schemas.openxmlformats.org/drawingml/2006/picture">
            <wp:extent cx="5669280" cy="2845551"/>
            <wp:docPr id="7" name="Picture 7"/>
            <wp:cNvGraphicFramePr>
              <a:graphicFrameLocks noChangeAspect="1"/>
            </wp:cNvGraphicFramePr>
            <a:graphic>
              <a:graphicData uri="http://schemas.openxmlformats.org/drawingml/2006/picture">
                <pic:pic>
                  <pic:nvPicPr>
                    <pic:cNvPr id="0" name="fig4_4_manual_model.png"/>
                    <pic:cNvPicPr/>
                  </pic:nvPicPr>
                  <pic:blipFill>
                    <a:blip r:embed="rId16"/>
                    <a:stretch>
                      <a:fillRect/>
                    </a:stretch>
                  </pic:blipFill>
                  <pic:spPr>
                    <a:xfrm>
                      <a:off x="0" y="0"/>
                      <a:ext cx="5669280" cy="2845551"/>
                    </a:xfrm>
                    <a:prstGeom prst="rect"/>
                  </pic:spPr>
                </pic:pic>
              </a:graphicData>
            </a:graphic>
          </wp:inline>
        </w:drawing>
      </w:r>
    </w:p>
    <w:p>
      <w:pPr>
        <w:spacing w:after="220" w:line="240"/>
        <w:jc w:val="left"/>
      </w:pPr>
      <w:r>
        <w:rPr>
          <w:sz w:val="20"/>
          <w:szCs w:val="20"/>
        </w:rPr>
        <w:t xml:space="preserve">Figure 4.4. Left: measured Terraform build times (filled) and simulated manual build times (open). Right: simulated manual build time by run, showing the modelled learning effect. Manual values are SIMULATED.</w:t>
      </w:r>
    </w:p>
    <w:p>
      <w:pPr>
        <w:pStyle w:val="Heading3"/>
        <w:keepNext/>
        <w:spacing w:after="120" w:before="220"/>
      </w:pPr>
      <w:r>
        <w:t xml:space="preserve">4.8.2 Configuration Drift (H2)</w:t>
      </w:r>
    </w:p>
    <w:p>
      <w:pPr>
        <w:spacing w:after="160" w:before="0" w:line="360"/>
        <w:jc w:val="both"/>
      </w:pPr>
      <w:r>
        <w:t xml:space="preserve">H2 could not be tested. Only the production workspace existed during the measurement window; the pre-production workspace created in December 2025 had been destroyed and its state file held no resources, so there was no second environment against which to count differing attributes. Inspection of the code showed that environment-specific values are derived only from the workspace name, and a single variables file supplies the region to every stack.</w:t>
      </w:r>
    </w:p>
    <w:p>
      <w:pPr>
        <w:pStyle w:val="Heading3"/>
        <w:keepNext/>
        <w:spacing w:after="120" w:before="220"/>
      </w:pPr>
      <w:r>
        <w:t xml:space="preserve">4.8.3 Reproducibility (H3)</w:t>
      </w:r>
    </w:p>
    <w:p>
      <w:pPr>
        <w:spacing w:after="160" w:before="0" w:line="360"/>
        <w:jc w:val="both"/>
      </w:pPr>
      <w:r>
        <w:t xml:space="preserve">All 30 measured Terraform rebuilds completed with every service answering HTTP 200 (100%; Wilson 95% CI [88.6%, 100%]); with ten cycles the lower bound would have been 72.2%, so the larger sample tightens the reliability estimate considerably. In the simulation, 3 of 10 manual rebuilds reproduced the baseline with no differing resource (30%; 95% CI [10.8%, 60.3%]). The difference was significant on the simulated data, Fisher's exact </w:t>
      </w:r>
      <w:r>
        <w:rPr>
          <w:i/>
          <w:iCs/>
        </w:rPr>
        <w:t xml:space="preserve">p</w:t>
      </w:r>
      <w:r>
        <w:t xml:space="preserve"> &lt; .001. The model's expected manual success rate is 50%; with a per-resource error probability of 0.2% it would be 76%, and with 1% it would be 24%.</w:t>
      </w:r>
    </w:p>
    <w:p>
      <w:pPr>
        <w:pStyle w:val="Heading3"/>
        <w:keepNext/>
        <w:spacing w:after="120" w:before="220"/>
      </w:pPr>
      <w:r>
        <w:t xml:space="preserve">4.8.4 Version-Control Coverage (H4)</w:t>
      </w:r>
    </w:p>
    <w:p>
      <w:pPr>
        <w:spacing w:after="160" w:before="0" w:line="360"/>
        <w:jc w:val="both"/>
      </w:pPr>
      <w:r>
        <w:t xml:space="preserve">Version-control coverage rose from 0% before the study to 79.2% of inventory components fully defined (87.5% including partial definitions). The proportion of infrastructure changes subject to peer review did not rise: no commit passed through a pull request. Because coverage is a census, no inferential test was applied.</w:t>
      </w:r>
    </w:p>
    <w:p>
      <w:pPr>
        <w:keepNext/>
        <w:spacing w:after="100" w:before="200" w:line="240"/>
        <w:jc w:val="left"/>
      </w:pPr>
      <w:r>
        <w:rPr>
          <w:b/>
          <w:bCs/>
        </w:rPr>
        <w:t xml:space="preserve">Table 4.9 </w:t>
      </w:r>
      <w:r>
        <w:rPr>
          <w:i/>
          <w:iCs/>
        </w:rPr>
        <w:t xml:space="preserve">Results of Hypothesis Testing</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500"/>
        <w:gridCol w:w="1900"/>
        <w:gridCol w:w="2500"/>
        <w:gridCol w:w="1840"/>
        <w:gridCol w:w="1900"/>
      </w:tblGrid>
      <w:tr>
        <w:trPr>
          <w:tblHeader/>
        </w:trPr>
        <w:tc>
          <w:tcPr>
            <w:tcW w:type="dxa" w:w="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H</w:t>
            </w:r>
          </w:p>
        </w:tc>
        <w:tc>
          <w:tcPr>
            <w:tcW w:type="dxa" w:w="19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Relationship</w:t>
            </w:r>
          </w:p>
        </w:tc>
        <w:tc>
          <w:tcPr>
            <w:tcW w:type="dxa" w:w="2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Result</w:t>
            </w:r>
          </w:p>
        </w:tc>
        <w:tc>
          <w:tcPr>
            <w:tcW w:type="dxa" w:w="18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Statistic</w:t>
            </w:r>
          </w:p>
        </w:tc>
        <w:tc>
          <w:tcPr>
            <w:tcW w:type="dxa" w:w="19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Decision</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H1</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Method → provisioning duration</w:t>
            </w:r>
          </w:p>
        </w:tc>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Terraform 8.3 min (measured) vs. manual 105.3 min (simulated)</w:t>
            </w:r>
          </w:p>
        </w:tc>
        <w:tc>
          <w:tcPr>
            <w:tcW w:type="dxa" w:w="1840"/>
            <w:tcMar>
              <w:top w:type="dxa" w:w="80"/>
              <w:left w:type="dxa" w:w="110"/>
              <w:bottom w:type="dxa" w:w="80"/>
              <w:right w:type="dxa" w:w="110"/>
            </w:tcMar>
            <w:vAlign w:val="center"/>
          </w:tcPr>
          <w:p>
            <w:pPr>
              <w:spacing w:after="40" w:line="240"/>
              <w:jc w:val="left"/>
            </w:pPr>
            <w:r>
              <w:rPr>
                <w:b w:val="false"/>
                <w:bCs w:val="false"/>
                <w:sz w:val="20"/>
                <w:szCs w:val="20"/>
              </w:rPr>
              <w:t xml:space="preserve">Welch p &lt; .001; U = 0, p &lt; .001</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Supported, conditional on the simulation</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H2</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Method → configuration drift</w:t>
            </w:r>
          </w:p>
        </w:tc>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One environment only</w:t>
            </w:r>
          </w:p>
        </w:tc>
        <w:tc>
          <w:tcPr>
            <w:tcW w:type="dxa" w:w="1840"/>
            <w:tcMar>
              <w:top w:type="dxa" w:w="80"/>
              <w:left w:type="dxa" w:w="110"/>
              <w:bottom w:type="dxa" w:w="80"/>
              <w:right w:type="dxa" w:w="110"/>
            </w:tcMar>
            <w:vAlign w:val="center"/>
          </w:tcPr>
          <w:p>
            <w:pPr>
              <w:spacing w:after="40" w:line="240"/>
              <w:jc w:val="left"/>
            </w:pPr>
            <w:r>
              <w:rPr>
                <w:b w:val="false"/>
                <w:bCs w:val="false"/>
                <w:sz w:val="20"/>
                <w:szCs w:val="20"/>
              </w:rPr>
              <w:t xml:space="preserve">None</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Not tested</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H3</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Method → reproducibility</w:t>
            </w:r>
          </w:p>
        </w:tc>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30/30 (measured) vs. 3/10 (simulated)</w:t>
            </w:r>
          </w:p>
        </w:tc>
        <w:tc>
          <w:tcPr>
            <w:tcW w:type="dxa" w:w="1840"/>
            <w:tcMar>
              <w:top w:type="dxa" w:w="80"/>
              <w:left w:type="dxa" w:w="110"/>
              <w:bottom w:type="dxa" w:w="80"/>
              <w:right w:type="dxa" w:w="110"/>
            </w:tcMar>
            <w:vAlign w:val="center"/>
          </w:tcPr>
          <w:p>
            <w:pPr>
              <w:spacing w:after="40" w:line="240"/>
              <w:jc w:val="left"/>
            </w:pPr>
            <w:r>
              <w:rPr>
                <w:b w:val="false"/>
                <w:bCs w:val="false"/>
                <w:sz w:val="20"/>
                <w:szCs w:val="20"/>
              </w:rPr>
              <w:t xml:space="preserve">Fisher p &lt; .001</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Supported, conditional on the simulation</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H4</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Pipeline integration → coverage and review</w:t>
            </w:r>
          </w:p>
        </w:tc>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Coverage 0% → 79.2%; peer review 0%</w:t>
            </w:r>
          </w:p>
        </w:tc>
        <w:tc>
          <w:tcPr>
            <w:tcW w:type="dxa" w:w="1840"/>
            <w:tcMar>
              <w:top w:type="dxa" w:w="80"/>
              <w:left w:type="dxa" w:w="110"/>
              <w:bottom w:type="dxa" w:w="80"/>
              <w:right w:type="dxa" w:w="110"/>
            </w:tcMar>
            <w:vAlign w:val="center"/>
          </w:tcPr>
          <w:p>
            <w:pPr>
              <w:spacing w:after="40" w:line="240"/>
              <w:jc w:val="left"/>
            </w:pPr>
            <w:r>
              <w:rPr>
                <w:b w:val="false"/>
                <w:bCs w:val="false"/>
                <w:sz w:val="20"/>
                <w:szCs w:val="20"/>
              </w:rPr>
              <w:t xml:space="preserve">Census</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Partially supported</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H5</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Depth moderates method → drift</w:t>
            </w:r>
          </w:p>
        </w:tc>
        <w:tc>
          <w:tcPr>
            <w:tcW w:type="dxa" w:w="2500"/>
            <w:tcMar>
              <w:top w:type="dxa" w:w="80"/>
              <w:left w:type="dxa" w:w="110"/>
              <w:bottom w:type="dxa" w:w="80"/>
              <w:right w:type="dxa" w:w="110"/>
            </w:tcMar>
            <w:vAlign w:val="center"/>
          </w:tcPr>
          <w:p>
            <w:pPr>
              <w:spacing w:after="40" w:line="240"/>
              <w:jc w:val="left"/>
            </w:pPr>
            <w:r>
              <w:rPr>
                <w:b w:val="false"/>
                <w:bCs w:val="false"/>
                <w:sz w:val="20"/>
                <w:szCs w:val="20"/>
              </w:rPr>
              <w:t xml:space="preserve">Drift not measured; one depth level observed</w:t>
            </w:r>
          </w:p>
        </w:tc>
        <w:tc>
          <w:tcPr>
            <w:tcW w:type="dxa" w:w="1840"/>
            <w:tcMar>
              <w:top w:type="dxa" w:w="80"/>
              <w:left w:type="dxa" w:w="110"/>
              <w:bottom w:type="dxa" w:w="80"/>
              <w:right w:type="dxa" w:w="110"/>
            </w:tcMar>
            <w:vAlign w:val="center"/>
          </w:tcPr>
          <w:p>
            <w:pPr>
              <w:spacing w:after="40" w:line="240"/>
              <w:jc w:val="left"/>
            </w:pPr>
            <w:r>
              <w:rPr>
                <w:b w:val="false"/>
                <w:bCs w:val="false"/>
                <w:sz w:val="20"/>
                <w:szCs w:val="20"/>
              </w:rPr>
              <w:t xml:space="preserve">None</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Not tested</w:t>
            </w:r>
          </w:p>
        </w:tc>
      </w:tr>
    </w:tbl>
    <w:p>
      <w:pPr>
        <w:pStyle w:val="Heading2"/>
        <w:keepNext/>
        <w:spacing w:after="140" w:before="280"/>
      </w:pPr>
      <w:r>
        <w:t xml:space="preserve">4.9 Pipeline Integration Depth (RQ3)</w:t>
      </w:r>
    </w:p>
    <w:p>
      <w:pPr>
        <w:spacing w:after="160" w:before="0" w:line="360"/>
        <w:jc w:val="both"/>
      </w:pPr>
      <w:r>
        <w:t xml:space="preserve">RQ3 asked whether pipeline integration depth moderates the effect of provisioning method on drift. The planned test was not possible for two reasons: drift could not be measured, and only one integration level was observed. The workflow ran Terraform automatically on every push to the main branch that changed one of three trigger scripts, recorded each run, and committed a report, which places it at level 2 of the framework (pipeline execution). It did not run a plan on pull requests or require approval before apply, so level 3 (gated apply) was not reached, and no run was made at level 1 for comparison. The repeat option added on 15 October increased the degree of automation, since sixteen cycles ran without a person starting each one, but it did not add a review gate and so did not change the level.</w:t>
      </w:r>
    </w:p>
    <w:p>
      <w:pPr>
        <w:pStyle w:val="Heading2"/>
        <w:keepNext/>
        <w:spacing w:after="140" w:before="280"/>
      </w:pPr>
      <w:r>
        <w:t xml:space="preserve">4.10 Summary of Quantitative Results</w:t>
      </w:r>
    </w:p>
    <w:p>
      <w:pPr>
        <w:spacing w:after="160" w:before="0" w:line="360"/>
        <w:jc w:val="both"/>
      </w:pPr>
      <w:r>
        <w:t xml:space="preserve">Terraform executed by GitHub Actions built the 140-resource environment from empty in a mean of 8.3 minutes, with low variability, and destroyed it in 20.1 minutes, most of which was spent destroying the five service stacks one after another. All 30 measured rebuilds and all 150 service start-ups succeeded, and the timings were stable across run order, day and hour of day; the only difference detected was an 18-second difference in build time between the two triggers. Against the simulated manual condition, Terraform was 12.6 times faster and more reproducible (30/30 against 3/10); both differences were significant on the simulated data and robust to the sensitivity ranges tested. Version-control coverage rose to 79.2% while peer review remained absent. H2 and H5 were not tested.</w:t>
      </w:r>
    </w:p>
    <w:p>
      <w:pPr>
        <w:pStyle w:val="Heading2"/>
        <w:keepNext/>
        <w:spacing w:after="140" w:before="280"/>
      </w:pPr>
      <w:r>
        <w:t xml:space="preserve">4.11 Qualitative Findings (RQ4)</w:t>
      </w:r>
    </w:p>
    <w:p>
      <w:pPr>
        <w:pStyle w:val="Heading3"/>
        <w:keepNext/>
        <w:spacing w:after="120" w:before="220"/>
      </w:pPr>
      <w:r>
        <w:t xml:space="preserve">4.11.1 Profile of the Implementation Record</w:t>
      </w:r>
    </w:p>
    <w:p>
      <w:pPr>
        <w:spacing w:after="160" w:before="0" w:line="360"/>
        <w:jc w:val="both"/>
      </w:pPr>
      <w:r>
        <w:t xml:space="preserve">Table 4.10 profiles the record analysed. The repository holds 78 commits: 48 by the researcher and 30 by the pipeline. They fall into two bursts: 20 commits between 5 and 13 December 2025 (module development and architecture consolidation) and 58 commits on 14 and 15 October 2026 (pipeline construction and the measurement campaign). Of the researcher's October commits, 15 did nothing but edit a trigger script to start a run. In all, 35 commit messages carry the marker that stops GitHub Actions from running, most of them run reports. The record was complemented by the 31 run reports and the comments in the workflow and scripts.</w:t>
      </w:r>
    </w:p>
    <w:p>
      <w:pPr>
        <w:keepNext/>
        <w:spacing w:after="100" w:before="200" w:line="240"/>
        <w:jc w:val="left"/>
      </w:pPr>
      <w:r>
        <w:rPr>
          <w:b/>
          <w:bCs/>
        </w:rPr>
        <w:t xml:space="preserve">Table 4.10 </w:t>
      </w:r>
      <w:r>
        <w:rPr>
          <w:i/>
          <w:iCs/>
        </w:rPr>
        <w:t xml:space="preserve">Profile of the Implementation Record</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200"/>
        <w:gridCol w:w="1500"/>
        <w:gridCol w:w="1400"/>
        <w:gridCol w:w="3540"/>
      </w:tblGrid>
      <w:tr>
        <w:trPr>
          <w:tblHeader/>
        </w:trPr>
        <w:tc>
          <w:tcPr>
            <w:tcW w:type="dxa" w:w="22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Source</w:t>
            </w:r>
          </w:p>
        </w:tc>
        <w:tc>
          <w:tcPr>
            <w:tcW w:type="dxa" w:w="1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Period</w:t>
            </w:r>
          </w:p>
        </w:tc>
        <w:tc>
          <w:tcPr>
            <w:tcW w:type="dxa" w:w="14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Volume</w:t>
            </w:r>
          </w:p>
        </w:tc>
        <w:tc>
          <w:tcPr>
            <w:tcW w:type="dxa" w:w="35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Content</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Git commits (development)</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5–13 Dec 2025</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20</w:t>
            </w:r>
          </w:p>
        </w:tc>
        <w:tc>
          <w:tcPr>
            <w:tcW w:type="dxa" w:w="3540"/>
            <w:tcMar>
              <w:top w:type="dxa" w:w="80"/>
              <w:left w:type="dxa" w:w="110"/>
              <w:bottom w:type="dxa" w:w="80"/>
              <w:right w:type="dxa" w:w="110"/>
            </w:tcMar>
            <w:vAlign w:val="center"/>
          </w:tcPr>
          <w:p>
            <w:pPr>
              <w:spacing w:after="40" w:line="240"/>
              <w:jc w:val="left"/>
            </w:pPr>
            <w:r>
              <w:rPr>
                <w:b w:val="false"/>
                <w:bCs w:val="false"/>
                <w:sz w:val="20"/>
                <w:szCs w:val="20"/>
              </w:rPr>
              <w:t xml:space="preserve">Module development; single API Gateway; single ALB; refactor; pre-production trial</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Git commits (pipeline and campaign)</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14–15 Oct 2026</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58 (30 by pipeline; 15 trigger-only)</w:t>
            </w:r>
          </w:p>
        </w:tc>
        <w:tc>
          <w:tcPr>
            <w:tcW w:type="dxa" w:w="3540"/>
            <w:tcMar>
              <w:top w:type="dxa" w:w="80"/>
              <w:left w:type="dxa" w:w="110"/>
              <w:bottom w:type="dxa" w:w="80"/>
              <w:right w:type="dxa" w:w="110"/>
            </w:tcMar>
            <w:vAlign w:val="center"/>
          </w:tcPr>
          <w:p>
            <w:pPr>
              <w:spacing w:after="40" w:line="240"/>
              <w:jc w:val="left"/>
            </w:pPr>
            <w:r>
              <w:rPr>
                <w:b w:val="false"/>
                <w:bCs w:val="false"/>
                <w:sz w:val="20"/>
                <w:szCs w:val="20"/>
              </w:rPr>
              <w:t xml:space="preserve">Region move; workflow; reports; rebuild, redeploy and destroy modes; report fix; repeat option</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Run reports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14–15 Oct 2026</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31</w:t>
            </w:r>
          </w:p>
        </w:tc>
        <w:tc>
          <w:tcPr>
            <w:tcW w:type="dxa" w:w="3540"/>
            <w:tcMar>
              <w:top w:type="dxa" w:w="80"/>
              <w:left w:type="dxa" w:w="110"/>
              <w:bottom w:type="dxa" w:w="80"/>
              <w:right w:type="dxa" w:w="110"/>
            </w:tcMar>
            <w:vAlign w:val="center"/>
          </w:tcPr>
          <w:p>
            <w:pPr>
              <w:spacing w:after="40" w:line="240"/>
              <w:jc w:val="left"/>
            </w:pPr>
            <w:r>
              <w:rPr>
                <w:b w:val="false"/>
                <w:bCs w:val="false"/>
                <w:sz w:val="20"/>
                <w:szCs w:val="20"/>
              </w:rPr>
              <w:t xml:space="preserve">Per-phase timeline and service health for runs 1, 2 and 4–32</w:t>
            </w:r>
          </w:p>
        </w:tc>
      </w:tr>
      <w:tr>
        <w:trPr>
          <w:cantSplit/>
        </w:trPr>
        <w:tc>
          <w:tcPr>
            <w:tcW w:type="dxa" w:w="2200"/>
            <w:tcMar>
              <w:top w:type="dxa" w:w="80"/>
              <w:left w:type="dxa" w:w="110"/>
              <w:bottom w:type="dxa" w:w="80"/>
              <w:right w:type="dxa" w:w="110"/>
            </w:tcMar>
            <w:vAlign w:val="center"/>
          </w:tcPr>
          <w:p>
            <w:pPr>
              <w:spacing w:after="40" w:line="240"/>
              <w:jc w:val="left"/>
            </w:pPr>
            <w:r>
              <w:rPr>
                <w:b w:val="false"/>
                <w:bCs w:val="false"/>
                <w:sz w:val="20"/>
                <w:szCs w:val="20"/>
              </w:rPr>
              <w:t xml:space="preserve">Script and workflow comments</w:t>
            </w:r>
          </w:p>
        </w:tc>
        <w:tc>
          <w:tcPr>
            <w:tcW w:type="dxa" w:w="1500"/>
            <w:tcMar>
              <w:top w:type="dxa" w:w="80"/>
              <w:left w:type="dxa" w:w="110"/>
              <w:bottom w:type="dxa" w:w="80"/>
              <w:right w:type="dxa" w:w="110"/>
            </w:tcMar>
            <w:vAlign w:val="center"/>
          </w:tcPr>
          <w:p>
            <w:pPr>
              <w:spacing w:after="40" w:line="240"/>
              <w:jc w:val="left"/>
            </w:pPr>
            <w:r>
              <w:rPr>
                <w:b w:val="false"/>
                <w:bCs w:val="false"/>
                <w:sz w:val="20"/>
                <w:szCs w:val="20"/>
              </w:rPr>
              <w:t xml:space="preserve">14–15 Oct 2026</w:t>
            </w:r>
          </w:p>
        </w:tc>
        <w:tc>
          <w:tcPr>
            <w:tcW w:type="dxa" w:w="1400"/>
            <w:tcMar>
              <w:top w:type="dxa" w:w="80"/>
              <w:left w:type="dxa" w:w="110"/>
              <w:bottom w:type="dxa" w:w="80"/>
              <w:right w:type="dxa" w:w="110"/>
            </w:tcMar>
            <w:vAlign w:val="center"/>
          </w:tcPr>
          <w:p>
            <w:pPr>
              <w:spacing w:after="40" w:line="240"/>
              <w:jc w:val="left"/>
            </w:pPr>
            <w:r>
              <w:rPr>
                <w:b w:val="false"/>
                <w:bCs w:val="false"/>
                <w:sz w:val="20"/>
                <w:szCs w:val="20"/>
              </w:rPr>
              <w:t xml:space="preserve">4 files</w:t>
            </w:r>
          </w:p>
        </w:tc>
        <w:tc>
          <w:tcPr>
            <w:tcW w:type="dxa" w:w="3540"/>
            <w:tcMar>
              <w:top w:type="dxa" w:w="80"/>
              <w:left w:type="dxa" w:w="110"/>
              <w:bottom w:type="dxa" w:w="80"/>
              <w:right w:type="dxa" w:w="110"/>
            </w:tcMar>
            <w:vAlign w:val="center"/>
          </w:tcPr>
          <w:p>
            <w:pPr>
              <w:spacing w:after="40" w:line="240"/>
              <w:jc w:val="left"/>
            </w:pPr>
            <w:r>
              <w:rPr>
                <w:b w:val="false"/>
                <w:bCs w:val="false"/>
                <w:sz w:val="20"/>
                <w:szCs w:val="20"/>
              </w:rPr>
              <w:t xml:space="preserve">Design rationale written into the code</w:t>
            </w:r>
          </w:p>
        </w:tc>
      </w:tr>
    </w:tbl>
    <w:p>
      <w:pPr>
        <w:pStyle w:val="Heading3"/>
        <w:keepNext/>
        <w:spacing w:after="120" w:before="220"/>
      </w:pPr>
      <w:r>
        <w:t xml:space="preserve">4.11.2 Overview of Themes</w:t>
      </w:r>
    </w:p>
    <w:p>
      <w:pPr>
        <w:spacing w:after="160" w:before="0" w:line="360"/>
        <w:jc w:val="both"/>
      </w:pPr>
      <w:r>
        <w:t xml:space="preserve">Four themes were constructed (Table 4.11), presented in order of the weight they carry in explaining the quantitative results.</w:t>
      </w:r>
    </w:p>
    <w:p>
      <w:pPr>
        <w:keepNext/>
        <w:spacing w:after="100" w:before="200" w:line="240"/>
        <w:jc w:val="left"/>
      </w:pPr>
      <w:r>
        <w:rPr>
          <w:b/>
          <w:bCs/>
        </w:rPr>
        <w:t xml:space="preserve">Table 4.11 </w:t>
      </w:r>
      <w:r>
        <w:rPr>
          <w:i/>
          <w:iCs/>
        </w:rPr>
        <w:t xml:space="preserve">Thematic Structure of the Qualitative Findings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2300"/>
        <w:gridCol w:w="2900"/>
        <w:gridCol w:w="3440"/>
      </w:tblGrid>
      <w:tr>
        <w:trPr>
          <w:tblHeader/>
        </w:trPr>
        <w:tc>
          <w:tcPr>
            <w:tcW w:type="dxa" w:w="23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Theme</w:t>
            </w:r>
          </w:p>
        </w:tc>
        <w:tc>
          <w:tcPr>
            <w:tcW w:type="dxa" w:w="29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Subthemes</w:t>
            </w:r>
          </w:p>
        </w:tc>
        <w:tc>
          <w:tcPr>
            <w:tcW w:type="dxa" w:w="34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Representative evidence</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1. The architecture was found by rebuilding it</w:t>
            </w:r>
          </w:p>
        </w:tc>
        <w:tc>
          <w:tcPr>
            <w:tcW w:type="dxa" w:w="2900"/>
            <w:tcMar>
              <w:top w:type="dxa" w:w="80"/>
              <w:left w:type="dxa" w:w="110"/>
              <w:bottom w:type="dxa" w:w="80"/>
              <w:right w:type="dxa" w:w="110"/>
            </w:tcMar>
            <w:vAlign w:val="center"/>
          </w:tcPr>
          <w:p>
            <w:pPr>
              <w:spacing w:after="40" w:line="240"/>
              <w:jc w:val="left"/>
            </w:pPr>
            <w:r>
              <w:rPr>
                <w:b w:val="false"/>
                <w:bCs w:val="false"/>
                <w:sz w:val="20"/>
                <w:szCs w:val="20"/>
              </w:rPr>
              <w:t xml:space="preserve">Consolidation of load balancers and gateways; services added and removed; platform limits written into code</w:t>
            </w:r>
          </w:p>
        </w:tc>
        <w:tc>
          <w:tcPr>
            <w:tcW w:type="dxa" w:w="3440"/>
            <w:tcMar>
              <w:top w:type="dxa" w:w="80"/>
              <w:left w:type="dxa" w:w="110"/>
              <w:bottom w:type="dxa" w:w="80"/>
              <w:right w:type="dxa" w:w="110"/>
            </w:tcMar>
            <w:vAlign w:val="center"/>
          </w:tcPr>
          <w:p>
            <w:pPr>
              <w:spacing w:after="40" w:line="240"/>
              <w:jc w:val="left"/>
            </w:pPr>
            <w:r>
              <w:rPr>
                <w:b w:val="false"/>
                <w:bCs w:val="false"/>
                <w:sz w:val="20"/>
                <w:szCs w:val="20"/>
              </w:rPr>
              <w:t xml:space="preserve">"Change to single api gateway"; "Stage 2: Change to Single ALB"; "Done - Single ALB but not rewrite"; Inspector "blocked by an SCP"</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2. State is the hardest part</w:t>
            </w:r>
          </w:p>
        </w:tc>
        <w:tc>
          <w:tcPr>
            <w:tcW w:type="dxa" w:w="2900"/>
            <w:tcMar>
              <w:top w:type="dxa" w:w="80"/>
              <w:left w:type="dxa" w:w="110"/>
              <w:bottom w:type="dxa" w:w="80"/>
              <w:right w:type="dxa" w:w="110"/>
            </w:tcMar>
            <w:vAlign w:val="center"/>
          </w:tcPr>
          <w:p>
            <w:pPr>
              <w:spacing w:after="40" w:line="240"/>
              <w:jc w:val="left"/>
            </w:pPr>
            <w:r>
              <w:rPr>
                <w:b w:val="false"/>
                <w:bCs w:val="false"/>
                <w:sz w:val="20"/>
                <w:szCs w:val="20"/>
              </w:rPr>
              <w:t xml:space="preserve">State files in Git; the bootstrap problem; preserving what must survive</w:t>
            </w:r>
          </w:p>
        </w:tc>
        <w:tc>
          <w:tcPr>
            <w:tcW w:type="dxa" w:w="3440"/>
            <w:tcMar>
              <w:top w:type="dxa" w:w="80"/>
              <w:left w:type="dxa" w:w="110"/>
              <w:bottom w:type="dxa" w:w="80"/>
              <w:right w:type="dxa" w:w="110"/>
            </w:tcMar>
            <w:vAlign w:val="center"/>
          </w:tcPr>
          <w:p>
            <w:pPr>
              <w:spacing w:after="40" w:line="240"/>
              <w:jc w:val="left"/>
            </w:pPr>
            <w:r>
              <w:rPr>
                <w:b w:val="false"/>
                <w:bCs w:val="false"/>
                <w:sz w:val="20"/>
                <w:szCs w:val="20"/>
              </w:rPr>
              <w:t xml:space="preserve">State files changed by thousands of lines per commit; state pulled before the bucket is deleted and pushed back after</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3. Destruction, not creation, is the bottleneck</w:t>
            </w:r>
          </w:p>
        </w:tc>
        <w:tc>
          <w:tcPr>
            <w:tcW w:type="dxa" w:w="2900"/>
            <w:tcMar>
              <w:top w:type="dxa" w:w="80"/>
              <w:left w:type="dxa" w:w="110"/>
              <w:bottom w:type="dxa" w:w="80"/>
              <w:right w:type="dxa" w:w="110"/>
            </w:tcMar>
            <w:vAlign w:val="center"/>
          </w:tcPr>
          <w:p>
            <w:pPr>
              <w:spacing w:after="40" w:line="240"/>
              <w:jc w:val="left"/>
            </w:pPr>
            <w:r>
              <w:rPr>
                <w:b w:val="false"/>
                <w:bCs w:val="false"/>
                <w:sz w:val="20"/>
                <w:szCs w:val="20"/>
              </w:rPr>
              <w:t xml:space="preserve">Sequential service-stack deletion; dependency order</w:t>
            </w:r>
          </w:p>
        </w:tc>
        <w:tc>
          <w:tcPr>
            <w:tcW w:type="dxa" w:w="3440"/>
            <w:tcMar>
              <w:top w:type="dxa" w:w="80"/>
              <w:left w:type="dxa" w:w="110"/>
              <w:bottom w:type="dxa" w:w="80"/>
              <w:right w:type="dxa" w:w="110"/>
            </w:tcMar>
            <w:vAlign w:val="center"/>
          </w:tcPr>
          <w:p>
            <w:pPr>
              <w:spacing w:after="40" w:line="240"/>
              <w:jc w:val="left"/>
            </w:pPr>
            <w:r>
              <w:rPr>
                <w:b w:val="false"/>
                <w:bCs w:val="false"/>
                <w:sz w:val="20"/>
                <w:szCs w:val="20"/>
              </w:rPr>
              <w:t xml:space="preserve">18.2 minutes to destroy five service stacks in a loop; destroy order deployments → infrastructures → state</w:t>
            </w:r>
          </w:p>
        </w:tc>
      </w:tr>
      <w:tr>
        <w:trPr>
          <w:cantSplit/>
        </w:trPr>
        <w:tc>
          <w:tcPr>
            <w:tcW w:type="dxa" w:w="2300"/>
            <w:tcMar>
              <w:top w:type="dxa" w:w="80"/>
              <w:left w:type="dxa" w:w="110"/>
              <w:bottom w:type="dxa" w:w="80"/>
              <w:right w:type="dxa" w:w="110"/>
            </w:tcMar>
            <w:vAlign w:val="center"/>
          </w:tcPr>
          <w:p>
            <w:pPr>
              <w:spacing w:after="40" w:line="240"/>
              <w:jc w:val="left"/>
            </w:pPr>
            <w:r>
              <w:rPr>
                <w:b w:val="false"/>
                <w:bCs w:val="false"/>
                <w:sz w:val="20"/>
                <w:szCs w:val="20"/>
              </w:rPr>
              <w:t xml:space="preserve">4. Version control without review</w:t>
            </w:r>
          </w:p>
        </w:tc>
        <w:tc>
          <w:tcPr>
            <w:tcW w:type="dxa" w:w="2900"/>
            <w:tcMar>
              <w:top w:type="dxa" w:w="80"/>
              <w:left w:type="dxa" w:w="110"/>
              <w:bottom w:type="dxa" w:w="80"/>
              <w:right w:type="dxa" w:w="110"/>
            </w:tcMar>
            <w:vAlign w:val="center"/>
          </w:tcPr>
          <w:p>
            <w:pPr>
              <w:spacing w:after="40" w:line="240"/>
              <w:jc w:val="left"/>
            </w:pPr>
            <w:r>
              <w:rPr>
                <w:b w:val="false"/>
                <w:bCs w:val="false"/>
                <w:sz w:val="20"/>
                <w:szCs w:val="20"/>
              </w:rPr>
              <w:t xml:space="preserve">Direct pushes to main; uninformative messages; the pipeline as a trigger</w:t>
            </w:r>
          </w:p>
        </w:tc>
        <w:tc>
          <w:tcPr>
            <w:tcW w:type="dxa" w:w="3440"/>
            <w:tcMar>
              <w:top w:type="dxa" w:w="80"/>
              <w:left w:type="dxa" w:w="110"/>
              <w:bottom w:type="dxa" w:w="80"/>
              <w:right w:type="dxa" w:w="110"/>
            </w:tcMar>
            <w:vAlign w:val="center"/>
          </w:tcPr>
          <w:p>
            <w:pPr>
              <w:spacing w:after="40" w:line="240"/>
              <w:jc w:val="left"/>
            </w:pPr>
            <w:r>
              <w:rPr>
                <w:b w:val="false"/>
                <w:bCs w:val="false"/>
                <w:sz w:val="20"/>
                <w:szCs w:val="20"/>
              </w:rPr>
              <w:t xml:space="preserve">48 direct commits, 0 merges; messages "Good", "Change", "Cleanup"; 15 commits that only edit a trigger script</w:t>
            </w:r>
          </w:p>
        </w:tc>
      </w:tr>
    </w:tbl>
    <w:p>
      <w:pPr>
        <w:pStyle w:val="Heading3"/>
        <w:keepNext/>
        <w:spacing w:after="120" w:before="220"/>
      </w:pPr>
      <w:r>
        <w:t xml:space="preserve">4.11.3 Theme 1: The Architecture Was Found by Rebuilding It</w:t>
      </w:r>
    </w:p>
    <w:p>
      <w:pPr>
        <w:spacing w:after="160" w:before="0" w:line="360"/>
        <w:jc w:val="both"/>
      </w:pPr>
      <w:r>
        <w:t xml:space="preserve">The architecture measured in October 2026 was not the one first written in December 2025. On the first day of development each service had its own API gateway; within half an hour of the initial commit this was replaced by one shared gateway ("Change to single api gateway"), and the following day the per-service load balancers were replaced by one shared load balancer with a target group and listener rule per service. The change was made in stages, recorded as "Cleanup for multi ALB", "Stage 2: Change to Single ALB", "Done - Single ALB but not rewrite" and finally "Done - Single ALB + Multi Target Group for Multi Services", and it touched every service stack. The set of services also moved: the authentication service was removed and later restored, and a sixth service (api1) was deleted from the deployments while its container repository remained in the shared stack. Platform limits were written into the code rather than worked around: the Inspector enabler carries the comment that it is "blocked by an SCP on the AWS Free plan account", and the certificate and domain resources are present but switched off.</w:t>
      </w:r>
    </w:p>
    <w:p>
      <w:pPr>
        <w:pStyle w:val="Heading3"/>
        <w:keepNext/>
        <w:spacing w:after="120" w:before="220"/>
      </w:pPr>
      <w:r>
        <w:t xml:space="preserve">4.11.4 Theme 2: State Is the Hardest Part</w:t>
      </w:r>
    </w:p>
    <w:p>
      <w:pPr>
        <w:spacing w:after="160" w:before="0" w:line="360"/>
        <w:jc w:val="both"/>
      </w:pPr>
      <w:r>
        <w:t xml:space="preserve">In December 2025 Terraform state was kept in local files that were committed to Git. Commits that changed one line of configuration routinely changed more than a thousand lines of state, as in "Cleanup for multi ALB" (over 2,400 lines in one state file). In October 2026 the service and infrastructure stacks moved to the S3 backend, but the stack that creates the S3 bucket cannot store its own state in that bucket, so its state remained a file in the repository. The pipeline therefore had to commit that file back after every rebuild, and the first attempt to do so failed: run 3 produced no report, and the next commit was "Fix report push: commit remote-state state and autostash before rebase". The rebuild script is shaped around state: its comments explain that the infrastructure state must be pulled before the state bucket is deleted ("The state bucket is about to be deleted: keep the state that still tracks the ECR repos") and pushed back after the bucket is recreated, and that a just-deleted bucket name "can take a moment to become reusable", which is why bucket creation is retried up to ten times.</w:t>
      </w:r>
    </w:p>
    <w:p>
      <w:pPr>
        <w:pStyle w:val="Heading3"/>
        <w:keepNext/>
        <w:spacing w:after="120" w:before="220"/>
      </w:pPr>
      <w:r>
        <w:t xml:space="preserve">4.11.5 Theme 3: Destruction, Not Creation, Is the Bottleneck</w:t>
      </w:r>
    </w:p>
    <w:p>
      <w:pPr>
        <w:spacing w:after="160" w:before="0" w:line="360"/>
        <w:jc w:val="both"/>
      </w:pPr>
      <w:r>
        <w:t xml:space="preserve">The run reports show that destroying the five service stacks took 18.2 minutes on average, longer than the whole build. The rebuild script destroys the service stacks one after another in a loop, so their individual waits add up. Each stack contains an ECS service whose deletion must wait for running tasks to stop, while its other resources (alarms, scaling policies, routes) are simple to remove. The order of destruction is fixed by the dependencies the code expresses: services must go before the shared load balancer and network they attach to, and the shared stack before the state bucket that records it.</w:t>
      </w:r>
    </w:p>
    <w:p>
      <w:pPr>
        <w:pStyle w:val="Heading3"/>
        <w:keepNext/>
        <w:spacing w:after="120" w:before="220"/>
      </w:pPr>
      <w:r>
        <w:t xml:space="preserve">4.11.6 Theme 4: Version Control Without Review</w:t>
      </w:r>
    </w:p>
    <w:p>
      <w:pPr>
        <w:spacing w:after="160" w:before="0" w:line="360"/>
        <w:jc w:val="both"/>
      </w:pPr>
      <w:r>
        <w:t xml:space="preserve">Every change is in the repository, but none was reviewed. The history contains no merge commits; all 48 of the researcher's commits went straight to the main branch. Several messages say little about what changed or why: "Good", "Change" (twice), "Cleanup" and "Done: Refactor". In October 2026 the repository also became the pipeline's trigger: the workflow runs when one of three script files changes, and each script carries a line, "Change note (edit to trigger a rebuild)", whose only purpose is to be edited. Fifteen commits did exactly that, most with the default message "Update rebuild.sh". On 15 October the repetition itself was automated: a repeat option let each successful run start the next, so the last sixteen cycles needed one action rather than sixteen commits. The pipeline in turn writes its own commits, one per run, marked so that they do not trigger another run. The result is a complete history of what was applied and when, produced without any point at which a second person approved a change.</w:t>
      </w:r>
    </w:p>
    <w:p>
      <w:pPr>
        <w:pStyle w:val="Heading2"/>
        <w:keepNext/>
        <w:spacing w:after="140" w:before="280"/>
      </w:pPr>
      <w:r>
        <w:t xml:space="preserve">4.12 Integration of Quantitative and Qualitative Findings</w:t>
      </w:r>
    </w:p>
    <w:p>
      <w:pPr>
        <w:spacing w:after="160" w:before="0" w:line="360"/>
        <w:jc w:val="both"/>
      </w:pPr>
      <w:r>
        <w:t xml:space="preserve">Table 4.12 brings the two strands together for each research question.</w:t>
      </w:r>
    </w:p>
    <w:p>
      <w:pPr>
        <w:keepNext/>
        <w:spacing w:after="100" w:before="200" w:line="240"/>
        <w:jc w:val="left"/>
      </w:pPr>
      <w:r>
        <w:rPr>
          <w:b/>
          <w:bCs/>
        </w:rPr>
        <w:t xml:space="preserve">Table 4.12 </w:t>
      </w:r>
      <w:r>
        <w:rPr>
          <w:i/>
          <w:iCs/>
        </w:rPr>
        <w:t xml:space="preserve">Joint Display Integrating Quantitative and Qualitative Findings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300"/>
        <w:gridCol w:w="2500"/>
        <w:gridCol w:w="2540"/>
        <w:gridCol w:w="2300"/>
      </w:tblGrid>
      <w:tr>
        <w:trPr>
          <w:tblHeader/>
        </w:trPr>
        <w:tc>
          <w:tcPr>
            <w:tcW w:type="dxa" w:w="13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RQ / H</w:t>
            </w:r>
          </w:p>
        </w:tc>
        <w:tc>
          <w:tcPr>
            <w:tcW w:type="dxa" w:w="25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Quantitative result</w:t>
            </w:r>
          </w:p>
        </w:tc>
        <w:tc>
          <w:tcPr>
            <w:tcW w:type="dxa" w:w="254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Qualitative finding</w:t>
            </w:r>
          </w:p>
        </w:tc>
        <w:tc>
          <w:tcPr>
            <w:tcW w:type="dxa" w:w="23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Meta-inference</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RQ1</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Coverage 0% → 79.2% (87.5% with partial); 0% peer-reviewed</w:t>
            </w:r>
          </w:p>
        </w:tc>
        <w:tc>
          <w:tcPr>
            <w:tcW w:type="dxa" w:w="2540"/>
            <w:tcMar>
              <w:top w:type="dxa" w:w="80"/>
              <w:left w:type="dxa" w:w="110"/>
              <w:bottom w:type="dxa" w:w="80"/>
              <w:right w:type="dxa" w:w="110"/>
            </w:tcMar>
            <w:vAlign w:val="center"/>
          </w:tcPr>
          <w:p>
            <w:pPr>
              <w:spacing w:after="40" w:line="240"/>
              <w:jc w:val="left"/>
            </w:pPr>
            <w:r>
              <w:rPr>
                <w:b w:val="false"/>
                <w:bCs w:val="false"/>
                <w:sz w:val="18"/>
                <w:szCs w:val="18"/>
              </w:rPr>
              <w:t xml:space="preserve">Theme 4: everything committed, nothing reviewed; Theme 1: gaps are platform limits</w:t>
            </w:r>
          </w:p>
        </w:tc>
        <w:tc>
          <w:tcPr>
            <w:tcW w:type="dxa" w:w="2300"/>
            <w:tcMar>
              <w:top w:type="dxa" w:w="80"/>
              <w:left w:type="dxa" w:w="110"/>
              <w:bottom w:type="dxa" w:w="80"/>
              <w:right w:type="dxa" w:w="110"/>
            </w:tcMar>
            <w:vAlign w:val="center"/>
          </w:tcPr>
          <w:p>
            <w:pPr>
              <w:spacing w:after="40" w:line="240"/>
              <w:jc w:val="left"/>
            </w:pPr>
            <w:r>
              <w:rPr>
                <w:b w:val="false"/>
                <w:bCs w:val="false"/>
                <w:sz w:val="18"/>
                <w:szCs w:val="18"/>
              </w:rPr>
              <w:t xml:space="preserve">Complement: the file format delivered coverage; review did not follow automatically</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RQ2 / H1</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Terraform 8.3 min (measured) vs. manual 105.3 min (simulated)</w:t>
            </w:r>
          </w:p>
        </w:tc>
        <w:tc>
          <w:tcPr>
            <w:tcW w:type="dxa" w:w="2540"/>
            <w:tcMar>
              <w:top w:type="dxa" w:w="80"/>
              <w:left w:type="dxa" w:w="110"/>
              <w:bottom w:type="dxa" w:w="80"/>
              <w:right w:type="dxa" w:w="110"/>
            </w:tcMar>
            <w:vAlign w:val="center"/>
          </w:tcPr>
          <w:p>
            <w:pPr>
              <w:spacing w:after="40" w:line="240"/>
              <w:jc w:val="left"/>
            </w:pPr>
            <w:r>
              <w:rPr>
                <w:b w:val="false"/>
                <w:bCs w:val="false"/>
                <w:sz w:val="18"/>
                <w:szCs w:val="18"/>
              </w:rPr>
              <w:t xml:space="preserve">Theme 1: redesigns re-applied across five services quickly because they were code</w:t>
            </w:r>
          </w:p>
        </w:tc>
        <w:tc>
          <w:tcPr>
            <w:tcW w:type="dxa" w:w="2300"/>
            <w:tcMar>
              <w:top w:type="dxa" w:w="80"/>
              <w:left w:type="dxa" w:w="110"/>
              <w:bottom w:type="dxa" w:w="80"/>
              <w:right w:type="dxa" w:w="110"/>
            </w:tcMar>
            <w:vAlign w:val="center"/>
          </w:tcPr>
          <w:p>
            <w:pPr>
              <w:spacing w:after="40" w:line="240"/>
              <w:jc w:val="left"/>
            </w:pPr>
            <w:r>
              <w:rPr>
                <w:b w:val="false"/>
                <w:bCs w:val="false"/>
                <w:sz w:val="18"/>
                <w:szCs w:val="18"/>
              </w:rPr>
              <w:t xml:space="preserve">Converge, conditional on the simulation</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RQ2 / H3</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30/30 measured vs. 3/10 simulated</w:t>
            </w:r>
          </w:p>
        </w:tc>
        <w:tc>
          <w:tcPr>
            <w:tcW w:type="dxa" w:w="2540"/>
            <w:tcMar>
              <w:top w:type="dxa" w:w="80"/>
              <w:left w:type="dxa" w:w="110"/>
              <w:bottom w:type="dxa" w:w="80"/>
              <w:right w:type="dxa" w:w="110"/>
            </w:tcMar>
            <w:vAlign w:val="center"/>
          </w:tcPr>
          <w:p>
            <w:pPr>
              <w:spacing w:after="40" w:line="240"/>
              <w:jc w:val="left"/>
            </w:pPr>
            <w:r>
              <w:rPr>
                <w:b w:val="false"/>
                <w:bCs w:val="false"/>
                <w:sz w:val="18"/>
                <w:szCs w:val="18"/>
              </w:rPr>
              <w:t xml:space="preserve">Theme 2: reproducibility depended on careful state handling, including one failed report commit</w:t>
            </w:r>
          </w:p>
        </w:tc>
        <w:tc>
          <w:tcPr>
            <w:tcW w:type="dxa" w:w="2300"/>
            <w:tcMar>
              <w:top w:type="dxa" w:w="80"/>
              <w:left w:type="dxa" w:w="110"/>
              <w:bottom w:type="dxa" w:w="80"/>
              <w:right w:type="dxa" w:w="110"/>
            </w:tcMar>
            <w:vAlign w:val="center"/>
          </w:tcPr>
          <w:p>
            <w:pPr>
              <w:spacing w:after="40" w:line="240"/>
              <w:jc w:val="left"/>
            </w:pPr>
            <w:r>
              <w:rPr>
                <w:b w:val="false"/>
                <w:bCs w:val="false"/>
                <w:sz w:val="18"/>
                <w:szCs w:val="18"/>
              </w:rPr>
              <w:t xml:space="preserve">Complement: the rebuild was reliable because the state problem was engineered around</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RQ2 / H2</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Not measured</w:t>
            </w:r>
          </w:p>
        </w:tc>
        <w:tc>
          <w:tcPr>
            <w:tcW w:type="dxa" w:w="2540"/>
            <w:tcMar>
              <w:top w:type="dxa" w:w="80"/>
              <w:left w:type="dxa" w:w="110"/>
              <w:bottom w:type="dxa" w:w="80"/>
              <w:right w:type="dxa" w:w="110"/>
            </w:tcMar>
            <w:vAlign w:val="center"/>
          </w:tcPr>
          <w:p>
            <w:pPr>
              <w:spacing w:after="40" w:line="240"/>
              <w:jc w:val="left"/>
            </w:pPr>
            <w:r>
              <w:rPr>
                <w:b w:val="false"/>
                <w:bCs w:val="false"/>
                <w:sz w:val="18"/>
                <w:szCs w:val="18"/>
              </w:rPr>
              <w:t xml:space="preserve">Theme 2: pre-production workspace created then destroyed</w:t>
            </w:r>
          </w:p>
        </w:tc>
        <w:tc>
          <w:tcPr>
            <w:tcW w:type="dxa" w:w="2300"/>
            <w:tcMar>
              <w:top w:type="dxa" w:w="80"/>
              <w:left w:type="dxa" w:w="110"/>
              <w:bottom w:type="dxa" w:w="80"/>
              <w:right w:type="dxa" w:w="110"/>
            </w:tcMar>
            <w:vAlign w:val="center"/>
          </w:tcPr>
          <w:p>
            <w:pPr>
              <w:spacing w:after="40" w:line="240"/>
              <w:jc w:val="left"/>
            </w:pPr>
            <w:r>
              <w:rPr>
                <w:b w:val="false"/>
                <w:bCs w:val="false"/>
                <w:sz w:val="18"/>
                <w:szCs w:val="18"/>
              </w:rPr>
              <w:t xml:space="preserve">Gap: the evidence needed for H2 was not retained</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RQ3 / H5</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One depth level observed; no gate</w:t>
            </w:r>
          </w:p>
        </w:tc>
        <w:tc>
          <w:tcPr>
            <w:tcW w:type="dxa" w:w="2540"/>
            <w:tcMar>
              <w:top w:type="dxa" w:w="80"/>
              <w:left w:type="dxa" w:w="110"/>
              <w:bottom w:type="dxa" w:w="80"/>
              <w:right w:type="dxa" w:w="110"/>
            </w:tcMar>
            <w:vAlign w:val="center"/>
          </w:tcPr>
          <w:p>
            <w:pPr>
              <w:spacing w:after="40" w:line="240"/>
              <w:jc w:val="left"/>
            </w:pPr>
            <w:r>
              <w:rPr>
                <w:b w:val="false"/>
                <w:bCs w:val="false"/>
                <w:sz w:val="18"/>
                <w:szCs w:val="18"/>
              </w:rPr>
              <w:t xml:space="preserve">Theme 4: pipeline added automation but no review gate</w:t>
            </w:r>
          </w:p>
        </w:tc>
        <w:tc>
          <w:tcPr>
            <w:tcW w:type="dxa" w:w="2300"/>
            <w:tcMar>
              <w:top w:type="dxa" w:w="80"/>
              <w:left w:type="dxa" w:w="110"/>
              <w:bottom w:type="dxa" w:w="80"/>
              <w:right w:type="dxa" w:w="110"/>
            </w:tcMar>
            <w:vAlign w:val="center"/>
          </w:tcPr>
          <w:p>
            <w:pPr>
              <w:spacing w:after="40" w:line="240"/>
              <w:jc w:val="left"/>
            </w:pPr>
            <w:r>
              <w:rPr>
                <w:b w:val="false"/>
                <w:bCs w:val="false"/>
                <w:sz w:val="18"/>
                <w:szCs w:val="18"/>
              </w:rPr>
              <w:t xml:space="preserve">Diverge from the proposal: level 3 was never reached</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8"/>
                <w:szCs w:val="18"/>
              </w:rPr>
              <w:t xml:space="preserve">Destroy time (unplanned)</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20.1 min to destroy; 64.1% of the cycle in service stacks</w:t>
            </w:r>
          </w:p>
        </w:tc>
        <w:tc>
          <w:tcPr>
            <w:tcW w:type="dxa" w:w="2540"/>
            <w:tcMar>
              <w:top w:type="dxa" w:w="80"/>
              <w:left w:type="dxa" w:w="110"/>
              <w:bottom w:type="dxa" w:w="80"/>
              <w:right w:type="dxa" w:w="110"/>
            </w:tcMar>
            <w:vAlign w:val="center"/>
          </w:tcPr>
          <w:p>
            <w:pPr>
              <w:spacing w:after="40" w:line="240"/>
              <w:jc w:val="left"/>
            </w:pPr>
            <w:r>
              <w:rPr>
                <w:b w:val="false"/>
                <w:bCs w:val="false"/>
                <w:sz w:val="18"/>
                <w:szCs w:val="18"/>
              </w:rPr>
              <w:t xml:space="preserve">Theme 3: sequential deletion of service stacks</w:t>
            </w:r>
          </w:p>
        </w:tc>
        <w:tc>
          <w:tcPr>
            <w:tcW w:type="dxa" w:w="2300"/>
            <w:tcMar>
              <w:top w:type="dxa" w:w="80"/>
              <w:left w:type="dxa" w:w="110"/>
              <w:bottom w:type="dxa" w:w="80"/>
              <w:right w:type="dxa" w:w="110"/>
            </w:tcMar>
            <w:vAlign w:val="center"/>
          </w:tcPr>
          <w:p>
            <w:pPr>
              <w:spacing w:after="40" w:line="240"/>
              <w:jc w:val="left"/>
            </w:pPr>
            <w:r>
              <w:rPr>
                <w:b w:val="false"/>
                <w:bCs w:val="false"/>
                <w:sz w:val="18"/>
                <w:szCs w:val="18"/>
              </w:rPr>
              <w:t xml:space="preserve">Converge: the bottleneck is structural and fixable</w:t>
            </w:r>
          </w:p>
        </w:tc>
      </w:tr>
    </w:tbl>
    <w:p>
      <w:pPr>
        <w:pStyle w:val="Heading2"/>
        <w:keepNext/>
        <w:spacing w:after="140" w:before="280"/>
      </w:pPr>
      <w:r>
        <w:t xml:space="preserve">4.13 Chapter Summary</w:t>
      </w:r>
    </w:p>
    <w:p>
      <w:pPr>
        <w:spacing w:after="160" w:before="0" w:line="360"/>
        <w:jc w:val="both"/>
      </w:pPr>
      <w:r>
        <w:t xml:space="preserve">This chapter reported thirty measured Terraform rebuilds executed by GitHub Actions under two triggers on two days, 150 service start-ups, a 24-item component audit and a 152-resource inventory, compared with ten simulated manual console builds and rebuilds, together with a thematic analysis of the implementation record. The pipeline build was fast (8.3 minutes) and consistent, stable across run order, day and hour, and every rebuild succeeded. Conditional on the simulation, H1 and H3 were supported; H4 was partially supported; H2 and H5 could not be tested. Four themes explained these results: an architecture that converged through repeated rebuilding, state as the hardest engineering problem, destruction as the real bottleneck, and version control without review. Chapter 5 interprets these findings against the literature.</w:t>
      </w:r>
    </w:p>
    <w:p>
      <w:pPr>
        <w:pStyle w:val="Heading1"/>
        <w:pageBreakBefore/>
        <w:spacing w:after="240" w:before="240"/>
        <w:jc w:val="left"/>
      </w:pPr>
      <w:r>
        <w:t xml:space="preserve">CHAPTER 5: DISCUSSION</w:t>
      </w:r>
    </w:p>
    <w:p>
      <w:pPr>
        <w:pStyle w:val="Heading2"/>
        <w:keepNext/>
        <w:spacing w:after="140" w:before="280"/>
      </w:pPr>
      <w:r>
        <w:t xml:space="preserve">5.1 Introduction</w:t>
      </w:r>
    </w:p>
    <w:p>
      <w:pPr>
        <w:spacing w:after="160" w:before="0" w:line="360"/>
        <w:jc w:val="both"/>
      </w:pPr>
      <w:r>
        <w:t xml:space="preserve">This chapter interprets the results reported in Chapter 4. It takes each research question in turn, relating the quantitative results and the themes to the literature reviewed in Chapter 2, then draws meta-inferences from the integrated evidence, revisits the conceptual framework, compares the findings with prior studies, and discusses the findings that were not anticipated. Throughout, the discussion keeps separate what was measured (the Terraform pipeline), what was simulated (manual provisioning) and what could not be tested.</w:t>
      </w:r>
    </w:p>
    <w:p>
      <w:pPr>
        <w:pStyle w:val="Heading2"/>
        <w:keepNext/>
        <w:spacing w:after="140" w:before="280"/>
      </w:pPr>
      <w:r>
        <w:t xml:space="preserve">5.2 Version-Control Coverage and Current Provisioning (RQ1)</w:t>
      </w:r>
    </w:p>
    <w:p>
      <w:pPr>
        <w:spacing w:after="160" w:before="0" w:line="360"/>
        <w:jc w:val="both"/>
      </w:pPr>
      <w:r>
        <w:t xml:space="preserve">Moving the architecture from the AWS console into Terraform raised version-control coverage from nothing to 79.2% of components fully defined, and the remaining gaps are informative. Two of the five undefined or partial components are security controls at the network edge: the Web Application Firewall and TLS on the load balancer. This resembles the pattern Verdet et al. (2025) found across 812 Terraform projects, in which access-control policies were applied consistently while encryption was neglected. Here encryption at rest was applied (the state bucket and lock table are encrypted) but encryption in transit was not. The likely explanation, supported by Theme 1, is that both controls depend on something outside the code: a registered domain and certificate for TLS, and an account plan that permits the relevant services for Inspector. Components that need an external prerequisite are the ones that stay manual.</w:t>
      </w:r>
    </w:p>
    <w:p>
      <w:pPr>
        <w:spacing w:after="160" w:before="0" w:line="360"/>
        <w:jc w:val="both"/>
      </w:pPr>
      <w:r>
        <w:t xml:space="preserve">The more consequential finding is that coverage and review came apart. Every change was in the repository, yet none was reviewed. This is the distinction the conceptual framework drew between the file format and the review gate, and the data show it is not hypothetical: a single engineer working at speed produced a complete version history with no review at all. For a regulated institution, the history alone would satisfy the requirement that changes be recorded, but not the requirement that they be approved.</w:t>
      </w:r>
    </w:p>
    <w:p>
      <w:pPr>
        <w:pStyle w:val="Heading2"/>
        <w:keepNext/>
        <w:spacing w:after="140" w:before="280"/>
      </w:pPr>
      <w:r>
        <w:t xml:space="preserve">5.3 Effects of the Provisioning Method (RQ2)</w:t>
      </w:r>
    </w:p>
    <w:p>
      <w:pPr>
        <w:pStyle w:val="Heading3"/>
        <w:keepNext/>
        <w:spacing w:after="120" w:before="220"/>
      </w:pPr>
      <w:r>
        <w:t xml:space="preserve">5.3.1 Provisioning Duration (H1)</w:t>
      </w:r>
    </w:p>
    <w:p>
      <w:pPr>
        <w:spacing w:after="160" w:before="0" w:line="360"/>
        <w:jc w:val="both"/>
      </w:pPr>
      <w:r>
        <w:t xml:space="preserve">The pipeline built the full environment, 140 resources and five running services, in 8.3 minutes with a coefficient of variation below 5%. The simulated manual build took 105.3 minutes, 12.6 times longer, and the sensitivity analysis showed that the direction of the difference holds even if each resource took only 20 seconds in the console. H1 is therefore supported, with the important qualification that the manual side of the comparison is a model: the measured contribution of this study is the Terraform figure and its consistency, while the size of the gap depends on how fast a real engineer would be. The comparison is consistent with what the literature implies (Regvart et al., 2026) and with the practical observation that most of a manual build is hands-on console work, which Terraform removes entirely, whereas the waiting time for NAT gateways, load balancers and services is paid by both methods.</w:t>
      </w:r>
    </w:p>
    <w:p>
      <w:pPr>
        <w:spacing w:after="160" w:before="0" w:line="360"/>
        <w:jc w:val="both"/>
      </w:pPr>
      <w:r>
        <w:t xml:space="preserve">The comparison with Regvart et al. (2026) is instructive. Their Terraform build of a smaller multi-tier architecture took 253 s; the shared infrastructure stack here, which contains a comparable network with two NAT gateways and a load balancer, took about 184 s, and the full build took about twice their figure because it adds five service stacks and the time for containers to become healthy. Their standard deviation of 8.42 s (a coefficient of variation of about 3%) is of the same order as the 4.2% observed here over the same number of cycles, thirty, which suggests that low variability is a property of Terraform on AWS rather than of a particular architecture. Consistency is what makes environments disposable: a build that takes eight minutes every time can be scheduled, automated and trusted.</w:t>
      </w:r>
    </w:p>
    <w:p>
      <w:pPr>
        <w:spacing w:after="160" w:before="0" w:line="360"/>
        <w:jc w:val="both"/>
      </w:pPr>
      <w:r>
        <w:t xml:space="preserve">The stability checks add a nuance that a smaller sample would have hidden. The sixteen back-to-back dispatched runs built about 18 s (3.7%) slower than the push-triggered runs, while the destroy phases and the total cycle did not differ. The steps executed were identical, so the difference is best read as the influence of conditions outside the code, such as AWS API latency and the load on shared GitHub runners at a given time. Variation of this size is the floor that any IaC timing study inherits from the cloud platform; it is small beside the differences between provisioning methods, but it means that timing comparisons between tools or methods should interleave the conditions in time rather than run each in a separate block, so that platform conditions do not masquerade as a tool effect.</w:t>
      </w:r>
    </w:p>
    <w:p>
      <w:pPr>
        <w:pStyle w:val="Heading3"/>
        <w:keepNext/>
        <w:spacing w:after="120" w:before="220"/>
      </w:pPr>
      <w:r>
        <w:t xml:space="preserve">5.3.2 Configuration Drift (H2)</w:t>
      </w:r>
    </w:p>
    <w:p>
      <w:pPr>
        <w:spacing w:after="160" w:before="0" w:line="360"/>
        <w:jc w:val="both"/>
      </w:pPr>
      <w:r>
        <w:t xml:space="preserve">H2 could not be tested, and the reason is itself a finding. A pre-production environment was created during development and then destroyed, so when measurement began only one environment existed. Theme 2 shows why: every environment carries cost (NAT gateways, a load balancer and Fargate tasks run continuously) and state to manage, and a single engineer under time pressure kept only the one that was needed. The code inspection gives a structural reason to expect low drift, since environment differences are confined to the workspace name, but structure is not measurement. Kolomytskyi et al. (2026) argue that drift must be detected continuously and classified by severity; the present study shows the practical precondition for that, which is keeping more than one environment alive.</w:t>
      </w:r>
    </w:p>
    <w:p>
      <w:pPr>
        <w:pStyle w:val="Heading3"/>
        <w:keepNext/>
        <w:spacing w:after="120" w:before="220"/>
      </w:pPr>
      <w:r>
        <w:t xml:space="preserve">5.3.3 Reproducibility (H3)</w:t>
      </w:r>
    </w:p>
    <w:p>
      <w:pPr>
        <w:spacing w:after="160" w:before="0" w:line="360"/>
        <w:jc w:val="both"/>
      </w:pPr>
      <w:r>
        <w:t xml:space="preserve">Every one of the 30 measured pipeline rebuilds succeeded and all 150 service start-ups came back into service, consistent with Regvart et al. (2026), who reported no failed deployment in ninety. With thirty cycles the lower bound of the 95% interval for the pipeline's success rate is 89%, so a failure rate above about one in nine can be ruled out for this procedure. In the simulation, only 3 of 10 manual rebuilds reproduced the baseline exactly, because recreating 140 resources by hand gives many opportunities for a small slip; even at a per-resource error rate of 0.2%, about a quarter of manual rebuilds would differ. H3 is therefore supported conditional on the model. Two qualifications apply. The Terraform measure shows that the environment came back and worked, not that every attribute was identical, and Rahman et al. (2020) identified idempotency defects as a distinct category of IaC fault that an attribute-level comparison would be needed to rule out. And Theme 2 shows that the rebuild was reproducible because its author engineered around Terraform's state problem; reproducibility was a designed property of the procedure, not a free consequence of using Terraform.</w:t>
      </w:r>
    </w:p>
    <w:p>
      <w:pPr>
        <w:pStyle w:val="Heading3"/>
        <w:keepNext/>
        <w:spacing w:after="120" w:before="220"/>
      </w:pPr>
      <w:r>
        <w:t xml:space="preserve">5.3.4 Version-Control Coverage and Review (H4)</w:t>
      </w:r>
    </w:p>
    <w:p>
      <w:pPr>
        <w:spacing w:after="160" w:before="0" w:line="360"/>
        <w:jc w:val="both"/>
      </w:pPr>
      <w:r>
        <w:t xml:space="preserve">H4 was partially supported. The coverage half moved from 0% to 79.2%; the review half did not move at all. Hilton et al. (2016) and Vasilescu et al. (2015) associate CI with faster and better-quality contribution, but in their open-source settings pull requests are the normal route for change. In a single-engineer setting with no branch protection, direct pushes to the main branch are the path of least resistance, and the pipeline was in fact triggered by direct pushes, fifteen of which existed only to start a run. When repetition became tedious, the response was more automation (a repeat option that chained sixteen runs), not more review. Decan et al. (2022) found push to be the most common GitHub Actions trigger (63.4% of repositories), ahead of pull requests (56.3%); this study shows what a push-triggered infrastructure pipeline does to review.</w:t>
      </w:r>
    </w:p>
    <w:p>
      <w:pPr>
        <w:pStyle w:val="Heading2"/>
        <w:keepNext/>
        <w:spacing w:after="140" w:before="280"/>
      </w:pPr>
      <w:r>
        <w:t xml:space="preserve">5.4 The Role of Pipeline Integration Depth (RQ3)</w:t>
      </w:r>
    </w:p>
    <w:p>
      <w:pPr>
        <w:spacing w:after="160" w:before="0" w:line="360"/>
        <w:jc w:val="both"/>
      </w:pPr>
      <w:r>
        <w:t xml:space="preserve">H5 could not be tested because drift was not measured and only one integration level was observed. The qualitative evidence nonetheless speaks to the construct. Moving infrastructure into a GitHub Actions pipeline added automation, timing, reporting and a shared record of every run, but no approval. Kolomytskyi et al. (2026) report that a gated, policy-checked workflow caught all violations before apply while a plain pipeline caught half; the present study cannot confirm that, but it shows that the step from pipeline execution to gated apply does not happen by itself. A gated workflow would also cost time: it must separate plan from apply so that a reviewer can read the plan, adding a planning step and the reviewer's own time to every change.</w:t>
      </w:r>
    </w:p>
    <w:p>
      <w:pPr>
        <w:pStyle w:val="Heading2"/>
        <w:keepNext/>
        <w:spacing w:after="140" w:before="280"/>
      </w:pPr>
      <w:r>
        <w:t xml:space="preserve">5.5 Barriers and Enablers (RQ4)</w:t>
      </w:r>
    </w:p>
    <w:p>
      <w:pPr>
        <w:spacing w:after="160" w:before="0" w:line="360"/>
        <w:jc w:val="both"/>
      </w:pPr>
      <w:r>
        <w:t xml:space="preserve">Four themes answer RQ4. The first enabler was that the architecture could be redesigned cheaply: because it was code, the move from per-service load balancers and gateways to shared ones could be made in stages over an afternoon and applied across five services at once. The first barrier is the one Rostami Mazrae et al. (2023) predicted: their respondents described a commit-push-wait loop caused by the inability to test workflows locally, and the record here shows the same loop, including a failed report commit that was only discoverable by running the pipeline.</w:t>
      </w:r>
    </w:p>
    <w:p>
      <w:pPr>
        <w:spacing w:after="160" w:before="0" w:line="360"/>
        <w:jc w:val="both"/>
      </w:pPr>
      <w:r>
        <w:t xml:space="preserve">The second barrier, state, is not prominent in the reviewed literature, which concentrates on code quality, security and dependencies (Begoug et al., 2023; Rahman, Mahdavi-Hezaveh, &amp; Williams, 2019). In practice it consumed a large share of the engineering effort: state files committed to Git with thousand-line diffs, a remote-state stack that cannot store its own state remotely, and a rebuild procedure organised around preserving state across the deletion of the bucket that holds it. Begoug et al. (2023) found deployment pipelines among the hardest IaC topics on Stack Overflow; this study suggests that much of that difficulty may be state management rather than pipeline syntax.</w:t>
      </w:r>
    </w:p>
    <w:p>
      <w:pPr>
        <w:spacing w:after="160" w:before="0" w:line="360"/>
        <w:jc w:val="both"/>
      </w:pPr>
      <w:r>
        <w:t xml:space="preserve">The third barrier is time spent destroying, discussed in Section 5.9. The fourth is the absence of review, discussed above. Taken together, the themes suggest that the technical barriers to replacing manual console work with Terraform in a pipeline were solvable by one engineer in a short time, while the governance barrier, getting a second person to approve changes, was not addressed at all. That is consistent with the facilitating-conditions argument in Section 2.3.4: review needs a second person and a rule that enforces it, and neither is supplied by the tooling.</w:t>
      </w:r>
    </w:p>
    <w:p>
      <w:pPr>
        <w:pStyle w:val="Heading2"/>
        <w:keepNext/>
        <w:spacing w:after="140" w:before="280"/>
      </w:pPr>
      <w:r>
        <w:t xml:space="preserve">5.6 Integration and Meta-Inferences</w:t>
      </w:r>
    </w:p>
    <w:p>
      <w:pPr>
        <w:spacing w:after="160" w:before="0" w:line="360"/>
        <w:jc w:val="both"/>
      </w:pPr>
      <w:r>
        <w:t xml:space="preserve">Three meta-inferences follow from the joint display (Table 4.12). First, where the strands converge (H1, H3 and destroy time), the quantitative result is explained by a specific mechanism in the record: fast, consistent builds because the code could be re-applied unchanged; reliable rebuilds because state was handled deliberately; slow destroys because service stacks are removed one after another. Second, where the strands complement each other (RQ1 and H4), the qualitative strand shows what the number hides: 79% coverage coexists with 0% review because the workflow was built for one person. Third, where they diverge from the proposal (H2 and H5), the record explains why the planned evidence does not exist. All inferences about the manual condition remain conditional on the simulation.</w:t>
      </w:r>
    </w:p>
    <w:p>
      <w:pPr>
        <w:pStyle w:val="Heading2"/>
        <w:keepNext/>
        <w:spacing w:after="140" w:before="280"/>
      </w:pPr>
      <w:r>
        <w:t xml:space="preserve">5.7 Revisiting the Conceptual Framework</w:t>
      </w:r>
    </w:p>
    <w:p>
      <w:pPr>
        <w:spacing w:after="160" w:before="0" w:line="360"/>
        <w:jc w:val="both"/>
      </w:pPr>
      <w:r>
        <w:t xml:space="preserve">Figure 5.1 shows the framework revised in the light of the findings. Two paths are supported conditional on the simulated manual condition (method to duration and method to reproducibility); one is supported in part (method to coverage, without review); and two remain untested (method to drift, and the moderating effect of depth). The evidence also suggests two refinements. First, review should be separated from coverage as an outcome in its own right, since the study shows they can diverge completely. Second, the framework should include destruction duration alongside provisioning duration, because destruction dominated the cycle and limits how often environments can be rebuilt.</w:t>
      </w:r>
    </w:p>
    <w:p>
      <w:pPr>
        <w:keepNext/>
        <w:spacing w:after="80" w:before="200" w:line="240"/>
        <w:jc w:val="center"/>
      </w:pPr>
      <w:r>
        <w:drawing>
          <wp:inline xmlns:a="http://schemas.openxmlformats.org/drawingml/2006/main" xmlns:pic="http://schemas.openxmlformats.org/drawingml/2006/picture">
            <wp:extent cx="5486400" cy="3236696"/>
            <wp:docPr id="8" name="Picture 8"/>
            <wp:cNvGraphicFramePr>
              <a:graphicFrameLocks noChangeAspect="1"/>
            </wp:cNvGraphicFramePr>
            <a:graphic>
              <a:graphicData uri="http://schemas.openxmlformats.org/drawingml/2006/picture">
                <pic:pic>
                  <pic:nvPicPr>
                    <pic:cNvPr id="0" name="fig5_1_revised_framework.png"/>
                    <pic:cNvPicPr/>
                  </pic:nvPicPr>
                  <pic:blipFill>
                    <a:blip r:embed="rId17"/>
                    <a:stretch>
                      <a:fillRect/>
                    </a:stretch>
                  </pic:blipFill>
                  <pic:spPr>
                    <a:xfrm>
                      <a:off x="0" y="0"/>
                      <a:ext cx="5486400" cy="3236696"/>
                    </a:xfrm>
                    <a:prstGeom prst="rect"/>
                  </pic:spPr>
                </pic:pic>
              </a:graphicData>
            </a:graphic>
          </wp:inline>
        </w:drawing>
      </w:r>
    </w:p>
    <w:p>
      <w:pPr>
        <w:spacing w:after="220" w:line="240"/>
        <w:jc w:val="left"/>
      </w:pPr>
      <w:r>
        <w:rPr>
          <w:sz w:val="20"/>
          <w:szCs w:val="20"/>
        </w:rPr>
        <w:t xml:space="preserve">Figure 5.1. Revised conceptual framework based on the integrated findings. Dashed grey elements were not tested; annotations state the evidence for each path.</w:t>
      </w:r>
    </w:p>
    <w:p>
      <w:pPr>
        <w:pStyle w:val="Heading2"/>
        <w:keepNext/>
        <w:spacing w:after="140" w:before="280"/>
      </w:pPr>
      <w:r>
        <w:t xml:space="preserve">5.8 Comparison with Prior Studies</w:t>
      </w:r>
    </w:p>
    <w:p>
      <w:pPr>
        <w:keepNext/>
        <w:spacing w:after="100" w:before="200" w:line="240"/>
        <w:jc w:val="left"/>
      </w:pPr>
      <w:r>
        <w:rPr>
          <w:b/>
          <w:bCs/>
        </w:rPr>
        <w:t xml:space="preserve">Table 5.1 </w:t>
      </w:r>
      <w:r>
        <w:rPr>
          <w:i/>
          <w:iCs/>
        </w:rPr>
        <w:t xml:space="preserve">Comparison of Present Findings with Prior Studies</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3000"/>
        <w:gridCol w:w="3240"/>
        <w:gridCol w:w="2400"/>
      </w:tblGrid>
      <w:tr>
        <w:trPr>
          <w:tblHeader/>
        </w:trPr>
        <w:tc>
          <w:tcPr>
            <w:tcW w:type="dxa" w:w="30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Finding in this study</w:t>
            </w:r>
          </w:p>
        </w:tc>
        <w:tc>
          <w:tcPr>
            <w:tcW w:type="dxa" w:w="324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Prior study</w:t>
            </w:r>
          </w:p>
        </w:tc>
        <w:tc>
          <w:tcPr>
            <w:tcW w:type="dxa" w:w="24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Relationship</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Terraform build CV 4.2%; no failed rebuild in 30</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Regvart et al. (2026): Terraform SD 8.42 s on 253 s; no failure in 30</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Consistent, on the same number of cycles</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Back-to-back runs built 3.7% slower; no trend over 30 runs</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Regvart et al. (2026): per-tool timings with low dispersion</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Extends: conditions outside the code add a few per cent of variation</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Destroy took 2.4 times as long as create</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Regvart et al. (2026): destroy slower than create for every tool</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Consistent; larger gap here, attributed to sequential service-stack deletion</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Terraform 12.6× faster than simulated manual build</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No prior study compares Terraform with manual provisioning</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New, conditional on the simulation</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Encryption at rest applied; TLS and WAF absent</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Verdet et al. (2025): access control applied, encryption at rest neglected</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Partly consistent: security that needs external prerequisites is what gets left out</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Provider constrained to a major version; lock file not committed</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Begoug, Ouni, and Chouchen (2025); Begoug, Ouni, and Khelifi (2025): lag of 9–10 months</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Consistent risk: versions can drift between cycles</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Account identifiers hard-coded in image and bucket names</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Rahman &amp; Williams (2019): hard-coded strings associated with defects</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Consistent</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Commit-push-wait loop; failed report commit found only by running</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Rostami Mazrae et al. (2023): workflows cannot be tested locally</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Consistent</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Pipeline triggered by push; no pull requests</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Decan et al. (2022): push the most common trigger</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Consistent; extends the finding to infrastructure</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Coverage rose without review</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Hilton et al. (2016); Vasilescu et al. (2015): CI benefits via pull requests</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Divergent context: single engineer, no review route</w:t>
            </w:r>
          </w:p>
        </w:tc>
      </w:tr>
      <w:tr>
        <w:trPr>
          <w:cantSplit/>
        </w:trPr>
        <w:tc>
          <w:tcPr>
            <w:tcW w:type="dxa" w:w="3000"/>
            <w:tcMar>
              <w:top w:type="dxa" w:w="80"/>
              <w:left w:type="dxa" w:w="110"/>
              <w:bottom w:type="dxa" w:w="80"/>
              <w:right w:type="dxa" w:w="110"/>
            </w:tcMar>
            <w:vAlign w:val="center"/>
          </w:tcPr>
          <w:p>
            <w:pPr>
              <w:spacing w:after="40" w:line="240"/>
              <w:jc w:val="left"/>
            </w:pPr>
            <w:r>
              <w:rPr>
                <w:b w:val="false"/>
                <w:bCs w:val="false"/>
                <w:sz w:val="18"/>
                <w:szCs w:val="18"/>
              </w:rPr>
              <w:t xml:space="preserve">State management the hardest engineering problem</w:t>
            </w:r>
          </w:p>
        </w:tc>
        <w:tc>
          <w:tcPr>
            <w:tcW w:type="dxa" w:w="3240"/>
            <w:tcMar>
              <w:top w:type="dxa" w:w="80"/>
              <w:left w:type="dxa" w:w="110"/>
              <w:bottom w:type="dxa" w:w="80"/>
              <w:right w:type="dxa" w:w="110"/>
            </w:tcMar>
            <w:vAlign w:val="center"/>
          </w:tcPr>
          <w:p>
            <w:pPr>
              <w:spacing w:after="40" w:line="240"/>
              <w:jc w:val="left"/>
            </w:pPr>
            <w:r>
              <w:rPr>
                <w:b w:val="false"/>
                <w:bCs w:val="false"/>
                <w:sz w:val="18"/>
                <w:szCs w:val="18"/>
              </w:rPr>
              <w:t xml:space="preserve">Begoug et al. (2023): deployment pipelines among the hardest topics</w:t>
            </w:r>
          </w:p>
        </w:tc>
        <w:tc>
          <w:tcPr>
            <w:tcW w:type="dxa" w:w="2400"/>
            <w:tcMar>
              <w:top w:type="dxa" w:w="80"/>
              <w:left w:type="dxa" w:w="110"/>
              <w:bottom w:type="dxa" w:w="80"/>
              <w:right w:type="dxa" w:w="110"/>
            </w:tcMar>
            <w:vAlign w:val="center"/>
          </w:tcPr>
          <w:p>
            <w:pPr>
              <w:spacing w:after="40" w:line="240"/>
              <w:jc w:val="left"/>
            </w:pPr>
            <w:r>
              <w:rPr>
                <w:b w:val="false"/>
                <w:bCs w:val="false"/>
                <w:sz w:val="18"/>
                <w:szCs w:val="18"/>
              </w:rPr>
              <w:t xml:space="preserve">Extends: identifies state as a source of that difficulty</w:t>
            </w:r>
          </w:p>
        </w:tc>
      </w:tr>
    </w:tbl>
    <w:p>
      <w:pPr>
        <w:pStyle w:val="Heading2"/>
        <w:keepNext/>
        <w:spacing w:after="140" w:before="280"/>
      </w:pPr>
      <w:r>
        <w:t xml:space="preserve">5.9 Unexpected Findings</w:t>
      </w:r>
    </w:p>
    <w:p>
      <w:pPr>
        <w:spacing w:after="160" w:before="0" w:line="360"/>
        <w:jc w:val="both"/>
      </w:pPr>
      <w:r>
        <w:t xml:space="preserve">Two findings were not anticipated. The first is that destruction, not creation, dominated the cycle: 20.1 of 28.4 minutes, with 64.1% of the cycle spent destroying the five service stacks. Deleting an ECS service waits for its tasks to drain and stop, and the rebuild script destroys the stacks sequentially, so the waits add up. The literature measures provisioning far more often than removal, yet for an organisation that wants disposable test environments or fast disaster-recovery rehearsal, removal time sets the pace. It also matters for the comparison with manual work: a manual teardown of 140 resources would face the same AWS waits plus the hands-on time, so the advantage of automation is likely to be at least as large on the destroy side.</w:t>
      </w:r>
    </w:p>
    <w:p>
      <w:pPr>
        <w:spacing w:after="160" w:before="0" w:line="360"/>
        <w:jc w:val="both"/>
      </w:pPr>
      <w:r>
        <w:t xml:space="preserve">The second is that the hardest moment of the pipeline campaign had nothing to do with provisioning. Run 3's infrastructure work was not the problem; the step that committed the report and the remote-state file back to the repository failed because of a race with the previous run's commit. The pipeline that replaced manual console work had itself become software that needed debugging, which is the commit-push-wait cost Rostami Mazrae et al. (2023) describe, transferred from application CI to infrastructure.</w:t>
      </w:r>
    </w:p>
    <w:p>
      <w:pPr>
        <w:pStyle w:val="Heading2"/>
        <w:keepNext/>
        <w:spacing w:after="140" w:before="280"/>
      </w:pPr>
      <w:r>
        <w:t xml:space="preserve">5.10 Chapter Summary</w:t>
      </w:r>
    </w:p>
    <w:p>
      <w:pPr>
        <w:spacing w:after="160" w:before="0" w:line="360"/>
        <w:jc w:val="both"/>
      </w:pPr>
      <w:r>
        <w:t xml:space="preserve">The discussion has shown that Terraform executed by GitHub Actions made the architecture fast (8.3 minutes) and reliable to rebuild, consistent with the closest prior study, while leaving review entirely to human practice. Against a simulated manual baseline, H1 and H3 are supported, conditional on the model; H4 is supported for coverage but not review; H2 and H5 remain untested, for reasons the implementation record explains. The barriers lay less in Terraform syntax than in state management, destruction time and governance. The revised framework separates review from coverage and adds destruction time. Chapter 6 draws the conclusions and recommendations.</w:t>
      </w:r>
    </w:p>
    <w:p>
      <w:pPr>
        <w:pStyle w:val="Heading1"/>
        <w:pageBreakBefore/>
        <w:spacing w:after="240" w:before="240"/>
        <w:jc w:val="left"/>
      </w:pPr>
      <w:r>
        <w:t xml:space="preserve">CHAPTER 6: CONCLUSIONS AND RECOMMENDATIONS</w:t>
      </w:r>
    </w:p>
    <w:p>
      <w:pPr>
        <w:pStyle w:val="Heading2"/>
        <w:keepNext/>
        <w:spacing w:after="140" w:before="280"/>
      </w:pPr>
      <w:r>
        <w:t xml:space="preserve">6.1 Introduction</w:t>
      </w:r>
    </w:p>
    <w:p>
      <w:pPr>
        <w:spacing w:after="160" w:before="0" w:line="360"/>
        <w:jc w:val="both"/>
      </w:pPr>
      <w:r>
        <w:t xml:space="preserve">This chapter summarises the study, states the conclusions reached against each objective, sets out the study's contributions, makes recommendations that are each traceable to a finding, acknowledges the limitations, and identifies directions for future research.</w:t>
      </w:r>
    </w:p>
    <w:p>
      <w:pPr>
        <w:pStyle w:val="Heading2"/>
        <w:keepNext/>
        <w:spacing w:after="140" w:before="280"/>
      </w:pPr>
      <w:r>
        <w:t xml:space="preserve">6.2 Summary of the Study</w:t>
      </w:r>
    </w:p>
    <w:p>
      <w:pPr>
        <w:spacing w:after="160" w:before="0" w:line="360"/>
        <w:jc w:val="both"/>
      </w:pPr>
      <w:r>
        <w:t xml:space="preserve">The study set out to establish what a Terraform-based, pipeline-integrated approach changes when an AWS architecture is provisioned, and what makes the change difficult. A modular Terraform codebase was built for a five-service containerised architecture of 152 managed resources, run through GitHub Actions, and measured over thirty complete destroy-and-rebuild cycles on two days, the number the proposal planned. Manual creation of the same architecture in the AWS console was represented by a stated, seeded simulation of ten builds and ten rebuilds. A component audit measured version-control coverage, and the implementation record of 78 commits, 31 run reports and the pipeline code was analysed thematically. Of the five hypotheses, H1 and H3 were supported conditional on the simulated manual condition, H4 was partially supported, and H2 and H5 could not be tested.</w:t>
      </w:r>
    </w:p>
    <w:p>
      <w:pPr>
        <w:pStyle w:val="Heading2"/>
        <w:keepNext/>
        <w:spacing w:after="140" w:before="280"/>
      </w:pPr>
      <w:r>
        <w:t xml:space="preserve">6.3 Conclusions by Research Objective</w:t>
      </w:r>
    </w:p>
    <w:p>
      <w:pPr>
        <w:pStyle w:val="Heading3"/>
        <w:keepNext/>
        <w:spacing w:after="120" w:before="220"/>
      </w:pPr>
      <w:r>
        <w:t xml:space="preserve">6.3.1 Objective 1: Current Provisioning and Version-Control Coverage</w:t>
      </w:r>
    </w:p>
    <w:p>
      <w:pPr>
        <w:spacing w:after="160" w:before="0" w:line="360"/>
        <w:jc w:val="both"/>
      </w:pPr>
      <w:r>
        <w:t xml:space="preserve">Before the study the architecture was provisioned entirely by hand and nothing was under version control. After the study 19 of 24 components (79.2%) were fully defined in code and 2 more partially. The components left outside were those that depend on something outside the code: a certificate and domain, a firewall, DNS records and repository review rules. Every infrastructure change was recorded, but none was reviewed.</w:t>
      </w:r>
    </w:p>
    <w:p>
      <w:pPr>
        <w:pStyle w:val="Heading3"/>
        <w:keepNext/>
        <w:spacing w:after="120" w:before="220"/>
      </w:pPr>
      <w:r>
        <w:t xml:space="preserve">6.3.2 Objective 2: A Modular Terraform Codebase</w:t>
      </w:r>
    </w:p>
    <w:p>
      <w:pPr>
        <w:spacing w:after="160" w:before="0" w:line="360"/>
        <w:jc w:val="both"/>
      </w:pPr>
      <w:r>
        <w:t xml:space="preserve">A modular codebase of fifteen reusable modules and seven root stacks (remote state, shared infrastructure and five services) was built, with an S3 backend and DynamoDB locking for all but the stack that creates them. It provisioned the full architecture identically in every cycle. The codebase supports multiple environments through workspaces, but only one environment was maintained during the study.</w:t>
      </w:r>
    </w:p>
    <w:p>
      <w:pPr>
        <w:pStyle w:val="Heading3"/>
        <w:keepNext/>
        <w:spacing w:after="120" w:before="220"/>
      </w:pPr>
      <w:r>
        <w:t xml:space="preserve">6.3.3 Objective 3: Pipeline Integration</w:t>
      </w:r>
    </w:p>
    <w:p>
      <w:pPr>
        <w:spacing w:after="160" w:before="0" w:line="360"/>
        <w:jc w:val="both"/>
      </w:pPr>
      <w:r>
        <w:t xml:space="preserve">A GitHub Actions workflow was built that can rebuild, redeploy or destroy the environment, times every phase, checks service health and commits a report after every run. It reached integration depth level 2: automated execution with a shared record, but no plan review or approval gate. The gated level proposed in the framework was not implemented.</w:t>
      </w:r>
    </w:p>
    <w:p>
      <w:pPr>
        <w:pStyle w:val="Heading3"/>
        <w:keepNext/>
        <w:spacing w:after="120" w:before="220"/>
      </w:pPr>
      <w:r>
        <w:t xml:space="preserve">6.3.4 Objective 4: Measured Outcomes</w:t>
      </w:r>
    </w:p>
    <w:p>
      <w:pPr>
        <w:spacing w:after="160" w:before="0" w:line="360"/>
        <w:jc w:val="both"/>
      </w:pPr>
      <w:r>
        <w:t xml:space="preserve">Terraform executed by GitHub Actions built the environment from empty in 8.3 minutes on average, with a coefficient of variation below 5%, and destroyed it in 20.1 minutes. All 30 rebuilds and all 150 service start-ups succeeded, and the timings showed no trend over run order, day or hour; the only difference detected was that back-to-back dispatched runs built about 18 seconds slower. Against the simulated manual condition the build was 12.6 times faster (8.3 against 105.3 minutes) and more reproducible (30 of 30 rebuilds against 3 of 10), both significant on the simulated data and robust across the sensitivity ranges tested; these comparisons are conditional on the simulation. Drift could not be measured.</w:t>
      </w:r>
    </w:p>
    <w:p>
      <w:pPr>
        <w:pStyle w:val="Heading3"/>
        <w:keepNext/>
        <w:spacing w:after="120" w:before="220"/>
      </w:pPr>
      <w:r>
        <w:t xml:space="preserve">6.3.5 Objective 5: Barriers, Enablers and Recommendations</w:t>
      </w:r>
    </w:p>
    <w:p>
      <w:pPr>
        <w:spacing w:after="160" w:before="0" w:line="360"/>
        <w:jc w:val="both"/>
      </w:pPr>
      <w:r>
        <w:t xml:space="preserve">The main enabler was that the architecture could be redesigned and re-applied cheaply because it was code. The main barriers were managing Terraform state (in particular the stack that creates the state bucket), the time taken to destroy ECS services sequentially, the commit-push-wait loop of developing a workflow that cannot be run locally, and the absence of any review step. The technical barriers were overcome by one engineer within days; the governance barrier was not addressed. Recommendations follow in Section 6.5.</w:t>
      </w:r>
    </w:p>
    <w:p>
      <w:pPr>
        <w:pStyle w:val="Heading2"/>
        <w:keepNext/>
        <w:spacing w:after="140" w:before="280"/>
      </w:pPr>
      <w:r>
        <w:t xml:space="preserve">6.4 Contributions of the Study</w:t>
      </w:r>
    </w:p>
    <w:p>
      <w:pPr>
        <w:pStyle w:val="Heading3"/>
        <w:keepNext/>
        <w:spacing w:after="120" w:before="220"/>
      </w:pPr>
      <w:r>
        <w:t xml:space="preserve">6.4.1 Theoretical Contribution</w:t>
      </w:r>
    </w:p>
    <w:p>
      <w:pPr>
        <w:spacing w:after="160" w:before="0" w:line="360"/>
        <w:jc w:val="both"/>
      </w:pPr>
      <w:r>
        <w:t xml:space="preserve">The study separates two things that the IaC literature usually treats as one: putting infrastructure into code, and forcing changes to that code through review. It shows empirically that the first can be achieved almost completely while the second does not happen at all, which supports treating pipeline integration depth, and review in particular, as a construct in its own right. It also proposes destruction duration as an outcome measure that the literature has underweighted.</w:t>
      </w:r>
    </w:p>
    <w:p>
      <w:pPr>
        <w:pStyle w:val="Heading3"/>
        <w:keepNext/>
        <w:spacing w:after="120" w:before="220"/>
      </w:pPr>
      <w:r>
        <w:t xml:space="preserve">6.4.2 Practical Contribution</w:t>
      </w:r>
    </w:p>
    <w:p>
      <w:pPr>
        <w:spacing w:after="160" w:before="0" w:line="360"/>
        <w:jc w:val="both"/>
      </w:pPr>
      <w:r>
        <w:t xml:space="preserve">The study provides a working module structure, a rebuild procedure that preserves container images and state across the deletion of the state bucket, and measured figures that an engineering team can plan with: about 8 minutes to build this class of architecture through a pipeline, about 20 minutes to remove it, and about 1.5 minutes for a Fargate service to become healthy. These figures give a realistic basis for decisions about disposable test environments and recovery rehearsals.</w:t>
      </w:r>
    </w:p>
    <w:p>
      <w:pPr>
        <w:pStyle w:val="Heading3"/>
        <w:keepNext/>
        <w:spacing w:after="120" w:before="220"/>
      </w:pPr>
      <w:r>
        <w:t xml:space="preserve">6.4.3 Methodological Contribution</w:t>
      </w:r>
    </w:p>
    <w:p>
      <w:pPr>
        <w:spacing w:after="160" w:before="0" w:line="360"/>
        <w:jc w:val="both"/>
      </w:pPr>
      <w:r>
        <w:t xml:space="preserve">The study shows how an explanatory sequential mixed methods design can be applied to an engineering artefact, using machine-recorded timings for the quantitative strand and the version-control history as a qualitative record that was not written for the study. The timing and reporting scripts are reusable, and the use of two independent timing implementations allowed a check on measurement procedure that exposed the effect of a separate planning step.</w:t>
      </w:r>
    </w:p>
    <w:p>
      <w:pPr>
        <w:pStyle w:val="Heading3"/>
        <w:keepNext/>
        <w:spacing w:after="120" w:before="220"/>
      </w:pPr>
      <w:r>
        <w:t xml:space="preserve">6.4.4 Policy Contribution</w:t>
      </w:r>
    </w:p>
    <w:p>
      <w:pPr>
        <w:spacing w:after="160" w:before="0" w:line="360"/>
        <w:jc w:val="both"/>
      </w:pPr>
      <w:r>
        <w:t xml:space="preserve">For a Cambodian financial institution, the study supplies the first local evidence that infrastructure can be brought under version control quickly, and a warning that version control is not the same as approved change. Supervisory expectations for controlled change management are met by the combination of a code history and a review record, not by the history alone.</w:t>
      </w:r>
    </w:p>
    <w:p>
      <w:pPr>
        <w:pStyle w:val="Heading2"/>
        <w:keepNext/>
        <w:spacing w:after="140" w:before="280"/>
      </w:pPr>
      <w:r>
        <w:t xml:space="preserve">6.5 Recommendations</w:t>
      </w:r>
    </w:p>
    <w:p>
      <w:pPr>
        <w:spacing w:after="160" w:before="0" w:line="360"/>
        <w:jc w:val="both"/>
      </w:pPr>
      <w:r>
        <w:t xml:space="preserve">Table 6.1 lists each recommendation with the party responsible and the finding that supports it. The subsections that follow group them by audience.</w:t>
      </w:r>
    </w:p>
    <w:p>
      <w:pPr>
        <w:keepNext/>
        <w:spacing w:after="100" w:before="200" w:line="240"/>
        <w:jc w:val="left"/>
      </w:pPr>
      <w:r>
        <w:rPr>
          <w:b/>
          <w:bCs/>
        </w:rPr>
        <w:t xml:space="preserve">Table 6.1 </w:t>
      </w:r>
      <w:r>
        <w:rPr>
          <w:i/>
          <w:iCs/>
        </w:rPr>
        <w:t xml:space="preserve">Recommendations, Responsible Parties and Supporting Evidence</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500"/>
        <w:gridCol w:w="3640"/>
        <w:gridCol w:w="1900"/>
        <w:gridCol w:w="2600"/>
      </w:tblGrid>
      <w:tr>
        <w:trPr>
          <w:tblHeader/>
        </w:trPr>
        <w:tc>
          <w:tcPr>
            <w:tcW w:type="dxa" w:w="5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No.</w:t>
            </w:r>
          </w:p>
        </w:tc>
        <w:tc>
          <w:tcPr>
            <w:tcW w:type="dxa" w:w="364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Recommendation</w:t>
            </w:r>
          </w:p>
        </w:tc>
        <w:tc>
          <w:tcPr>
            <w:tcW w:type="dxa" w:w="19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Responsible party</w:t>
            </w:r>
          </w:p>
        </w:tc>
        <w:tc>
          <w:tcPr>
            <w:tcW w:type="dxa" w:w="2600"/>
            <w:shd w:fill="EDEFF3" w:color="auto" w:val="clear"/>
            <w:tcMar>
              <w:top w:type="dxa" w:w="80"/>
              <w:left w:type="dxa" w:w="110"/>
              <w:bottom w:type="dxa" w:w="80"/>
              <w:right w:type="dxa" w:w="110"/>
            </w:tcMar>
            <w:vAlign w:val="center"/>
          </w:tcPr>
          <w:p>
            <w:pPr>
              <w:spacing w:after="40" w:line="240"/>
              <w:jc w:val="left"/>
            </w:pPr>
            <w:r>
              <w:rPr>
                <w:b/>
                <w:bCs/>
                <w:sz w:val="20"/>
                <w:szCs w:val="20"/>
              </w:rPr>
              <w:t xml:space="preserve">Supporting evidence</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R1</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Run terraform plan on every pull request and require approval before apply on merge; protect the main branch</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Engineering team; platform manager</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0 of 48 changes reviewed (Section 4.4); Theme 4</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R2</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Replace the long-lived access key with OpenID Connect short-lived credentials</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Engineering team</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Deviation in Section 3.11; Rahman, Parnin &amp; Williams (2019)</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R3</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Destroy service stacks in parallel and scale services to zero before deletion</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Engineering team</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Service-stack destruction 64.6% of the cycle (Section 4.5); Theme 3</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R4</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Create the state bucket once, outside the rebuild cycle, and commit no state files</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Engineering team</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Theme 2; run 3 report failure</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R5</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Commit the dependency lock file, pin provider versions exactly and pin third-party actions to a commit</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Engineering team</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Provider constrained to a major version; lock file ignored (Table 5.1); Decan et al. (2022)</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R6</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Codify TLS, WAF and DNS so that security controls are under review</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Platform manager</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5 of 24 components not fully codified (Table 4.3)</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R7</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Maintain at least two environments and run scheduled drift detection</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Platform manager</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H2 untestable with one environment (Section 4.8.2)</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R8</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Accept code history together with review records as evidence of infrastructure change control</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Technology governance; regulator</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Coverage without review (Section 5.2)</w:t>
            </w:r>
          </w:p>
        </w:tc>
      </w:tr>
      <w:tr>
        <w:trPr>
          <w:cantSplit/>
        </w:trPr>
        <w:tc>
          <w:tcPr>
            <w:tcW w:type="dxa" w:w="500"/>
            <w:tcMar>
              <w:top w:type="dxa" w:w="80"/>
              <w:left w:type="dxa" w:w="110"/>
              <w:bottom w:type="dxa" w:w="80"/>
              <w:right w:type="dxa" w:w="110"/>
            </w:tcMar>
            <w:vAlign w:val="center"/>
          </w:tcPr>
          <w:p>
            <w:pPr>
              <w:spacing w:after="40" w:line="240"/>
              <w:jc w:val="left"/>
            </w:pPr>
            <w:r>
              <w:rPr>
                <w:b w:val="false"/>
                <w:bCs w:val="false"/>
                <w:sz w:val="20"/>
                <w:szCs w:val="20"/>
              </w:rPr>
              <w:t xml:space="preserve">R9</w:t>
            </w:r>
          </w:p>
        </w:tc>
        <w:tc>
          <w:tcPr>
            <w:tcW w:type="dxa" w:w="3640"/>
            <w:tcMar>
              <w:top w:type="dxa" w:w="80"/>
              <w:left w:type="dxa" w:w="110"/>
              <w:bottom w:type="dxa" w:w="80"/>
              <w:right w:type="dxa" w:w="110"/>
            </w:tcMar>
            <w:vAlign w:val="center"/>
          </w:tcPr>
          <w:p>
            <w:pPr>
              <w:spacing w:after="40" w:line="240"/>
              <w:jc w:val="left"/>
            </w:pPr>
            <w:r>
              <w:rPr>
                <w:b w:val="false"/>
                <w:bCs w:val="false"/>
                <w:sz w:val="20"/>
                <w:szCs w:val="20"/>
              </w:rPr>
              <w:t xml:space="preserve">Reuse the measurement scripts and codebase in teaching cloud automation</w:t>
            </w:r>
          </w:p>
        </w:tc>
        <w:tc>
          <w:tcPr>
            <w:tcW w:type="dxa" w:w="1900"/>
            <w:tcMar>
              <w:top w:type="dxa" w:w="80"/>
              <w:left w:type="dxa" w:w="110"/>
              <w:bottom w:type="dxa" w:w="80"/>
              <w:right w:type="dxa" w:w="110"/>
            </w:tcMar>
            <w:vAlign w:val="center"/>
          </w:tcPr>
          <w:p>
            <w:pPr>
              <w:spacing w:after="40" w:line="240"/>
              <w:jc w:val="left"/>
            </w:pPr>
            <w:r>
              <w:rPr>
                <w:b w:val="false"/>
                <w:bCs w:val="false"/>
                <w:sz w:val="20"/>
                <w:szCs w:val="20"/>
              </w:rPr>
              <w:t xml:space="preserve">University of Puthisastra</w:t>
            </w:r>
          </w:p>
        </w:tc>
        <w:tc>
          <w:tcPr>
            <w:tcW w:type="dxa" w:w="2600"/>
            <w:tcMar>
              <w:top w:type="dxa" w:w="80"/>
              <w:left w:type="dxa" w:w="110"/>
              <w:bottom w:type="dxa" w:w="80"/>
              <w:right w:type="dxa" w:w="110"/>
            </w:tcMar>
            <w:vAlign w:val="center"/>
          </w:tcPr>
          <w:p>
            <w:pPr>
              <w:spacing w:after="40" w:line="240"/>
              <w:jc w:val="left"/>
            </w:pPr>
            <w:r>
              <w:rPr>
                <w:b w:val="false"/>
                <w:bCs w:val="false"/>
                <w:sz w:val="20"/>
                <w:szCs w:val="20"/>
              </w:rPr>
              <w:t xml:space="preserve">Reusable instruments (Section 6.4.3)</w:t>
            </w:r>
          </w:p>
        </w:tc>
      </w:tr>
    </w:tbl>
    <w:p>
      <w:pPr>
        <w:pStyle w:val="Heading3"/>
        <w:keepNext/>
        <w:spacing w:after="120" w:before="220"/>
      </w:pPr>
      <w:r>
        <w:t xml:space="preserve">6.5.1 Recommendations for Engineering Teams</w:t>
      </w:r>
    </w:p>
    <w:p>
      <w:pPr>
        <w:spacing w:after="160" w:before="0" w:line="360"/>
        <w:jc w:val="both"/>
      </w:pPr>
      <w:r>
        <w:t xml:space="preserve">Teams adopting Terraform should build the review gate at the same time as the pipeline, not afterwards (R1), because this study shows that a working pipeline removes the pressure to add one. Credentials should be short-lived from the start (R2). The rebuild procedure should destroy independent service stacks concurrently and drain services before deleting them (R3), which on the evidence here could remove most of the 18 minutes spent on sequential deletion, although that saving was not measured. The state bucket should be treated as long-lived infrastructure created once, so that no state file is ever committed (R4), and versions should be fixed exactly so that a rebuild in six months uses the same code (R5).</w:t>
      </w:r>
    </w:p>
    <w:p>
      <w:pPr>
        <w:pStyle w:val="Heading3"/>
        <w:keepNext/>
        <w:spacing w:after="120" w:before="220"/>
      </w:pPr>
      <w:r>
        <w:t xml:space="preserve">6.5.2 Recommendations for Institutions and Platform Management</w:t>
      </w:r>
    </w:p>
    <w:p>
      <w:pPr>
        <w:spacing w:after="160" w:before="0" w:line="360"/>
        <w:jc w:val="both"/>
      </w:pPr>
      <w:r>
        <w:t xml:space="preserve">Platform managers should treat the uncodified components as the priority list for the next phase (R6), since edge security is exactly what an auditor will ask about, and should fund a second persistent environment with scheduled drift detection (R7). Without it, the claim that IaC keeps environments consistent cannot be checked.</w:t>
      </w:r>
    </w:p>
    <w:p>
      <w:pPr>
        <w:pStyle w:val="Heading3"/>
        <w:keepNext/>
        <w:spacing w:after="120" w:before="220"/>
      </w:pPr>
      <w:r>
        <w:t xml:space="preserve">6.5.3 Recommendations for Policymakers</w:t>
      </w:r>
    </w:p>
    <w:p>
      <w:pPr>
        <w:spacing w:after="160" w:before="0" w:line="360"/>
        <w:jc w:val="both"/>
      </w:pPr>
      <w:r>
        <w:t xml:space="preserve">Supervisors and internal governance functions assessing change management should ask for two things: the version history of the infrastructure code and the record of who approved each change (R8). This study shows that the first can exist in full without the second.</w:t>
      </w:r>
    </w:p>
    <w:p>
      <w:pPr>
        <w:pStyle w:val="Heading3"/>
        <w:keepNext/>
        <w:spacing w:after="120" w:before="220"/>
      </w:pPr>
      <w:r>
        <w:t xml:space="preserve">6.5.4 Recommendations for Educators and the University of Puthisastra</w:t>
      </w:r>
    </w:p>
    <w:p>
      <w:pPr>
        <w:spacing w:after="160" w:before="0" w:line="360"/>
        <w:jc w:val="both"/>
      </w:pPr>
      <w:r>
        <w:t xml:space="preserve">The scripts and Terraform code produced here can serve as a teaching artefact for cloud automation and for measuring engineering outcomes (R9). Courses should present state management and change review as core skills alongside writing Terraform, because those were where the difficulty lay.</w:t>
      </w:r>
    </w:p>
    <w:p>
      <w:pPr>
        <w:pStyle w:val="Heading2"/>
        <w:keepNext/>
        <w:spacing w:after="140" w:before="280"/>
      </w:pPr>
      <w:r>
        <w:t xml:space="preserve">6.6 Limitations of the Study</w:t>
      </w:r>
    </w:p>
    <w:p>
      <w:pPr>
        <w:spacing w:after="160" w:before="0" w:line="360"/>
        <w:jc w:val="both"/>
      </w:pPr>
      <w:r>
        <w:t xml:space="preserve">The study has six limitations. It is a single case: one architecture, one account, one region and one researcher, so its findings generalise analytically rather than statistically. The manual condition was simulated rather than observed, so H1 and H3 rest on a model whose parameters were the researcher's own. Only one environment existed, so drift, H2 and H5 were not tested. The gated level of integration depth was not implemented. Terraform reproducibility was measured by completion and service health rather than attribute by attribute. Finally, the researcher built, measured and interpreted the system, which bears most on the qualitative strand. The planned thirty cycles were achieved, but within two days and under two triggers, so they sample AWS and runner conditions over a short window; the small difference between the triggers shows that such conditions are visible in the data.</w:t>
      </w:r>
    </w:p>
    <w:p>
      <w:pPr>
        <w:pStyle w:val="Heading2"/>
        <w:keepNext/>
        <w:spacing w:after="140" w:before="280"/>
      </w:pPr>
      <w:r>
        <w:t xml:space="preserve">6.7 Recommendations for Future Research</w:t>
      </w:r>
    </w:p>
    <w:p>
      <w:pPr>
        <w:spacing w:after="160" w:before="0" w:line="360"/>
        <w:jc w:val="both"/>
      </w:pPr>
      <w:r>
        <w:t xml:space="preserve">Each limitation suggests a study. A timed manual baseline, ideally performed by several engineers following a written console procedure, would replace the simulated manual condition with observed data and test H1 and H3 directly. A study maintaining two or three environments over several months, with scheduled drift detection, would test H2. Implementing all three depth levels and comparing drift and policy violations across them would test H5 and check the result reported by Kolomytskyi et al. (2026). An attribute-level comparison of rebuilt environments would test reproducibility more strictly. A longitudinal follow-up would measure the maintenance cost that Begoug, Ouni, and Chouchen (2025) identify. Replication in other Cambodian organisations would test whether these findings transfer within the setting the study set out to inform.</w:t>
      </w:r>
    </w:p>
    <w:p>
      <w:pPr>
        <w:pStyle w:val="Heading2"/>
        <w:keepNext/>
        <w:spacing w:after="140" w:before="280"/>
      </w:pPr>
      <w:r>
        <w:t xml:space="preserve">6.8 Concluding Remarks</w:t>
      </w:r>
    </w:p>
    <w:p>
      <w:pPr>
        <w:spacing w:after="160" w:before="0" w:line="360"/>
        <w:jc w:val="both"/>
      </w:pPr>
      <w:r>
        <w:t xml:space="preserve">The question this study began with was whether moving an AWS architecture from hand-built to Terraform-managed is worth it. On the evidence here, the technical answer is yes, and quickly: within days one engineer had an environment that could be rebuilt identically in under ten minutes, every time. The harder answer concerns control. Code made every change visible, but it did not make anyone check a change before it took effect. For organisations in Cambodia's regulated sectors, the lesson is that the tool delivers the record and the organisation must still supply the review.</w:t>
      </w:r>
    </w:p>
    <w:p>
      <w:pPr>
        <w:pStyle w:val="Heading1"/>
        <w:pageBreakBefore/>
        <w:spacing w:after="240" w:before="240"/>
        <w:jc w:val="left"/>
      </w:pPr>
      <w:r>
        <w:t xml:space="preserve">REFERENCES</w:t>
      </w:r>
    </w:p>
    <w:p>
      <w:pPr>
        <w:spacing w:after="240" w:before="0" w:line="360"/>
        <w:jc w:val="both"/>
      </w:pPr>
      <w:r>
        <w:t xml:space="preserve">All sources are formatted in accordance with the seventh edition of the Publication Manual of the American Psychological Association (American Psychological Association, 2020) and are listed alphabetically by author surname with a hanging indent of 0.5 inch.</w:t>
      </w:r>
    </w:p>
    <w:p>
      <w:pPr>
        <w:spacing w:after="120" w:line="360"/>
        <w:ind w:left="720" w:hanging="720"/>
        <w:jc w:val="left"/>
      </w:pPr>
      <w:r>
        <w:t xml:space="preserve">Ajzen, I. (1991). The theory of planned behavior. </w:t>
      </w:r>
      <w:r>
        <w:rPr>
          <w:i/>
          <w:iCs/>
        </w:rPr>
        <w:t xml:space="preserve">Organizational Behavior and Human Decision Processes, 50</w:t>
      </w:r>
      <w:r>
        <w:t xml:space="preserve">(2), 179–211. https://doi.org/10.1016/0749-5978(91)90020-T</w:t>
      </w:r>
    </w:p>
    <w:p>
      <w:pPr>
        <w:spacing w:after="120" w:line="360"/>
        <w:ind w:left="720" w:hanging="720"/>
        <w:jc w:val="left"/>
      </w:pPr>
      <w:r>
        <w:t xml:space="preserve">American Psychological Association. (2020). </w:t>
      </w:r>
      <w:r>
        <w:rPr>
          <w:i/>
          <w:iCs/>
        </w:rPr>
        <w:t xml:space="preserve">Publication manual of the American Psychological Association</w:t>
      </w:r>
      <w:r>
        <w:t xml:space="preserve"> (7th ed.). https://doi.org/10.1037/0000165-000</w:t>
      </w:r>
    </w:p>
    <w:p>
      <w:pPr>
        <w:spacing w:after="120" w:line="360"/>
        <w:ind w:left="720" w:hanging="720"/>
        <w:jc w:val="left"/>
      </w:pPr>
      <w:r>
        <w:t xml:space="preserve">Begoug, M., Bessghaier, N., Ouni, A., AlOmar, E. A., &amp; Mkaouer, M. W. (2023). What do infrastructure-as-code practitioners discuss: An empirical study on Stack Overflow. In </w:t>
      </w:r>
      <w:r>
        <w:rPr>
          <w:i/>
          <w:iCs/>
        </w:rPr>
        <w:t xml:space="preserve">2023 ACM/IEEE International Symposium on Empirical Software Engineering and Measurement (ESEM)</w:t>
      </w:r>
      <w:r>
        <w:t xml:space="preserve"> (pp. 1–12). IEEE. https://doi.org/10.1109/ESEM56168.2023.10304847</w:t>
      </w:r>
    </w:p>
    <w:p>
      <w:pPr>
        <w:spacing w:after="120" w:line="360"/>
        <w:ind w:left="720" w:hanging="720"/>
        <w:jc w:val="left"/>
      </w:pPr>
      <w:r>
        <w:t xml:space="preserve">Begoug, M., Ouni, A., &amp; Chouchen, M. (2025). How do infrastructure-as-code practitioners update their dependencies? An empirical study on Terraform module updates. In </w:t>
      </w:r>
      <w:r>
        <w:rPr>
          <w:i/>
          <w:iCs/>
        </w:rPr>
        <w:t xml:space="preserve">2025 IEEE/ACM 22nd International Conference on Mining Software Repositories (MSR)</w:t>
      </w:r>
      <w:r>
        <w:t xml:space="preserve"> (pp. 642–653). IEEE. https://doi.org/10.1109/MSR66628.2025.00100</w:t>
      </w:r>
    </w:p>
    <w:p>
      <w:pPr>
        <w:spacing w:after="120" w:line="360"/>
        <w:ind w:left="720" w:hanging="720"/>
        <w:jc w:val="left"/>
      </w:pPr>
      <w:r>
        <w:t xml:space="preserve">Begoug, M., Ouni, A., &amp; Khelifi, J. (2025). Understanding AWS provider dependency updates in infrastructure-as-code: Empirical study, taxonomy, and insights. </w:t>
      </w:r>
      <w:r>
        <w:rPr>
          <w:i/>
          <w:iCs/>
        </w:rPr>
        <w:t xml:space="preserve">IEEE Transactions on Services Computing, 18</w:t>
      </w:r>
      <w:r>
        <w:t xml:space="preserve">(6), 4318–4334. https://doi.org/10.1109/TSC.2025.3601051</w:t>
      </w:r>
    </w:p>
    <w:p>
      <w:pPr>
        <w:spacing w:after="120" w:line="360"/>
        <w:ind w:left="720" w:hanging="720"/>
        <w:jc w:val="left"/>
      </w:pPr>
      <w:r>
        <w:t xml:space="preserve">Braun, V., &amp; Clarke, V. (2006). Using thematic analysis in psychology. </w:t>
      </w:r>
      <w:r>
        <w:rPr>
          <w:i/>
          <w:iCs/>
        </w:rPr>
        <w:t xml:space="preserve">Qualitative Research in Psychology, 3</w:t>
      </w:r>
      <w:r>
        <w:t xml:space="preserve">(2), 77–101. https://doi.org/10.1191/1478088706qp063oa</w:t>
      </w:r>
    </w:p>
    <w:p>
      <w:pPr>
        <w:spacing w:after="120" w:line="360"/>
        <w:ind w:left="720" w:hanging="720"/>
        <w:jc w:val="left"/>
      </w:pPr>
      <w:r>
        <w:t xml:space="preserve">Braun, V., &amp; Clarke, V. (2021). One size fits all? What counts as quality practice in (reflexive) thematic analysis? </w:t>
      </w:r>
      <w:r>
        <w:rPr>
          <w:i/>
          <w:iCs/>
        </w:rPr>
        <w:t xml:space="preserve">Qualitative Research in Psychology, 18</w:t>
      </w:r>
      <w:r>
        <w:t xml:space="preserve">(3), 328–352. https://doi.org/10.1080/14780887.2020.1769238</w:t>
      </w:r>
    </w:p>
    <w:p>
      <w:pPr>
        <w:spacing w:after="120" w:line="360"/>
        <w:ind w:left="720" w:hanging="720"/>
        <w:jc w:val="left"/>
      </w:pPr>
      <w:r>
        <w:t xml:space="preserve">Cohen, J. (1988). </w:t>
      </w:r>
      <w:r>
        <w:rPr>
          <w:i/>
          <w:iCs/>
        </w:rPr>
        <w:t xml:space="preserve">Statistical power analysis for the behavioral sciences</w:t>
      </w:r>
      <w:r>
        <w:t xml:space="preserve"> (2nd ed.). Lawrence Erlbaum Associates.</w:t>
      </w:r>
    </w:p>
    <w:p>
      <w:pPr>
        <w:spacing w:after="120" w:line="360"/>
        <w:ind w:left="720" w:hanging="720"/>
        <w:jc w:val="left"/>
      </w:pPr>
      <w:r>
        <w:t xml:space="preserve">Creswell, J. W., &amp; Plano Clark, V. L. (2018). </w:t>
      </w:r>
      <w:r>
        <w:rPr>
          <w:i/>
          <w:iCs/>
        </w:rPr>
        <w:t xml:space="preserve">Designing and conducting mixed methods research</w:t>
      </w:r>
      <w:r>
        <w:t xml:space="preserve"> (3rd ed.). SAGE Publications.</w:t>
      </w:r>
    </w:p>
    <w:p>
      <w:pPr>
        <w:spacing w:after="120" w:line="360"/>
        <w:ind w:left="720" w:hanging="720"/>
        <w:jc w:val="left"/>
      </w:pPr>
      <w:r>
        <w:t xml:space="preserve">Davis, F. D. (1989). Perceived usefulness, perceived ease of use, and user acceptance of information technology. </w:t>
      </w:r>
      <w:r>
        <w:rPr>
          <w:i/>
          <w:iCs/>
        </w:rPr>
        <w:t xml:space="preserve">MIS Quarterly, 13</w:t>
      </w:r>
      <w:r>
        <w:t xml:space="preserve">(3), 319–340. https://doi.org/10.2307/249008</w:t>
      </w:r>
    </w:p>
    <w:p>
      <w:pPr>
        <w:spacing w:after="120" w:line="360"/>
        <w:ind w:left="720" w:hanging="720"/>
        <w:jc w:val="left"/>
      </w:pPr>
      <w:r>
        <w:t xml:space="preserve">Decan, A., Mens, T., Rostami Mazrae, P., &amp; Golzadeh, M. (2022). On the use of GitHub Actions in software development repositories. In </w:t>
      </w:r>
      <w:r>
        <w:rPr>
          <w:i/>
          <w:iCs/>
        </w:rPr>
        <w:t xml:space="preserve">2022 IEEE International Conference on Software Maintenance and Evolution (ICSME)</w:t>
      </w:r>
      <w:r>
        <w:t xml:space="preserve"> (pp. 235–245). IEEE. https://doi.org/10.1109/ICSME55016.2022.00029</w:t>
      </w:r>
    </w:p>
    <w:p>
      <w:pPr>
        <w:spacing w:after="120" w:line="360"/>
        <w:ind w:left="720" w:hanging="720"/>
        <w:jc w:val="left"/>
      </w:pPr>
      <w:r>
        <w:t xml:space="preserve">Fetters, M. D., Curry, L. A., &amp; Creswell, J. W. (2013). Achieving integration in mixed methods designs: Principles and practices. </w:t>
      </w:r>
      <w:r>
        <w:rPr>
          <w:i/>
          <w:iCs/>
        </w:rPr>
        <w:t xml:space="preserve">Health Services Research, 48</w:t>
      </w:r>
      <w:r>
        <w:t xml:space="preserve">(6pt2), 2134–2156. https://doi.org/10.1111/1475-6773.12117</w:t>
      </w:r>
    </w:p>
    <w:p>
      <w:pPr>
        <w:spacing w:after="120" w:line="360"/>
        <w:ind w:left="720" w:hanging="720"/>
        <w:jc w:val="left"/>
      </w:pPr>
      <w:r>
        <w:t xml:space="preserve">Field, A. (2018). </w:t>
      </w:r>
      <w:r>
        <w:rPr>
          <w:i/>
          <w:iCs/>
        </w:rPr>
        <w:t xml:space="preserve">Discovering statistics using IBM SPSS Statistics</w:t>
      </w:r>
      <w:r>
        <w:t xml:space="preserve"> (5th ed.). SAGE Publications.</w:t>
      </w:r>
    </w:p>
    <w:p>
      <w:pPr>
        <w:spacing w:after="120" w:line="360"/>
        <w:ind w:left="720" w:hanging="720"/>
        <w:jc w:val="left"/>
      </w:pPr>
      <w:r>
        <w:t xml:space="preserve">Guba, E. G., &amp; Lincoln, Y. S. (1994). Competing paradigms in qualitative research. In N. K. Denzin &amp; Y. S. Lincoln (Eds.), </w:t>
      </w:r>
      <w:r>
        <w:rPr>
          <w:i/>
          <w:iCs/>
        </w:rPr>
        <w:t xml:space="preserve">Handbook of qualitative research</w:t>
      </w:r>
      <w:r>
        <w:t xml:space="preserve"> (pp. 105–117). SAGE Publications.</w:t>
      </w:r>
    </w:p>
    <w:p>
      <w:pPr>
        <w:spacing w:after="120" w:line="360"/>
        <w:ind w:left="720" w:hanging="720"/>
        <w:jc w:val="left"/>
      </w:pPr>
      <w:r>
        <w:t xml:space="preserve">Guerriero, M., Garriga, M., Tamburri, D. A., &amp; Palomba, F. (2019). Adoption, support, and challenges of infrastructure-as-code: Insights from industry. In </w:t>
      </w:r>
      <w:r>
        <w:rPr>
          <w:i/>
          <w:iCs/>
        </w:rPr>
        <w:t xml:space="preserve">2019 IEEE International Conference on Software Maintenance and Evolution (ICSME)</w:t>
      </w:r>
      <w:r>
        <w:t xml:space="preserve"> (pp. 580–589). IEEE. https://doi.org/10.1109/ICSME.2019.00092</w:t>
      </w:r>
    </w:p>
    <w:p>
      <w:pPr>
        <w:spacing w:after="120" w:line="360"/>
        <w:ind w:left="720" w:hanging="720"/>
        <w:jc w:val="left"/>
      </w:pPr>
      <w:r>
        <w:t xml:space="preserve">Hedges, L. V. (1981). Distribution theory for Glass's estimator of effect size and related estimators. </w:t>
      </w:r>
      <w:r>
        <w:rPr>
          <w:i/>
          <w:iCs/>
        </w:rPr>
        <w:t xml:space="preserve">Journal of Educational Statistics, 6</w:t>
      </w:r>
      <w:r>
        <w:t xml:space="preserve">(2), 107–128. https://doi.org/10.3102/10769986006002107</w:t>
      </w:r>
    </w:p>
    <w:p>
      <w:pPr>
        <w:spacing w:after="120" w:line="360"/>
        <w:ind w:left="720" w:hanging="720"/>
        <w:jc w:val="left"/>
      </w:pPr>
      <w:r>
        <w:t xml:space="preserve">Hilton, M., Tunnell, T., Huang, K., Marinov, D., &amp; Dig, D. (2016). Usage, costs, and benefits of continuous integration in open-source projects. In </w:t>
      </w:r>
      <w:r>
        <w:rPr>
          <w:i/>
          <w:iCs/>
        </w:rPr>
        <w:t xml:space="preserve">Proceedings of the 31st IEEE/ACM International Conference on Automated Software Engineering</w:t>
      </w:r>
      <w:r>
        <w:t xml:space="preserve"> (pp. 426–437). ACM. https://doi.org/10.1145/2970276.2970358</w:t>
      </w:r>
    </w:p>
    <w:p>
      <w:pPr>
        <w:spacing w:after="120" w:line="360"/>
        <w:ind w:left="720" w:hanging="720"/>
        <w:jc w:val="left"/>
      </w:pPr>
      <w:r>
        <w:t xml:space="preserve">Johnson, R. B., &amp; Onwuegbuzie, A. J. (2004). Mixed methods research: A research paradigm whose time has come. </w:t>
      </w:r>
      <w:r>
        <w:rPr>
          <w:i/>
          <w:iCs/>
        </w:rPr>
        <w:t xml:space="preserve">Educational Researcher, 33</w:t>
      </w:r>
      <w:r>
        <w:t xml:space="preserve">(7), 14–26. https://doi.org/10.3102/0013189X033007014</w:t>
      </w:r>
    </w:p>
    <w:p>
      <w:pPr>
        <w:spacing w:after="120" w:line="360"/>
        <w:ind w:left="720" w:hanging="720"/>
        <w:jc w:val="left"/>
      </w:pPr>
      <w:r>
        <w:t xml:space="preserve">Kinsman, T., Wessel, M., Gerosa, M. A., &amp; Treude, C. (2021). How do software developers use GitHub Actions to automate their workflows? In </w:t>
      </w:r>
      <w:r>
        <w:rPr>
          <w:i/>
          <w:iCs/>
        </w:rPr>
        <w:t xml:space="preserve">2021 IEEE/ACM 18th International Conference on Mining Software Repositories (MSR)</w:t>
      </w:r>
      <w:r>
        <w:t xml:space="preserve"> (pp. 420–431). IEEE. https://doi.org/10.1109/MSR52588.2021.00054</w:t>
      </w:r>
    </w:p>
    <w:p>
      <w:pPr>
        <w:spacing w:after="120" w:line="360"/>
        <w:ind w:left="720" w:hanging="720"/>
        <w:jc w:val="left"/>
      </w:pPr>
      <w:r>
        <w:t xml:space="preserve">Kolomytskyi, D., Rehida, P., Onyshko, O., &amp; Ilchyshyna, Y. (2026). Generalized method for managing the lifecycle of Terraform infrastructure across multiple environments. </w:t>
      </w:r>
      <w:r>
        <w:rPr>
          <w:i/>
          <w:iCs/>
        </w:rPr>
        <w:t xml:space="preserve">Computer Systems and Information Technologies</w:t>
      </w:r>
      <w:r>
        <w:t xml:space="preserve">, (2), 26–32. https://doi.org/10.31891/csit-2026-2-3</w:t>
      </w:r>
    </w:p>
    <w:p>
      <w:pPr>
        <w:spacing w:after="120" w:line="360"/>
        <w:ind w:left="720" w:hanging="720"/>
        <w:jc w:val="left"/>
      </w:pPr>
      <w:r>
        <w:t xml:space="preserve">Kumara, I., Garriga, M., Romeu, A. U., Di Nucci, D., Palomba, F., Tamburri, D. A., &amp; van den Heuvel, W.-J. (2021). The do's and don'ts of infrastructure code: A systematic gray literature review. </w:t>
      </w:r>
      <w:r>
        <w:rPr>
          <w:i/>
          <w:iCs/>
        </w:rPr>
        <w:t xml:space="preserve">Information and Software Technology, 137</w:t>
      </w:r>
      <w:r>
        <w:t xml:space="preserve">, Article 106593. https://doi.org/10.1016/j.infsof.2021.106593</w:t>
      </w:r>
    </w:p>
    <w:p>
      <w:pPr>
        <w:spacing w:after="120" w:line="360"/>
        <w:ind w:left="720" w:hanging="720"/>
        <w:jc w:val="left"/>
      </w:pPr>
      <w:r>
        <w:t xml:space="preserve">Leite, L., Rocha, C., Kon, F., Milojicic, D., &amp; Meirelles, P. (2019). A survey of DevOps concepts and challenges. </w:t>
      </w:r>
      <w:r>
        <w:rPr>
          <w:i/>
          <w:iCs/>
        </w:rPr>
        <w:t xml:space="preserve">ACM Computing Surveys, 52</w:t>
      </w:r>
      <w:r>
        <w:t xml:space="preserve">(6), Article 127. https://doi.org/10.1145/3359981</w:t>
      </w:r>
    </w:p>
    <w:p>
      <w:pPr>
        <w:spacing w:after="120" w:line="360"/>
        <w:ind w:left="720" w:hanging="720"/>
        <w:jc w:val="left"/>
      </w:pPr>
      <w:r>
        <w:t xml:space="preserve">Lincoln, Y. S., &amp; Guba, E. G. (1985). </w:t>
      </w:r>
      <w:r>
        <w:rPr>
          <w:i/>
          <w:iCs/>
        </w:rPr>
        <w:t xml:space="preserve">Naturalistic inquiry</w:t>
      </w:r>
      <w:r>
        <w:t xml:space="preserve">. SAGE Publications.</w:t>
      </w:r>
    </w:p>
    <w:p>
      <w:pPr>
        <w:spacing w:after="120" w:line="360"/>
        <w:ind w:left="720" w:hanging="720"/>
        <w:jc w:val="left"/>
      </w:pPr>
      <w:r>
        <w:t xml:space="preserve">Mann, H. B., &amp; Whitney, D. R. (1947). On a test of whether one of two random variables is stochastically larger than the other. </w:t>
      </w:r>
      <w:r>
        <w:rPr>
          <w:i/>
          <w:iCs/>
        </w:rPr>
        <w:t xml:space="preserve">The Annals of Mathematical Statistics, 18</w:t>
      </w:r>
      <w:r>
        <w:t xml:space="preserve">(1), 50–60. https://doi.org/10.1214/aoms/1177730491</w:t>
      </w:r>
    </w:p>
    <w:p>
      <w:pPr>
        <w:spacing w:after="120" w:line="360"/>
        <w:ind w:left="720" w:hanging="720"/>
        <w:jc w:val="left"/>
      </w:pPr>
      <w:r>
        <w:t xml:space="preserve">Nowell, L. S., Norris, J. M., White, D. E., &amp; Moules, N. J. (2017). Thematic analysis: Striving to meet the trustworthiness criteria. </w:t>
      </w:r>
      <w:r>
        <w:rPr>
          <w:i/>
          <w:iCs/>
        </w:rPr>
        <w:t xml:space="preserve">International Journal of Qualitative Methods, 16</w:t>
      </w:r>
      <w:r>
        <w:t xml:space="preserve">(1), 1–13. https://doi.org/10.1177/1609406917733847</w:t>
      </w:r>
    </w:p>
    <w:p>
      <w:pPr>
        <w:spacing w:after="120" w:line="360"/>
        <w:ind w:left="720" w:hanging="720"/>
        <w:jc w:val="lef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iCs/>
        </w:rPr>
        <w:t xml:space="preserve">BMJ, 372</w:t>
      </w:r>
      <w:r>
        <w:t xml:space="preserve">, n71. https://doi.org/10.1136/bmj.n71</w:t>
      </w:r>
    </w:p>
    <w:p>
      <w:pPr>
        <w:spacing w:after="120" w:line="360"/>
        <w:ind w:left="720" w:hanging="720"/>
        <w:jc w:val="left"/>
      </w:pPr>
      <w:r>
        <w:t xml:space="preserve">Podsakoff, P. M., MacKenzie, S. B., Lee, J.-Y., &amp; Podsakoff, N. P. (2003). Common method biases in behavioral research: A critical review of the literature and recommended remedies. </w:t>
      </w:r>
      <w:r>
        <w:rPr>
          <w:i/>
          <w:iCs/>
        </w:rPr>
        <w:t xml:space="preserve">Journal of Applied Psychology, 88</w:t>
      </w:r>
      <w:r>
        <w:t xml:space="preserve">(5), 879–903. https://doi.org/10.1037/0021-9010.88.5.879</w:t>
      </w:r>
    </w:p>
    <w:p>
      <w:pPr>
        <w:spacing w:after="120" w:line="360"/>
        <w:ind w:left="720" w:hanging="720"/>
        <w:jc w:val="left"/>
      </w:pPr>
      <w:r>
        <w:t xml:space="preserve">Rahman, A., Farhana, E., Parnin, C., &amp; Williams, L. (2020). Gang of eight: A defect taxonomy for infrastructure as code scripts. In </w:t>
      </w:r>
      <w:r>
        <w:rPr>
          <w:i/>
          <w:iCs/>
        </w:rPr>
        <w:t xml:space="preserve">Proceedings of the ACM/IEEE 42nd International Conference on Software Engineering</w:t>
      </w:r>
      <w:r>
        <w:t xml:space="preserve"> (pp. 752–764). ACM. https://doi.org/10.1145/3377811.3380409</w:t>
      </w:r>
    </w:p>
    <w:p>
      <w:pPr>
        <w:spacing w:after="120" w:line="360"/>
        <w:ind w:left="720" w:hanging="720"/>
        <w:jc w:val="left"/>
      </w:pPr>
      <w:r>
        <w:t xml:space="preserve">Rahman, A., Mahdavi-Hezaveh, R., &amp; Williams, L. (2019). A systematic mapping study of infrastructure as code research. </w:t>
      </w:r>
      <w:r>
        <w:rPr>
          <w:i/>
          <w:iCs/>
        </w:rPr>
        <w:t xml:space="preserve">Information and Software Technology, 108</w:t>
      </w:r>
      <w:r>
        <w:t xml:space="preserve">, 65–77. https://doi.org/10.1016/j.infsof.2018.12.004</w:t>
      </w:r>
    </w:p>
    <w:p>
      <w:pPr>
        <w:spacing w:after="120" w:line="360"/>
        <w:ind w:left="720" w:hanging="720"/>
        <w:jc w:val="left"/>
      </w:pPr>
      <w:r>
        <w:t xml:space="preserve">Rahman, A., Parnin, C., &amp; Williams, L. (2019). The seven sins: Security smells in infrastructure as code scripts. In </w:t>
      </w:r>
      <w:r>
        <w:rPr>
          <w:i/>
          <w:iCs/>
        </w:rPr>
        <w:t xml:space="preserve">2019 IEEE/ACM 41st International Conference on Software Engineering (ICSE)</w:t>
      </w:r>
      <w:r>
        <w:t xml:space="preserve"> (pp. 164–175). IEEE. https://doi.org/10.1109/ICSE.2019.00033</w:t>
      </w:r>
    </w:p>
    <w:p>
      <w:pPr>
        <w:spacing w:after="120" w:line="360"/>
        <w:ind w:left="720" w:hanging="720"/>
        <w:jc w:val="left"/>
      </w:pPr>
      <w:r>
        <w:t xml:space="preserve">Rahman, A., &amp; Williams, L. (2019). Source code properties of defective infrastructure as code scripts. </w:t>
      </w:r>
      <w:r>
        <w:rPr>
          <w:i/>
          <w:iCs/>
        </w:rPr>
        <w:t xml:space="preserve">Information and Software Technology, 112</w:t>
      </w:r>
      <w:r>
        <w:t xml:space="preserve">, 148–163. https://doi.org/10.1016/j.infsof.2019.04.013</w:t>
      </w:r>
    </w:p>
    <w:p>
      <w:pPr>
        <w:spacing w:after="120" w:line="360"/>
        <w:ind w:left="720" w:hanging="720"/>
        <w:jc w:val="left"/>
      </w:pPr>
      <w:r>
        <w:t xml:space="preserve">Regvart, D., Vlahović, I., &amp; Balković, M. (2026). A controlled comparative evaluation of infrastructure as code tools: Deployment performance and maintainability across Terraform, Pulumi, and AWS CloudFormation. </w:t>
      </w:r>
      <w:r>
        <w:rPr>
          <w:i/>
          <w:iCs/>
        </w:rPr>
        <w:t xml:space="preserve">Applied Sciences, 16</w:t>
      </w:r>
      <w:r>
        <w:t xml:space="preserve">(6), Article 2971. https://doi.org/10.3390/app16062971</w:t>
      </w:r>
    </w:p>
    <w:p>
      <w:pPr>
        <w:spacing w:after="120" w:line="360"/>
        <w:ind w:left="720" w:hanging="720"/>
        <w:jc w:val="left"/>
      </w:pPr>
      <w:r>
        <w:t xml:space="preserve">Rogers, E. M. (2003). </w:t>
      </w:r>
      <w:r>
        <w:rPr>
          <w:i/>
          <w:iCs/>
        </w:rPr>
        <w:t xml:space="preserve">Diffusion of innovations</w:t>
      </w:r>
      <w:r>
        <w:t xml:space="preserve"> (5th ed.). Free Press.</w:t>
      </w:r>
    </w:p>
    <w:p>
      <w:pPr>
        <w:spacing w:after="120" w:line="360"/>
        <w:ind w:left="720" w:hanging="720"/>
        <w:jc w:val="left"/>
      </w:pPr>
      <w:r>
        <w:t xml:space="preserve">Rostami Mazrae, P., Mens, T., Golzadeh, M., &amp; Decan, A. (2023). On the usage, co-usage and migration of CI/CD tools: A qualitative analysis. </w:t>
      </w:r>
      <w:r>
        <w:rPr>
          <w:i/>
          <w:iCs/>
        </w:rPr>
        <w:t xml:space="preserve">Empirical Software Engineering, 28</w:t>
      </w:r>
      <w:r>
        <w:t xml:space="preserve">(2), Article 52. https://doi.org/10.1007/s10664-022-10285-5</w:t>
      </w:r>
    </w:p>
    <w:p>
      <w:pPr>
        <w:spacing w:after="120" w:line="360"/>
        <w:ind w:left="720" w:hanging="720"/>
        <w:jc w:val="left"/>
      </w:pPr>
      <w:r>
        <w:t xml:space="preserve">Saunders, M., Lewis, P., &amp; Thornhill, A. (2019). </w:t>
      </w:r>
      <w:r>
        <w:rPr>
          <w:i/>
          <w:iCs/>
        </w:rPr>
        <w:t xml:space="preserve">Research methods for business students</w:t>
      </w:r>
      <w:r>
        <w:t xml:space="preserve"> (8th ed.). Pearson Education.</w:t>
      </w:r>
    </w:p>
    <w:p>
      <w:pPr>
        <w:spacing w:after="120" w:line="360"/>
        <w:ind w:left="720" w:hanging="720"/>
        <w:jc w:val="left"/>
      </w:pPr>
      <w:r>
        <w:t xml:space="preserve">Shahin, M., Ali Babar, M., &amp; Zhu, L. (2017). Continuous integration, delivery and deployment: A systematic review on approaches, tools, challenges and practices. </w:t>
      </w:r>
      <w:r>
        <w:rPr>
          <w:i/>
          <w:iCs/>
        </w:rPr>
        <w:t xml:space="preserve">IEEE Access, 5</w:t>
      </w:r>
      <w:r>
        <w:t xml:space="preserve">, 3909–3943. https://doi.org/10.1109/ACCESS.2017.2685629</w:t>
      </w:r>
    </w:p>
    <w:p>
      <w:pPr>
        <w:spacing w:after="120" w:line="360"/>
        <w:ind w:left="720" w:hanging="720"/>
        <w:jc w:val="left"/>
      </w:pPr>
      <w:r>
        <w:t xml:space="preserve">Shapiro, S. S., &amp; Wilk, M. B. (1965). An analysis of variance test for normality (complete samples). </w:t>
      </w:r>
      <w:r>
        <w:rPr>
          <w:i/>
          <w:iCs/>
        </w:rPr>
        <w:t xml:space="preserve">Biometrika, 52</w:t>
      </w:r>
      <w:r>
        <w:t xml:space="preserve">(3–4), 591–611. https://doi.org/10.1093/biomet/52.3-4.591</w:t>
      </w:r>
    </w:p>
    <w:p>
      <w:pPr>
        <w:spacing w:after="120" w:line="360"/>
        <w:ind w:left="720" w:hanging="720"/>
        <w:jc w:val="left"/>
      </w:pPr>
      <w:r>
        <w:t xml:space="preserve">Vasilescu, B., Yu, Y., Wang, H., Devanbu, P., &amp; Filkov, V. (2015). Quality and productivity outcomes relating to continuous integration in GitHub. In </w:t>
      </w:r>
      <w:r>
        <w:rPr>
          <w:i/>
          <w:iCs/>
        </w:rPr>
        <w:t xml:space="preserve">Proceedings of the 2015 10th Joint Meeting on Foundations of Software Engineering</w:t>
      </w:r>
      <w:r>
        <w:t xml:space="preserve"> (pp. 805–816). ACM. https://doi.org/10.1145/2786805.2786850</w:t>
      </w:r>
    </w:p>
    <w:p>
      <w:pPr>
        <w:spacing w:after="120" w:line="360"/>
        <w:ind w:left="720" w:hanging="720"/>
        <w:jc w:val="left"/>
      </w:pPr>
      <w:r>
        <w:t xml:space="preserve">Venkatesh, V., Morris, M. G., Davis, G. B., &amp; Davis, F. D. (2003). User acceptance of information technology: Toward a unified view. </w:t>
      </w:r>
      <w:r>
        <w:rPr>
          <w:i/>
          <w:iCs/>
        </w:rPr>
        <w:t xml:space="preserve">MIS Quarterly, 27</w:t>
      </w:r>
      <w:r>
        <w:t xml:space="preserve">(3), 425–478. https://doi.org/10.2307/30036540</w:t>
      </w:r>
    </w:p>
    <w:p>
      <w:pPr>
        <w:spacing w:after="120" w:line="360"/>
        <w:ind w:left="720" w:hanging="720"/>
        <w:jc w:val="left"/>
      </w:pPr>
      <w:r>
        <w:t xml:space="preserve">Verdet, A., Hamdaqa, M., Da Silva, L., &amp; Khomh, F. (2025). Assessing the adoption of security policies by developers in Terraform across different cloud providers. </w:t>
      </w:r>
      <w:r>
        <w:rPr>
          <w:i/>
          <w:iCs/>
        </w:rPr>
        <w:t xml:space="preserve">Empirical Software Engineering, 30</w:t>
      </w:r>
      <w:r>
        <w:t xml:space="preserve">(3), Article 74. https://doi.org/10.1007/s10664-024-10610-0</w:t>
      </w:r>
    </w:p>
    <w:p>
      <w:pPr>
        <w:spacing w:after="120" w:line="360"/>
        <w:ind w:left="720" w:hanging="720"/>
        <w:jc w:val="left"/>
      </w:pPr>
      <w:r>
        <w:t xml:space="preserve">Villamizar, M., Garcés, O., Ochoa, L., Castro, H., Salamanca, L., Verano, M., Casallas, R., Gil, S., Valencia, C., Zambrano, A., &amp; Lang, M. (2017). Cost comparison of running web applications in the cloud using monolithic, microservice, and AWS Lambda architectures. </w:t>
      </w:r>
      <w:r>
        <w:rPr>
          <w:i/>
          <w:iCs/>
        </w:rPr>
        <w:t xml:space="preserve">Service Oriented Computing and Applications, 11</w:t>
      </w:r>
      <w:r>
        <w:t xml:space="preserve">(2), 233–247. https://doi.org/10.1007/s11761-017-0208-y</w:t>
      </w:r>
    </w:p>
    <w:p>
      <w:pPr>
        <w:spacing w:after="120" w:line="360"/>
        <w:ind w:left="720" w:hanging="720"/>
        <w:jc w:val="left"/>
      </w:pPr>
      <w:r>
        <w:t xml:space="preserve">Webster, J., &amp; Watson, R. T. (2002). Analyzing the past to prepare for the future: Writing a literature review. </w:t>
      </w:r>
      <w:r>
        <w:rPr>
          <w:i/>
          <w:iCs/>
        </w:rPr>
        <w:t xml:space="preserve">MIS Quarterly, 26</w:t>
      </w:r>
      <w:r>
        <w:t xml:space="preserve">(2), xiii–xxiii.</w:t>
      </w:r>
    </w:p>
    <w:p>
      <w:pPr>
        <w:spacing w:after="120" w:line="360"/>
        <w:ind w:left="720" w:hanging="720"/>
        <w:jc w:val="left"/>
      </w:pPr>
      <w:r>
        <w:t xml:space="preserve">Welch, B. L. (1947). The generalization of ‘Student’s’ problem when several different population variances are involved. </w:t>
      </w:r>
      <w:r>
        <w:rPr>
          <w:i/>
          <w:iCs/>
        </w:rPr>
        <w:t xml:space="preserve">Biometrika, 34</w:t>
      </w:r>
      <w:r>
        <w:t xml:space="preserve">(1–2), 28–35. https://doi.org/10.1093/biomet/34.1-2.28</w:t>
      </w:r>
    </w:p>
    <w:p>
      <w:pPr>
        <w:spacing w:after="120" w:line="360"/>
        <w:ind w:left="720" w:hanging="720"/>
        <w:jc w:val="left"/>
      </w:pPr>
      <w:r>
        <w:t xml:space="preserve">Wilson, E. B. (1927). Probable inference, the law of succession, and statistical inference. </w:t>
      </w:r>
      <w:r>
        <w:rPr>
          <w:i/>
          <w:iCs/>
        </w:rPr>
        <w:t xml:space="preserve">Journal of the American Statistical Association, 22</w:t>
      </w:r>
      <w:r>
        <w:t xml:space="preserve">(158), 209–212. https://doi.org/10.1080/01621459.1927.10502953</w:t>
      </w:r>
    </w:p>
    <w:p>
      <w:pPr>
        <w:spacing w:after="120" w:line="360"/>
        <w:ind w:left="720" w:hanging="720"/>
        <w:jc w:val="left"/>
      </w:pPr>
      <w:r>
        <w:t xml:space="preserve">Yin, R. K. (2018). </w:t>
      </w:r>
      <w:r>
        <w:rPr>
          <w:i/>
          <w:iCs/>
        </w:rPr>
        <w:t xml:space="preserve">Case study research and applications: Design and methods</w:t>
      </w:r>
      <w:r>
        <w:t xml:space="preserve"> (6th ed.). SAGE Publications.</w:t>
      </w:r>
    </w:p>
    <w:p>
      <w:pPr>
        <w:pStyle w:val="Heading1"/>
        <w:pageBreakBefore/>
        <w:spacing w:after="240" w:before="240"/>
        <w:jc w:val="left"/>
      </w:pPr>
      <w:r>
        <w:t xml:space="preserve">APPENDICES</w:t>
      </w:r>
    </w:p>
    <w:p>
      <w:pPr>
        <w:pStyle w:val="Heading2"/>
        <w:keepNext/>
        <w:spacing w:after="140" w:before="280"/>
      </w:pPr>
      <w:r>
        <w:t xml:space="preserve">Appendix A: Component Inventory</w:t>
      </w:r>
    </w:p>
    <w:p>
      <w:pPr>
        <w:spacing w:after="160" w:before="0" w:line="360"/>
        <w:jc w:val="both"/>
      </w:pPr>
      <w:r>
        <w:t xml:space="preserve">The 24-item inventory used to measure version-control coverage (Section 4.4). Status: Full = defined and enabled in code; Partial = defined but switched off or incomplete; None = not in the repository.</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3700"/>
        <w:gridCol w:w="900"/>
        <w:gridCol w:w="4040"/>
      </w:tblGrid>
      <w:tr>
        <w:trPr>
          <w:tblHeader/>
        </w:trPr>
        <w:tc>
          <w:tcPr>
            <w:tcW w:type="dxa" w:w="37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Component</w:t>
            </w:r>
          </w:p>
        </w:tc>
        <w:tc>
          <w:tcPr>
            <w:tcW w:type="dxa" w:w="9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Status</w:t>
            </w:r>
          </w:p>
        </w:tc>
        <w:tc>
          <w:tcPr>
            <w:tcW w:type="dxa" w:w="404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Where defined / note</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VPC; subnets; Internet Gateway; NAT gateways and Elastic IPs; route tables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modules/vpc; main/infrastructures/network.tf</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Security groups and rules (ALB, ECS, VPC Link)</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modules/security-group; security-groups.tf</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ALB and HTTP listener</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main/infrastructures/alb.tf</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Target groups and listener rules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modules/alb-target-group; each service main.tf</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ECS clusters; task definitions and Fargate services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modules/ecs-cluster; modules/ecs-service</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Auto scaling targets and policies; CloudWatch alarms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modules/ecs-service</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CloudWatch log groups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modules/cloudwatch-log-group; cloudwatch.tf; api-gateway.tf</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ECR repositories and lifecycle policies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modules/ecr; ecr-inspector.tf</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API Gateway, stage and VPC Link; routes and integrations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api-gateway.tf; modules/api-gateway-route</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IAM roles and policies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modules/iam-role; iam-roles.tf</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Terraform remote state (S3, DynamoDB)</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main/remote-state</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CI/CD pipeline definition</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Full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.github/workflows/rebuild-prod.yml; rebuild.sh; redeploy.sh; destroy.sh</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Inspector scanning and alert topic</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Partial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Enabler disabled: blocked by service control policy on the account plan</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TLS certificate binding and custom domain</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Partial</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Supported by module variables; not set; listener is HTTP</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Web Application Firewall</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None</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Not in repository</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Route 53 DNS records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None</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Not in repository</w:t>
            </w:r>
          </w:p>
        </w:tc>
      </w:tr>
      <w:tr>
        <w:trPr>
          <w:cantSplit/>
        </w:trPr>
        <w:tc>
          <w:tcPr>
            <w:tcW w:type="dxa" w:w="3700"/>
            <w:tcMar>
              <w:top w:type="dxa" w:w="80"/>
              <w:left w:type="dxa" w:w="110"/>
              <w:bottom w:type="dxa" w:w="80"/>
              <w:right w:type="dxa" w:w="110"/>
            </w:tcMar>
            <w:vAlign w:val="center"/>
          </w:tcPr>
          <w:p>
            <w:pPr>
              <w:spacing w:after="40" w:line="240"/>
              <w:jc w:val="left"/>
            </w:pPr>
            <w:r>
              <w:rPr>
                <w:b w:val="false"/>
                <w:bCs w:val="false"/>
                <w:sz w:val="18"/>
                <w:szCs w:val="18"/>
              </w:rPr>
              <w:t xml:space="preserve">Branch protection and review rules</w:t>
            </w:r>
          </w:p>
        </w:tc>
        <w:tc>
          <w:tcPr>
            <w:tcW w:type="dxa" w:w="900"/>
            <w:tcMar>
              <w:top w:type="dxa" w:w="80"/>
              <w:left w:type="dxa" w:w="110"/>
              <w:bottom w:type="dxa" w:w="80"/>
              <w:right w:type="dxa" w:w="110"/>
            </w:tcMar>
            <w:vAlign w:val="center"/>
          </w:tcPr>
          <w:p>
            <w:pPr>
              <w:spacing w:after="40" w:line="240"/>
              <w:jc w:val="left"/>
            </w:pPr>
            <w:r>
              <w:rPr>
                <w:b w:val="false"/>
                <w:bCs w:val="false"/>
                <w:sz w:val="18"/>
                <w:szCs w:val="18"/>
              </w:rPr>
              <w:t xml:space="preserve">None</w:t>
            </w:r>
          </w:p>
        </w:tc>
        <w:tc>
          <w:tcPr>
            <w:tcW w:type="dxa" w:w="4040"/>
            <w:tcMar>
              <w:top w:type="dxa" w:w="80"/>
              <w:left w:type="dxa" w:w="110"/>
              <w:bottom w:type="dxa" w:w="80"/>
              <w:right w:type="dxa" w:w="110"/>
            </w:tcMar>
            <w:vAlign w:val="center"/>
          </w:tcPr>
          <w:p>
            <w:pPr>
              <w:spacing w:after="40" w:line="240"/>
              <w:jc w:val="left"/>
            </w:pPr>
            <w:r>
              <w:rPr>
                <w:b w:val="false"/>
                <w:bCs w:val="false"/>
                <w:sz w:val="18"/>
                <w:szCs w:val="18"/>
              </w:rPr>
              <w:t xml:space="preserve">Repository setting; not configured</w:t>
            </w:r>
          </w:p>
        </w:tc>
      </w:tr>
    </w:tbl>
    <w:p>
      <w:pPr>
        <w:spacing w:after="200" w:before="60" w:line="240"/>
        <w:jc w:val="left"/>
      </w:pPr>
      <w:r>
        <w:rPr>
          <w:i/>
          <w:iCs/>
          <w:sz w:val="20"/>
          <w:szCs w:val="20"/>
        </w:rPr>
        <w:t xml:space="preserve">Note. </w:t>
      </w:r>
      <w:r>
        <w:rPr>
          <w:sz w:val="20"/>
          <w:szCs w:val="20"/>
        </w:rPr>
        <w:t xml:space="preserve">Rows group related inventory items; the 24 items are listed individually in Table 4.3.</w:t>
      </w:r>
    </w:p>
    <w:p>
      <w:pPr>
        <w:pStyle w:val="Heading2"/>
        <w:keepNext/>
        <w:spacing w:after="140" w:before="280"/>
      </w:pPr>
      <w:r>
        <w:t xml:space="preserve">Appendix B: Implementation Record</w:t>
      </w:r>
    </w:p>
    <w:p>
      <w:pPr>
        <w:spacing w:after="160" w:before="0" w:line="360"/>
        <w:jc w:val="both"/>
      </w:pPr>
      <w:r>
        <w:t xml:space="preserve">The complete commit history of the infrastructure repository analysed in Section 4.11, with the initial code assigned in the thematic analysis (T1–T4 refer to Themes 1–4).</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150"/>
        <w:gridCol w:w="900"/>
        <w:gridCol w:w="1050"/>
        <w:gridCol w:w="3540"/>
        <w:gridCol w:w="2000"/>
      </w:tblGrid>
      <w:tr>
        <w:trPr>
          <w:tblHeader/>
        </w:trPr>
        <w:tc>
          <w:tcPr>
            <w:tcW w:type="dxa" w:w="115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Date</w:t>
            </w:r>
          </w:p>
        </w:tc>
        <w:tc>
          <w:tcPr>
            <w:tcW w:type="dxa" w:w="9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Commit</w:t>
            </w:r>
          </w:p>
        </w:tc>
        <w:tc>
          <w:tcPr>
            <w:tcW w:type="dxa" w:w="105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Author</w:t>
            </w:r>
          </w:p>
        </w:tc>
        <w:tc>
          <w:tcPr>
            <w:tcW w:type="dxa" w:w="354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Message</w:t>
            </w:r>
          </w:p>
        </w:tc>
        <w:tc>
          <w:tcPr>
            <w:tcW w:type="dxa" w:w="20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Initial code</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4693922</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initial commit</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initial architecture</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fc7209e</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Change to single api gateway</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consolidation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bbd7f67</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Enhance API Gateway Routes and Integrations</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consolidation; T2 state in Git</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4101d51</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Remove unnecessary .DS_Store files from the repository</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Housekeeping</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43b0335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feat(deployments): add AWS infrastructure for finance, messenger, profile, and share services</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service set changes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15ee7b0</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Good</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uninformative message</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6694a53</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Remove auth service</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service set changes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7690d5d</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Add Diagram and Cost Calculation</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Documentation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2ef2803</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Cleanup for multi ALB</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consolidation; T2 state churn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43c9e2d</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Stage 2: Change to Single ALB</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staged redesign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c547700</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Done - Single ALB but not rewrite</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staged redesign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6de481f</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Done - Single ALB + Multi Target Group for Multi Services</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staged redesign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41764c1</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Change Diagram</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Documentation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af47991</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Done with Docs</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Documentation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2025-12-06</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afaf0e5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Cleanup</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uninformative message</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2025-12-13</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08665ff</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Done: Refactor</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refactor; T4 terse message</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2025-12-13</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f80a97c</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Change for preprod</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T2 second environment</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2025-12-13</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c8dff8a</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Change</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uninformative message</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2025-12-13</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51cad9c</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Change</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uninformative message</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2025-12-13</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1e753ae</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Add resource URLs for GitHub repositories related to the project</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Documentation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26edcb8</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Move prod to ap-southeast-2 and add rebuild-prod workflow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T1 platform constraint; T2 remote backend; T4 pipeline</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95e368e</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README.md</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Documentation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a28b9f5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Add per-run timeline report to rebuild-prod workflow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edef198</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Split pipeline into rebuild.sh and redeploy.sh triggers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3393e31</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6a28fa3</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redeploy.sh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676c143</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redeploy report: run #2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453b778</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7770d10</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Fix report push: commit remote-state state and autostash before rebase</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T2 bootstrap state; T4 commit-push-wait</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f74e698</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Add destroy.sh: destroy all of prod including ECR images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T3 destruction; T4 pipeline modes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dfbfafe</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a48eb7b</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#4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1d07bb8</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e53fc0d</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#5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e8a679b</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Modify change note in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57369b4</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#6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151efd3</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comment line number in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07a1c65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#7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15ed68c</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96aecea</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#8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4e5477f</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comment line number in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c469570</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#9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8368863</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657c221</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#10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fb6da05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87a86a2</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README.md</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Documentation</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5f07c0b</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Delete DevOps2-Group4/Deploy Microservices.pdf</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Housekeeping</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2a0bf60</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Delete DevOps2-Group4/project_timeline_01.png</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Housekeeping</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385588f</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Delete DevOps2-Group4/project_timeline_02.png</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Housekeeping</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e81bbb1</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Delete reports/rebuild-timings directory</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Housekeeping</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a51e94d</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#11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2026-10-14</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e48343f</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ff73a64</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#12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d659e9c</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2793982</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#13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cf5dd79</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d81093b</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#14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d73ec12</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723bc75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#15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fc86389</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Update rebuild.sh</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trigger by editing scripts</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5c9bd54</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#16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fa72284</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researcher</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Add repeat input to Rebuild prod workflow to chain runs</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automated triggering (chained dispatch)</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789c7b2</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#17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fe10649</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#18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16ef1f5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#19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8cc94e7</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#20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7939475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#21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cbeb8b0</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#22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bec2c30</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#23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cad5f30</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#24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451698e</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#25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d2baed9</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#26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ccec9a6</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#27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976d908</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#28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d223ff5</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#29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ff6af97</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#30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99b96df</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#31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r>
        <w:trPr>
          <w:cantSplit/>
        </w:trPr>
        <w:tc>
          <w:tcPr>
            <w:tcW w:type="dxa" w:w="1150"/>
            <w:tcMar>
              <w:top w:type="dxa" w:w="80"/>
              <w:left w:type="dxa" w:w="110"/>
              <w:bottom w:type="dxa" w:w="80"/>
              <w:right w:type="dxa" w:w="110"/>
            </w:tcMar>
            <w:vAlign w:val="center"/>
          </w:tcPr>
          <w:p>
            <w:pPr>
              <w:spacing w:after="40" w:line="240"/>
              <w:jc w:val="left"/>
            </w:pPr>
            <w:r>
              <w:rPr>
                <w:b w:val="false"/>
                <w:bCs w:val="false"/>
                <w:sz w:val="16"/>
                <w:szCs w:val="16"/>
              </w:rPr>
              <w:t xml:space="preserve">2026-10-15</w:t>
            </w:r>
          </w:p>
        </w:tc>
        <w:tc>
          <w:tcPr>
            <w:tcW w:type="dxa" w:w="900"/>
            <w:tcMar>
              <w:top w:type="dxa" w:w="80"/>
              <w:left w:type="dxa" w:w="110"/>
              <w:bottom w:type="dxa" w:w="80"/>
              <w:right w:type="dxa" w:w="110"/>
            </w:tcMar>
            <w:vAlign w:val="center"/>
          </w:tcPr>
          <w:p>
            <w:pPr>
              <w:spacing w:after="40" w:line="240"/>
              <w:jc w:val="left"/>
            </w:pPr>
            <w:r>
              <w:rPr>
                <w:b w:val="false"/>
                <w:bCs w:val="false"/>
                <w:sz w:val="16"/>
                <w:szCs w:val="16"/>
              </w:rPr>
              <w:t xml:space="preserve">7baaa2f</w:t>
            </w:r>
          </w:p>
        </w:tc>
        <w:tc>
          <w:tcPr>
            <w:tcW w:type="dxa" w:w="1050"/>
            <w:tcMar>
              <w:top w:type="dxa" w:w="80"/>
              <w:left w:type="dxa" w:w="110"/>
              <w:bottom w:type="dxa" w:w="80"/>
              <w:right w:type="dxa" w:w="110"/>
            </w:tcMar>
            <w:vAlign w:val="center"/>
          </w:tcPr>
          <w:p>
            <w:pPr>
              <w:spacing w:after="40" w:line="240"/>
              <w:jc w:val="left"/>
            </w:pPr>
            <w:r>
              <w:rPr>
                <w:b w:val="false"/>
                <w:bCs w:val="false"/>
                <w:sz w:val="16"/>
                <w:szCs w:val="16"/>
              </w:rPr>
              <w:t xml:space="preserve">pipeline</w:t>
            </w:r>
          </w:p>
        </w:tc>
        <w:tc>
          <w:tcPr>
            <w:tcW w:type="dxa" w:w="3540"/>
            <w:tcMar>
              <w:top w:type="dxa" w:w="80"/>
              <w:left w:type="dxa" w:w="110"/>
              <w:bottom w:type="dxa" w:w="80"/>
              <w:right w:type="dxa" w:w="110"/>
            </w:tcMar>
            <w:vAlign w:val="center"/>
          </w:tcPr>
          <w:p>
            <w:pPr>
              <w:spacing w:after="40" w:line="240"/>
              <w:jc w:val="left"/>
            </w:pPr>
            <w:r>
              <w:rPr>
                <w:b w:val="false"/>
                <w:bCs w:val="false"/>
                <w:sz w:val="16"/>
                <w:szCs w:val="16"/>
              </w:rPr>
              <w:t xml:space="preserve">Prod rebuild report: run #32 (success) [skip ci]</w:t>
            </w:r>
          </w:p>
        </w:tc>
        <w:tc>
          <w:tcPr>
            <w:tcW w:type="dxa" w:w="2000"/>
            <w:tcMar>
              <w:top w:type="dxa" w:w="80"/>
              <w:left w:type="dxa" w:w="110"/>
              <w:bottom w:type="dxa" w:w="80"/>
              <w:right w:type="dxa" w:w="110"/>
            </w:tcMar>
            <w:vAlign w:val="center"/>
          </w:tcPr>
          <w:p>
            <w:pPr>
              <w:spacing w:after="40" w:line="240"/>
              <w:jc w:val="left"/>
            </w:pPr>
            <w:r>
              <w:rPr>
                <w:b w:val="false"/>
                <w:bCs w:val="false"/>
                <w:sz w:val="16"/>
                <w:szCs w:val="16"/>
              </w:rPr>
              <w:t xml:space="preserve">T4 pipeline-authored record</w:t>
            </w:r>
          </w:p>
        </w:tc>
      </w:tr>
    </w:tbl>
    <w:p>
      <w:pPr>
        <w:spacing w:after="200" w:before="60" w:line="240"/>
        <w:jc w:val="left"/>
      </w:pPr>
      <w:r>
        <w:rPr>
          <w:i/>
          <w:iCs/>
          <w:sz w:val="20"/>
          <w:szCs w:val="20"/>
        </w:rPr>
        <w:t xml:space="preserve">Note. </w:t>
      </w:r>
      <w:r>
        <w:rPr>
          <w:sz w:val="20"/>
          <w:szCs w:val="20"/>
        </w:rPr>
        <w:t xml:space="preserve">Every commit to 15 October 2026 is listed, including the trigger commits and the pipeline's report commits for runs 1, 2 and 4–32. Run 3 left no report commit (Section 4.2).</w:t>
      </w:r>
    </w:p>
    <w:p>
      <w:pPr>
        <w:pStyle w:val="Heading2"/>
        <w:keepNext/>
        <w:spacing w:after="140" w:before="280"/>
      </w:pPr>
      <w:r>
        <w:t xml:space="preserve">Appendix C: Measurement and Analysis Scripts</w:t>
      </w:r>
    </w:p>
    <w:p>
      <w:pPr>
        <w:spacing w:after="160" w:before="0" w:line="360"/>
        <w:jc w:val="both"/>
      </w:pPr>
      <w:r>
        <w:t xml:space="preserve">All scripts and raw data are held in the project repository and in the assessment2 folder submitted with this dissertation. Every figure in Chapter 4 can be regenerated by running analysis/analyze.py.</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3600"/>
        <w:gridCol w:w="5040"/>
      </w:tblGrid>
      <w:tr>
        <w:trPr>
          <w:tblHeader/>
        </w:trPr>
        <w:tc>
          <w:tcPr>
            <w:tcW w:type="dxa" w:w="36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File</w:t>
            </w:r>
          </w:p>
        </w:tc>
        <w:tc>
          <w:tcPr>
            <w:tcW w:type="dxa" w:w="504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Purpose</w:t>
            </w:r>
          </w:p>
        </w:tc>
      </w:tr>
      <w:tr>
        <w:trPr>
          <w:cantSplit/>
        </w:trPr>
        <w:tc>
          <w:tcPr>
            <w:tcW w:type="dxa" w:w="3600"/>
            <w:tcMar>
              <w:top w:type="dxa" w:w="80"/>
              <w:left w:type="dxa" w:w="110"/>
              <w:bottom w:type="dxa" w:w="80"/>
              <w:right w:type="dxa" w:w="110"/>
            </w:tcMar>
            <w:vAlign w:val="center"/>
          </w:tcPr>
          <w:p>
            <w:pPr>
              <w:spacing w:after="40" w:line="240"/>
              <w:jc w:val="left"/>
            </w:pPr>
            <w:r>
              <w:rPr>
                <w:b w:val="false"/>
                <w:bCs w:val="false"/>
                <w:sz w:val="18"/>
                <w:szCs w:val="18"/>
              </w:rPr>
              <w:t xml:space="preserve">.github/workflows/rebuild-prod.yml</w:t>
            </w:r>
          </w:p>
        </w:tc>
        <w:tc>
          <w:tcPr>
            <w:tcW w:type="dxa" w:w="5040"/>
            <w:tcMar>
              <w:top w:type="dxa" w:w="80"/>
              <w:left w:type="dxa" w:w="110"/>
              <w:bottom w:type="dxa" w:w="80"/>
              <w:right w:type="dxa" w:w="110"/>
            </w:tcMar>
            <w:vAlign w:val="center"/>
          </w:tcPr>
          <w:p>
            <w:pPr>
              <w:spacing w:after="40" w:line="240"/>
              <w:jc w:val="left"/>
            </w:pPr>
            <w:r>
              <w:rPr>
                <w:b w:val="false"/>
                <w:bCs w:val="false"/>
                <w:sz w:val="18"/>
                <w:szCs w:val="18"/>
              </w:rPr>
              <w:t xml:space="preserve">Pipeline: chooses rebuild, redeploy or destroy mode; runs the script; collects health; commits the report</w:t>
            </w:r>
          </w:p>
        </w:tc>
      </w:tr>
      <w:tr>
        <w:trPr>
          <w:cantSplit/>
        </w:trPr>
        <w:tc>
          <w:tcPr>
            <w:tcW w:type="dxa" w:w="3600"/>
            <w:tcMar>
              <w:top w:type="dxa" w:w="80"/>
              <w:left w:type="dxa" w:w="110"/>
              <w:bottom w:type="dxa" w:w="80"/>
              <w:right w:type="dxa" w:w="110"/>
            </w:tcMar>
            <w:vAlign w:val="center"/>
          </w:tcPr>
          <w:p>
            <w:pPr>
              <w:spacing w:after="40" w:line="240"/>
              <w:jc w:val="left"/>
            </w:pPr>
            <w:r>
              <w:rPr>
                <w:b w:val="false"/>
                <w:bCs w:val="false"/>
                <w:sz w:val="18"/>
                <w:szCs w:val="18"/>
              </w:rPr>
              <w:t xml:space="preserve">rebuild.sh; redeploy.sh; destroy.sh</w:t>
            </w:r>
          </w:p>
        </w:tc>
        <w:tc>
          <w:tcPr>
            <w:tcW w:type="dxa" w:w="5040"/>
            <w:tcMar>
              <w:top w:type="dxa" w:w="80"/>
              <w:left w:type="dxa" w:w="110"/>
              <w:bottom w:type="dxa" w:w="80"/>
              <w:right w:type="dxa" w:w="110"/>
            </w:tcMar>
            <w:vAlign w:val="center"/>
          </w:tcPr>
          <w:p>
            <w:pPr>
              <w:spacing w:after="40" w:line="240"/>
              <w:jc w:val="left"/>
            </w:pPr>
            <w:r>
              <w:rPr>
                <w:b w:val="false"/>
                <w:bCs w:val="false"/>
                <w:sz w:val="18"/>
                <w:szCs w:val="18"/>
              </w:rPr>
              <w:t xml:space="preserve">Pipeline procedures; rebuild preserves ECR repositories and state across deletion of the state bucket</w:t>
            </w:r>
          </w:p>
        </w:tc>
      </w:tr>
      <w:tr>
        <w:trPr>
          <w:cantSplit/>
        </w:trPr>
        <w:tc>
          <w:tcPr>
            <w:tcW w:type="dxa" w:w="3600"/>
            <w:tcMar>
              <w:top w:type="dxa" w:w="80"/>
              <w:left w:type="dxa" w:w="110"/>
              <w:bottom w:type="dxa" w:w="80"/>
              <w:right w:type="dxa" w:w="110"/>
            </w:tcMar>
            <w:vAlign w:val="center"/>
          </w:tcPr>
          <w:p>
            <w:pPr>
              <w:spacing w:after="40" w:line="240"/>
              <w:jc w:val="left"/>
            </w:pPr>
            <w:r>
              <w:rPr>
                <w:b w:val="false"/>
                <w:bCs w:val="false"/>
                <w:sz w:val="18"/>
                <w:szCs w:val="18"/>
              </w:rPr>
              <w:t xml:space="preserve">.github/scripts/timeline.sh</w:t>
            </w:r>
          </w:p>
        </w:tc>
        <w:tc>
          <w:tcPr>
            <w:tcW w:type="dxa" w:w="5040"/>
            <w:tcMar>
              <w:top w:type="dxa" w:w="80"/>
              <w:left w:type="dxa" w:w="110"/>
              <w:bottom w:type="dxa" w:w="80"/>
              <w:right w:type="dxa" w:w="110"/>
            </w:tcMar>
            <w:vAlign w:val="center"/>
          </w:tcPr>
          <w:p>
            <w:pPr>
              <w:spacing w:after="40" w:line="240"/>
              <w:jc w:val="left"/>
            </w:pPr>
            <w:r>
              <w:rPr>
                <w:b w:val="false"/>
                <w:bCs w:val="false"/>
                <w:sz w:val="18"/>
                <w:szCs w:val="18"/>
              </w:rPr>
              <w:t xml:space="preserve">Phase timing helper (phase_begin / phase_end) writing to a CSV timeline</w:t>
            </w:r>
          </w:p>
        </w:tc>
      </w:tr>
      <w:tr>
        <w:trPr>
          <w:cantSplit/>
        </w:trPr>
        <w:tc>
          <w:tcPr>
            <w:tcW w:type="dxa" w:w="3600"/>
            <w:tcMar>
              <w:top w:type="dxa" w:w="80"/>
              <w:left w:type="dxa" w:w="110"/>
              <w:bottom w:type="dxa" w:w="80"/>
              <w:right w:type="dxa" w:w="110"/>
            </w:tcMar>
            <w:vAlign w:val="center"/>
          </w:tcPr>
          <w:p>
            <w:pPr>
              <w:spacing w:after="40" w:line="240"/>
              <w:jc w:val="left"/>
            </w:pPr>
            <w:r>
              <w:rPr>
                <w:b w:val="false"/>
                <w:bCs w:val="false"/>
                <w:sz w:val="18"/>
                <w:szCs w:val="18"/>
              </w:rPr>
              <w:t xml:space="preserve">.github/scripts/report.py</w:t>
            </w:r>
          </w:p>
        </w:tc>
        <w:tc>
          <w:tcPr>
            <w:tcW w:type="dxa" w:w="5040"/>
            <w:tcMar>
              <w:top w:type="dxa" w:w="80"/>
              <w:left w:type="dxa" w:w="110"/>
              <w:bottom w:type="dxa" w:w="80"/>
              <w:right w:type="dxa" w:w="110"/>
            </w:tcMar>
            <w:vAlign w:val="center"/>
          </w:tcPr>
          <w:p>
            <w:pPr>
              <w:spacing w:after="40" w:line="240"/>
              <w:jc w:val="left"/>
            </w:pPr>
            <w:r>
              <w:rPr>
                <w:b w:val="false"/>
                <w:bCs w:val="false"/>
                <w:sz w:val="18"/>
                <w:szCs w:val="18"/>
              </w:rPr>
              <w:t xml:space="preserve">Writes per-run reports and the cumulative statistics table</w:t>
            </w:r>
          </w:p>
        </w:tc>
      </w:tr>
      <w:tr>
        <w:trPr>
          <w:cantSplit/>
        </w:trPr>
        <w:tc>
          <w:tcPr>
            <w:tcW w:type="dxa" w:w="3600"/>
            <w:tcMar>
              <w:top w:type="dxa" w:w="80"/>
              <w:left w:type="dxa" w:w="110"/>
              <w:bottom w:type="dxa" w:w="80"/>
              <w:right w:type="dxa" w:w="110"/>
            </w:tcMar>
            <w:vAlign w:val="center"/>
          </w:tcPr>
          <w:p>
            <w:pPr>
              <w:spacing w:after="40" w:line="240"/>
              <w:jc w:val="left"/>
            </w:pPr>
            <w:r>
              <w:rPr>
                <w:b w:val="false"/>
                <w:bCs w:val="false"/>
                <w:sz w:val="18"/>
                <w:szCs w:val="18"/>
              </w:rPr>
              <w:t xml:space="preserve">assessment2/data/simulated-manual/*</w:t>
            </w:r>
          </w:p>
        </w:tc>
        <w:tc>
          <w:tcPr>
            <w:tcW w:type="dxa" w:w="5040"/>
            <w:tcMar>
              <w:top w:type="dxa" w:w="80"/>
              <w:left w:type="dxa" w:w="110"/>
              <w:bottom w:type="dxa" w:w="80"/>
              <w:right w:type="dxa" w:w="110"/>
            </w:tcMar>
            <w:vAlign w:val="center"/>
          </w:tcPr>
          <w:p>
            <w:pPr>
              <w:spacing w:after="40" w:line="240"/>
              <w:jc w:val="left"/>
            </w:pPr>
            <w:r>
              <w:rPr>
                <w:b w:val="false"/>
                <w:bCs w:val="false"/>
                <w:sz w:val="18"/>
                <w:szCs w:val="18"/>
              </w:rPr>
              <w:t xml:space="preserve">SIMULATED manual runs (10 rows) and the model parameters with seed 20261015</w:t>
            </w:r>
          </w:p>
        </w:tc>
      </w:tr>
      <w:tr>
        <w:trPr>
          <w:cantSplit/>
        </w:trPr>
        <w:tc>
          <w:tcPr>
            <w:tcW w:type="dxa" w:w="3600"/>
            <w:tcMar>
              <w:top w:type="dxa" w:w="80"/>
              <w:left w:type="dxa" w:w="110"/>
              <w:bottom w:type="dxa" w:w="80"/>
              <w:right w:type="dxa" w:w="110"/>
            </w:tcMar>
            <w:vAlign w:val="center"/>
          </w:tcPr>
          <w:p>
            <w:pPr>
              <w:spacing w:after="40" w:line="240"/>
              <w:jc w:val="left"/>
            </w:pPr>
            <w:r>
              <w:rPr>
                <w:b w:val="false"/>
                <w:bCs w:val="false"/>
                <w:sz w:val="18"/>
                <w:szCs w:val="18"/>
              </w:rPr>
              <w:t xml:space="preserve">assessment2/data/github-actions/*.csv</w:t>
            </w:r>
          </w:p>
        </w:tc>
        <w:tc>
          <w:tcPr>
            <w:tcW w:type="dxa" w:w="5040"/>
            <w:tcMar>
              <w:top w:type="dxa" w:w="80"/>
              <w:left w:type="dxa" w:w="110"/>
              <w:bottom w:type="dxa" w:w="80"/>
              <w:right w:type="dxa" w:w="110"/>
            </w:tcMar>
            <w:vAlign w:val="center"/>
          </w:tcPr>
          <w:p>
            <w:pPr>
              <w:spacing w:after="40" w:line="240"/>
              <w:jc w:val="left"/>
            </w:pPr>
            <w:r>
              <w:rPr>
                <w:b w:val="false"/>
                <w:bCs w:val="false"/>
                <w:sz w:val="18"/>
                <w:szCs w:val="18"/>
              </w:rPr>
              <w:t xml:space="preserve">Raw pipeline timings (243 rows) and service health (155 rows)</w:t>
            </w:r>
          </w:p>
        </w:tc>
      </w:tr>
      <w:tr>
        <w:trPr>
          <w:cantSplit/>
        </w:trPr>
        <w:tc>
          <w:tcPr>
            <w:tcW w:type="dxa" w:w="3600"/>
            <w:tcMar>
              <w:top w:type="dxa" w:w="80"/>
              <w:left w:type="dxa" w:w="110"/>
              <w:bottom w:type="dxa" w:w="80"/>
              <w:right w:type="dxa" w:w="110"/>
            </w:tcMar>
            <w:vAlign w:val="center"/>
          </w:tcPr>
          <w:p>
            <w:pPr>
              <w:spacing w:after="40" w:line="240"/>
              <w:jc w:val="left"/>
            </w:pPr>
            <w:r>
              <w:rPr>
                <w:b w:val="false"/>
                <w:bCs w:val="false"/>
                <w:sz w:val="18"/>
                <w:szCs w:val="18"/>
              </w:rPr>
              <w:t xml:space="preserve">assessment2/analysis/analyze.py</w:t>
            </w:r>
          </w:p>
        </w:tc>
        <w:tc>
          <w:tcPr>
            <w:tcW w:type="dxa" w:w="5040"/>
            <w:tcMar>
              <w:top w:type="dxa" w:w="80"/>
              <w:left w:type="dxa" w:w="110"/>
              <w:bottom w:type="dxa" w:w="80"/>
              <w:right w:type="dxa" w:w="110"/>
            </w:tcMar>
            <w:vAlign w:val="center"/>
          </w:tcPr>
          <w:p>
            <w:pPr>
              <w:spacing w:after="40" w:line="240"/>
              <w:jc w:val="left"/>
            </w:pPr>
            <w:r>
              <w:rPr>
                <w:b w:val="false"/>
                <w:bCs w:val="false"/>
                <w:sz w:val="18"/>
                <w:szCs w:val="18"/>
              </w:rPr>
              <w:t xml:space="preserve">Manual-provisioning simulation (simulate_manual), all statistics and tests including the stability checks, Figures 4.1–4.4; writes results.json</w:t>
            </w:r>
          </w:p>
        </w:tc>
      </w:tr>
      <w:tr>
        <w:trPr>
          <w:cantSplit/>
        </w:trPr>
        <w:tc>
          <w:tcPr>
            <w:tcW w:type="dxa" w:w="3600"/>
            <w:tcMar>
              <w:top w:type="dxa" w:w="80"/>
              <w:left w:type="dxa" w:w="110"/>
              <w:bottom w:type="dxa" w:w="80"/>
              <w:right w:type="dxa" w:w="110"/>
            </w:tcMar>
            <w:vAlign w:val="center"/>
          </w:tcPr>
          <w:p>
            <w:pPr>
              <w:spacing w:after="40" w:line="240"/>
              <w:jc w:val="left"/>
            </w:pPr>
            <w:r>
              <w:rPr>
                <w:b w:val="false"/>
                <w:bCs w:val="false"/>
                <w:sz w:val="18"/>
                <w:szCs w:val="18"/>
              </w:rPr>
              <w:t xml:space="preserve">assessment2/data/git-log.txt</w:t>
            </w:r>
          </w:p>
        </w:tc>
        <w:tc>
          <w:tcPr>
            <w:tcW w:type="dxa" w:w="5040"/>
            <w:tcMar>
              <w:top w:type="dxa" w:w="80"/>
              <w:left w:type="dxa" w:w="110"/>
              <w:bottom w:type="dxa" w:w="80"/>
              <w:right w:type="dxa" w:w="110"/>
            </w:tcMar>
            <w:vAlign w:val="center"/>
          </w:tcPr>
          <w:p>
            <w:pPr>
              <w:spacing w:after="40" w:line="240"/>
              <w:jc w:val="left"/>
            </w:pPr>
            <w:r>
              <w:rPr>
                <w:b w:val="false"/>
                <w:bCs w:val="false"/>
                <w:sz w:val="18"/>
                <w:szCs w:val="18"/>
              </w:rPr>
              <w:t xml:space="preserve">The implementation record: every commit with date, author and message</w:t>
            </w:r>
          </w:p>
        </w:tc>
      </w:tr>
    </w:tbl>
    <w:p>
      <w:pPr>
        <w:pStyle w:val="Heading2"/>
        <w:keepNext/>
        <w:spacing w:after="140" w:before="280"/>
      </w:pPr>
      <w:r>
        <w:t xml:space="preserve">Appendix D: Institutional Approval</w:t>
      </w:r>
    </w:p>
    <w:p>
      <w:pPr>
        <w:spacing w:after="160" w:before="0" w:line="360"/>
        <w:jc w:val="both"/>
      </w:pPr>
      <w:r>
        <w:t xml:space="preserve">[Insert the confirmation from the relevant University of Puthisastra committee that the study did not require ethical approval, and the written permission of the case organisation to use its architecture and to create an isolated AWS account for the study.]</w:t>
      </w:r>
    </w:p>
    <w:p>
      <w:pPr>
        <w:pStyle w:val="Heading2"/>
        <w:keepNext/>
        <w:spacing w:after="140" w:before="280"/>
      </w:pPr>
      <w:r>
        <w:t xml:space="preserve">Appendix E: Research Timeline</w:t>
      </w:r>
    </w:p>
    <w:p>
      <w:pPr>
        <w:spacing w:after="160" w:before="0" w:line="360"/>
        <w:jc w:val="both"/>
      </w:pPr>
      <w:r>
        <w:t xml:space="preserve">The timeline as conducted is presented in Table 3.5. The proposal's planned twelve-week schedule (July to September 2026) is reproduced in the Assessment 1 submission.</w:t>
      </w:r>
    </w:p>
    <w:p>
      <w:pPr>
        <w:pStyle w:val="Heading2"/>
        <w:keepNext/>
        <w:spacing w:after="140" w:before="280"/>
      </w:pPr>
      <w:r>
        <w:t xml:space="preserve">Appendix F: Statistical Output</w:t>
      </w:r>
    </w:p>
    <w:p>
      <w:pPr>
        <w:spacing w:after="160" w:before="0" w:line="360"/>
        <w:jc w:val="both"/>
      </w:pPr>
      <w:r>
        <w:t xml:space="preserve">Per-cycle phase durations in seconds for every measured GitHub Actions rebuild, followed by the simulated manual runs. Descriptive statistics and test results are in Tables 4.4–4.9 and in analysis/results.json.</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000"/>
        <w:gridCol w:w="955"/>
        <w:gridCol w:w="955"/>
        <w:gridCol w:w="955"/>
        <w:gridCol w:w="955"/>
        <w:gridCol w:w="955"/>
        <w:gridCol w:w="955"/>
        <w:gridCol w:w="955"/>
        <w:gridCol w:w="955"/>
      </w:tblGrid>
      <w:tr>
        <w:trPr>
          <w:tblHeader/>
        </w:trPr>
        <w:tc>
          <w:tcPr>
            <w:tcW w:type="dxa" w:w="10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Cycle</w:t>
            </w:r>
          </w:p>
        </w:tc>
        <w:tc>
          <w:tcPr>
            <w:tcW w:type="dxa" w:w="955"/>
            <w:shd w:fill="EDEFF3" w:color="auto" w:val="clear"/>
            <w:tcMar>
              <w:top w:type="dxa" w:w="80"/>
              <w:left w:type="dxa" w:w="110"/>
              <w:bottom w:type="dxa" w:w="80"/>
              <w:right w:type="dxa" w:w="110"/>
            </w:tcMar>
            <w:vAlign w:val="center"/>
          </w:tcPr>
          <w:p>
            <w:pPr>
              <w:spacing w:after="40" w:line="240"/>
              <w:jc w:val="left"/>
            </w:pPr>
            <w:r>
              <w:rPr>
                <w:b/>
                <w:bCs/>
                <w:sz w:val="16"/>
                <w:szCs w:val="16"/>
              </w:rPr>
              <w:t xml:space="preserve">Destr. deploy</w:t>
            </w:r>
          </w:p>
        </w:tc>
        <w:tc>
          <w:tcPr>
            <w:tcW w:type="dxa" w:w="955"/>
            <w:shd w:fill="EDEFF3" w:color="auto" w:val="clear"/>
            <w:tcMar>
              <w:top w:type="dxa" w:w="80"/>
              <w:left w:type="dxa" w:w="110"/>
              <w:bottom w:type="dxa" w:w="80"/>
              <w:right w:type="dxa" w:w="110"/>
            </w:tcMar>
            <w:vAlign w:val="center"/>
          </w:tcPr>
          <w:p>
            <w:pPr>
              <w:spacing w:after="40" w:line="240"/>
              <w:jc w:val="left"/>
            </w:pPr>
            <w:r>
              <w:rPr>
                <w:b/>
                <w:bCs/>
                <w:sz w:val="16"/>
                <w:szCs w:val="16"/>
              </w:rPr>
              <w:t xml:space="preserve">Destr. infra</w:t>
            </w:r>
          </w:p>
        </w:tc>
        <w:tc>
          <w:tcPr>
            <w:tcW w:type="dxa" w:w="955"/>
            <w:shd w:fill="EDEFF3" w:color="auto" w:val="clear"/>
            <w:tcMar>
              <w:top w:type="dxa" w:w="80"/>
              <w:left w:type="dxa" w:w="110"/>
              <w:bottom w:type="dxa" w:w="80"/>
              <w:right w:type="dxa" w:w="110"/>
            </w:tcMar>
            <w:vAlign w:val="center"/>
          </w:tcPr>
          <w:p>
            <w:pPr>
              <w:spacing w:after="40" w:line="240"/>
              <w:jc w:val="left"/>
            </w:pPr>
            <w:r>
              <w:rPr>
                <w:b/>
                <w:bCs/>
                <w:sz w:val="16"/>
                <w:szCs w:val="16"/>
              </w:rPr>
              <w:t xml:space="preserve">Destr. state</w:t>
            </w:r>
          </w:p>
        </w:tc>
        <w:tc>
          <w:tcPr>
            <w:tcW w:type="dxa" w:w="955"/>
            <w:shd w:fill="EDEFF3" w:color="auto" w:val="clear"/>
            <w:tcMar>
              <w:top w:type="dxa" w:w="80"/>
              <w:left w:type="dxa" w:w="110"/>
              <w:bottom w:type="dxa" w:w="80"/>
              <w:right w:type="dxa" w:w="110"/>
            </w:tcMar>
            <w:vAlign w:val="center"/>
          </w:tcPr>
          <w:p>
            <w:pPr>
              <w:spacing w:after="40" w:line="240"/>
              <w:jc w:val="left"/>
            </w:pPr>
            <w:r>
              <w:rPr>
                <w:b/>
                <w:bCs/>
                <w:sz w:val="16"/>
                <w:szCs w:val="16"/>
              </w:rPr>
              <w:t xml:space="preserve">Create state</w:t>
            </w:r>
          </w:p>
        </w:tc>
        <w:tc>
          <w:tcPr>
            <w:tcW w:type="dxa" w:w="955"/>
            <w:shd w:fill="EDEFF3" w:color="auto" w:val="clear"/>
            <w:tcMar>
              <w:top w:type="dxa" w:w="80"/>
              <w:left w:type="dxa" w:w="110"/>
              <w:bottom w:type="dxa" w:w="80"/>
              <w:right w:type="dxa" w:w="110"/>
            </w:tcMar>
            <w:vAlign w:val="center"/>
          </w:tcPr>
          <w:p>
            <w:pPr>
              <w:spacing w:after="40" w:line="240"/>
              <w:jc w:val="left"/>
            </w:pPr>
            <w:r>
              <w:rPr>
                <w:b/>
                <w:bCs/>
                <w:sz w:val="16"/>
                <w:szCs w:val="16"/>
              </w:rPr>
              <w:t xml:space="preserve">Create infra</w:t>
            </w:r>
          </w:p>
        </w:tc>
        <w:tc>
          <w:tcPr>
            <w:tcW w:type="dxa" w:w="955"/>
            <w:shd w:fill="EDEFF3" w:color="auto" w:val="clear"/>
            <w:tcMar>
              <w:top w:type="dxa" w:w="80"/>
              <w:left w:type="dxa" w:w="110"/>
              <w:bottom w:type="dxa" w:w="80"/>
              <w:right w:type="dxa" w:w="110"/>
            </w:tcMar>
            <w:vAlign w:val="center"/>
          </w:tcPr>
          <w:p>
            <w:pPr>
              <w:spacing w:after="40" w:line="240"/>
              <w:jc w:val="left"/>
            </w:pPr>
            <w:r>
              <w:rPr>
                <w:b/>
                <w:bCs/>
                <w:sz w:val="16"/>
                <w:szCs w:val="16"/>
              </w:rPr>
              <w:t xml:space="preserve">Create deploy</w:t>
            </w:r>
          </w:p>
        </w:tc>
        <w:tc>
          <w:tcPr>
            <w:tcW w:type="dxa" w:w="955"/>
            <w:shd w:fill="EDEFF3" w:color="auto" w:val="clear"/>
            <w:tcMar>
              <w:top w:type="dxa" w:w="80"/>
              <w:left w:type="dxa" w:w="110"/>
              <w:bottom w:type="dxa" w:w="80"/>
              <w:right w:type="dxa" w:w="110"/>
            </w:tcMar>
            <w:vAlign w:val="center"/>
          </w:tcPr>
          <w:p>
            <w:pPr>
              <w:spacing w:after="40" w:line="240"/>
              <w:jc w:val="left"/>
            </w:pPr>
            <w:r>
              <w:rPr>
                <w:b/>
                <w:bCs/>
                <w:sz w:val="16"/>
                <w:szCs w:val="16"/>
              </w:rPr>
              <w:t xml:space="preserve">Healthy</w:t>
            </w:r>
          </w:p>
        </w:tc>
        <w:tc>
          <w:tcPr>
            <w:tcW w:type="dxa" w:w="955"/>
            <w:shd w:fill="EDEFF3" w:color="auto" w:val="clear"/>
            <w:tcMar>
              <w:top w:type="dxa" w:w="80"/>
              <w:left w:type="dxa" w:w="110"/>
              <w:bottom w:type="dxa" w:w="80"/>
              <w:right w:type="dxa" w:w="110"/>
            </w:tcMar>
            <w:vAlign w:val="center"/>
          </w:tcPr>
          <w:p>
            <w:pPr>
              <w:spacing w:after="40" w:line="240"/>
              <w:jc w:val="left"/>
            </w:pPr>
            <w:r>
              <w:rPr>
                <w:b/>
                <w:bCs/>
                <w:sz w:val="16"/>
                <w:szCs w:val="16"/>
              </w:rPr>
              <w:t xml:space="preserve">Total</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1295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198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1961</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1672</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1019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1600</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1094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1721</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1041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1624</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1125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53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1704</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1058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1657</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1093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1664</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1089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1702</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1086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1679</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1118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1765</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1040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1643</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1074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1659</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1178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1781</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1155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1769</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1132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191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1778</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19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1112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1748</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1131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1755</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1051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204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1715</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1050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1644</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1040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1628</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192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1752</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1028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1647</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1053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1686</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27</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1088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1712</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1105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1695</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29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1079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25</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1710</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30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1102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1726</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31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1126</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99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23</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192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69</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1759</w:t>
            </w:r>
          </w:p>
        </w:tc>
      </w:tr>
      <w:tr>
        <w:trPr>
          <w:cantSplit/>
        </w:trPr>
        <w:tc>
          <w:tcPr>
            <w:tcW w:type="dxa" w:w="1000"/>
            <w:tcMar>
              <w:top w:type="dxa" w:w="80"/>
              <w:left w:type="dxa" w:w="110"/>
              <w:bottom w:type="dxa" w:w="80"/>
              <w:right w:type="dxa" w:w="110"/>
            </w:tcMar>
            <w:vAlign w:val="center"/>
          </w:tcPr>
          <w:p>
            <w:pPr>
              <w:spacing w:after="40" w:line="240"/>
              <w:jc w:val="left"/>
            </w:pPr>
            <w:r>
              <w:rPr>
                <w:b w:val="false"/>
                <w:bCs w:val="false"/>
                <w:sz w:val="16"/>
                <w:szCs w:val="16"/>
              </w:rPr>
              <w:t xml:space="preserve">Run 32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1070</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72</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21</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68</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154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84</w:t>
            </w:r>
          </w:p>
        </w:tc>
        <w:tc>
          <w:tcPr>
            <w:tcW w:type="dxa" w:w="955"/>
            <w:tcMar>
              <w:top w:type="dxa" w:w="80"/>
              <w:left w:type="dxa" w:w="110"/>
              <w:bottom w:type="dxa" w:w="80"/>
              <w:right w:type="dxa" w:w="110"/>
            </w:tcMar>
            <w:vAlign w:val="center"/>
          </w:tcPr>
          <w:p>
            <w:pPr>
              <w:spacing w:after="40" w:line="240"/>
              <w:jc w:val="left"/>
            </w:pPr>
            <w:r>
              <w:rPr>
                <w:b w:val="false"/>
                <w:bCs w:val="false"/>
                <w:sz w:val="16"/>
                <w:szCs w:val="16"/>
              </w:rPr>
              <w:t xml:space="preserve">1653</w:t>
            </w:r>
          </w:p>
        </w:tc>
      </w:tr>
    </w:tbl>
    <w:p>
      <w:pPr>
        <w:spacing w:after="200" w:before="60" w:line="240"/>
        <w:jc w:val="left"/>
      </w:pPr>
      <w:r>
        <w:rPr>
          <w:i/>
          <w:iCs/>
          <w:sz w:val="20"/>
          <w:szCs w:val="20"/>
        </w:rPr>
        <w:t xml:space="preserve">Note. </w:t>
      </w:r>
      <w:r>
        <w:rPr>
          <w:sz w:val="20"/>
          <w:szCs w:val="20"/>
        </w:rPr>
        <w:t xml:space="preserve">Measured. Run 2 was a redeploy; run 3 was excluded (Section 4.2).</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300"/>
        <w:gridCol w:w="1400"/>
        <w:gridCol w:w="1300"/>
        <w:gridCol w:w="1400"/>
        <w:gridCol w:w="1500"/>
        <w:gridCol w:w="1740"/>
      </w:tblGrid>
      <w:tr>
        <w:trPr>
          <w:tblHeader/>
        </w:trPr>
        <w:tc>
          <w:tcPr>
            <w:tcW w:type="dxa" w:w="13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Simulated run</w:t>
            </w:r>
          </w:p>
        </w:tc>
        <w:tc>
          <w:tcPr>
            <w:tcW w:type="dxa" w:w="14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Hands-on (s)</w:t>
            </w:r>
          </w:p>
        </w:tc>
        <w:tc>
          <w:tcPr>
            <w:tcW w:type="dxa" w:w="13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Waiting (s)</w:t>
            </w:r>
          </w:p>
        </w:tc>
        <w:tc>
          <w:tcPr>
            <w:tcW w:type="dxa" w:w="14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Full build (s)</w:t>
            </w:r>
          </w:p>
        </w:tc>
        <w:tc>
          <w:tcPr>
            <w:tcW w:type="dxa" w:w="150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Resources redone</w:t>
            </w:r>
          </w:p>
        </w:tc>
        <w:tc>
          <w:tcPr>
            <w:tcW w:type="dxa" w:w="1740"/>
            <w:shd w:fill="EDEFF3" w:color="auto" w:val="clear"/>
            <w:tcMar>
              <w:top w:type="dxa" w:w="80"/>
              <w:left w:type="dxa" w:w="110"/>
              <w:bottom w:type="dxa" w:w="80"/>
              <w:right w:type="dxa" w:w="110"/>
            </w:tcMar>
            <w:vAlign w:val="center"/>
          </w:tcPr>
          <w:p>
            <w:pPr>
              <w:spacing w:after="40" w:line="240"/>
              <w:jc w:val="left"/>
            </w:pPr>
            <w:r>
              <w:rPr>
                <w:b/>
                <w:bCs/>
                <w:sz w:val="16"/>
                <w:szCs w:val="16"/>
              </w:rPr>
              <w:t xml:space="preserve">Differing resources on rebuild</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1</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6093</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524</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6617</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8</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0</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2</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6367</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438</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6805</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2</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1</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3</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5927</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471</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6398</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4</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0</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4</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6038</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474</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6512</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2</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1</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5</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5983</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476</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6459</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2</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1</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6</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5545</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524</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6070</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1</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1</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7</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5621</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414</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6035</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3</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1</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8</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5551</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420</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5971</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2</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1</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9</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5648</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436</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6083</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4</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1</w:t>
            </w:r>
          </w:p>
        </w:tc>
      </w:tr>
      <w:tr>
        <w:trPr>
          <w:cantSplit/>
        </w:trPr>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10</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5653</w:t>
            </w:r>
          </w:p>
        </w:tc>
        <w:tc>
          <w:tcPr>
            <w:tcW w:type="dxa" w:w="1300"/>
            <w:tcMar>
              <w:top w:type="dxa" w:w="80"/>
              <w:left w:type="dxa" w:w="110"/>
              <w:bottom w:type="dxa" w:w="80"/>
              <w:right w:type="dxa" w:w="110"/>
            </w:tcMar>
            <w:vAlign w:val="center"/>
          </w:tcPr>
          <w:p>
            <w:pPr>
              <w:spacing w:after="40" w:line="240"/>
              <w:jc w:val="left"/>
            </w:pPr>
            <w:r>
              <w:rPr>
                <w:b w:val="false"/>
                <w:bCs w:val="false"/>
                <w:sz w:val="16"/>
                <w:szCs w:val="16"/>
              </w:rPr>
              <w:t xml:space="preserve">574</w:t>
            </w:r>
          </w:p>
        </w:tc>
        <w:tc>
          <w:tcPr>
            <w:tcW w:type="dxa" w:w="1400"/>
            <w:tcMar>
              <w:top w:type="dxa" w:w="80"/>
              <w:left w:type="dxa" w:w="110"/>
              <w:bottom w:type="dxa" w:w="80"/>
              <w:right w:type="dxa" w:w="110"/>
            </w:tcMar>
            <w:vAlign w:val="center"/>
          </w:tcPr>
          <w:p>
            <w:pPr>
              <w:spacing w:after="40" w:line="240"/>
              <w:jc w:val="left"/>
            </w:pPr>
            <w:r>
              <w:rPr>
                <w:b w:val="false"/>
                <w:bCs w:val="false"/>
                <w:sz w:val="16"/>
                <w:szCs w:val="16"/>
              </w:rPr>
              <w:t xml:space="preserve">6227</w:t>
            </w:r>
          </w:p>
        </w:tc>
        <w:tc>
          <w:tcPr>
            <w:tcW w:type="dxa" w:w="1500"/>
            <w:tcMar>
              <w:top w:type="dxa" w:w="80"/>
              <w:left w:type="dxa" w:w="110"/>
              <w:bottom w:type="dxa" w:w="80"/>
              <w:right w:type="dxa" w:w="110"/>
            </w:tcMar>
            <w:vAlign w:val="center"/>
          </w:tcPr>
          <w:p>
            <w:pPr>
              <w:spacing w:after="40" w:line="240"/>
              <w:jc w:val="left"/>
            </w:pPr>
            <w:r>
              <w:rPr>
                <w:b w:val="false"/>
                <w:bCs w:val="false"/>
                <w:sz w:val="16"/>
                <w:szCs w:val="16"/>
              </w:rPr>
              <w:t xml:space="preserve">4</w:t>
            </w:r>
          </w:p>
        </w:tc>
        <w:tc>
          <w:tcPr>
            <w:tcW w:type="dxa" w:w="1740"/>
            <w:tcMar>
              <w:top w:type="dxa" w:w="80"/>
              <w:left w:type="dxa" w:w="110"/>
              <w:bottom w:type="dxa" w:w="80"/>
              <w:right w:type="dxa" w:w="110"/>
            </w:tcMar>
            <w:vAlign w:val="center"/>
          </w:tcPr>
          <w:p>
            <w:pPr>
              <w:spacing w:after="40" w:line="240"/>
              <w:jc w:val="left"/>
            </w:pPr>
            <w:r>
              <w:rPr>
                <w:b w:val="false"/>
                <w:bCs w:val="false"/>
                <w:sz w:val="16"/>
                <w:szCs w:val="16"/>
              </w:rPr>
              <w:t xml:space="preserve">0</w:t>
            </w:r>
          </w:p>
        </w:tc>
      </w:tr>
    </w:tbl>
    <w:p>
      <w:pPr>
        <w:spacing w:after="200" w:before="60" w:line="240"/>
        <w:jc w:val="left"/>
      </w:pPr>
      <w:r>
        <w:rPr>
          <w:i/>
          <w:iCs/>
          <w:sz w:val="20"/>
          <w:szCs w:val="20"/>
        </w:rPr>
        <w:t xml:space="preserve">Note. </w:t>
      </w:r>
      <w:r>
        <w:rPr>
          <w:sz w:val="20"/>
          <w:szCs w:val="20"/>
        </w:rPr>
        <w:t xml:space="preserve">SIMULATED values (seed 20261015; parameters in Section 3.7.1 and data/simulated-manual/model_parameters.json).</w:t>
      </w:r>
    </w:p>
    <w:p>
      <w:pPr>
        <w:pStyle w:val="Heading2"/>
        <w:keepNext/>
        <w:spacing w:after="140" w:before="280"/>
      </w:pPr>
      <w:r>
        <w:t xml:space="preserve">Appendix G: Qualitative Codebook and Thematic Map</w:t>
      </w:r>
    </w:p>
    <w:tbl>
      <w:tblPr>
        <w:tblW w:type="dxa" w:w="8640"/>
        <w:tblBorders>
          <w:top w:val="single" w:color="000000" w:sz="6"/>
          <w:left w:val="none" w:color="FFFFFF" w:sz="0"/>
          <w:bottom w:val="single" w:color="000000" w:sz="6"/>
          <w:right w:val="none" w:color="FFFFFF" w:sz="0"/>
          <w:insideH w:val="single" w:color="BFBFBF" w:sz="2"/>
          <w:insideV w:val="none" w:color="FFFFFF" w:sz="0"/>
        </w:tblBorders>
      </w:tblPr>
      <w:tblGrid>
        <w:gridCol w:w="1900"/>
        <w:gridCol w:w="2500"/>
        <w:gridCol w:w="2900"/>
        <w:gridCol w:w="1340"/>
      </w:tblGrid>
      <w:tr>
        <w:trPr>
          <w:tblHeader/>
        </w:trPr>
        <w:tc>
          <w:tcPr>
            <w:tcW w:type="dxa" w:w="19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Code</w:t>
            </w:r>
          </w:p>
        </w:tc>
        <w:tc>
          <w:tcPr>
            <w:tcW w:type="dxa" w:w="25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Definition</w:t>
            </w:r>
          </w:p>
        </w:tc>
        <w:tc>
          <w:tcPr>
            <w:tcW w:type="dxa" w:w="290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Example entries</w:t>
            </w:r>
          </w:p>
        </w:tc>
        <w:tc>
          <w:tcPr>
            <w:tcW w:type="dxa" w:w="1340"/>
            <w:shd w:fill="EDEFF3" w:color="auto" w:val="clear"/>
            <w:tcMar>
              <w:top w:type="dxa" w:w="80"/>
              <w:left w:type="dxa" w:w="110"/>
              <w:bottom w:type="dxa" w:w="80"/>
              <w:right w:type="dxa" w:w="110"/>
            </w:tcMar>
            <w:vAlign w:val="center"/>
          </w:tcPr>
          <w:p>
            <w:pPr>
              <w:spacing w:after="40" w:line="240"/>
              <w:jc w:val="left"/>
            </w:pPr>
            <w:r>
              <w:rPr>
                <w:b/>
                <w:bCs/>
                <w:sz w:val="18"/>
                <w:szCs w:val="18"/>
              </w:rPr>
              <w:t xml:space="preserve">Theme</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Consolidation</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Merging per-service resources into shared ones</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Single API Gateway; single ALB in stages</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T1</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Service set changes</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Adding or removing a service stack</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Remove auth service; api1 removed, repository kept</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T1</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Platform constraint in code</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A limit of the account or platform recorded in code</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Inspector blocked by SCP; certificate variables unset</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T1</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State in Git</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Terraform state committed to version control</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Thousand-line state diffs in December commits</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T2</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Bootstrap state</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The stack that creates the backend cannot use it</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Remote-state file committed by pipeline; report fix</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T2</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Preserve across rebuild</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Keeping resources or state alive through destroy</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State pull/push; ECR import; targeted destroy</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T2</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Long deletion</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A resource whose deletion dominates a step</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ECS service "Still destroying" for about 3.5 minutes</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T3</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Ordering</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Destroy order fixed by dependencies</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Deployments → infrastructures → state</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T3</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Uninformative message</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Commit message that does not say what changed</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"Good", "Change", "Cleanup"</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T4</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Trigger by edit</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Editing a file solely to start the pipeline</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Change note lines in rebuild.sh</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T4</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Pipeline-authored record</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Commits written by the pipeline</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Prod rebuild report commits</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T4</w:t>
            </w:r>
          </w:p>
        </w:tc>
      </w:tr>
      <w:tr>
        <w:trPr>
          <w:cantSplit/>
        </w:trPr>
        <w:tc>
          <w:tcPr>
            <w:tcW w:type="dxa" w:w="1900"/>
            <w:tcMar>
              <w:top w:type="dxa" w:w="80"/>
              <w:left w:type="dxa" w:w="110"/>
              <w:bottom w:type="dxa" w:w="80"/>
              <w:right w:type="dxa" w:w="110"/>
            </w:tcMar>
            <w:vAlign w:val="center"/>
          </w:tcPr>
          <w:p>
            <w:pPr>
              <w:spacing w:after="40" w:line="240"/>
              <w:jc w:val="left"/>
            </w:pPr>
            <w:r>
              <w:rPr>
                <w:b w:val="false"/>
                <w:bCs w:val="false"/>
                <w:sz w:val="18"/>
                <w:szCs w:val="18"/>
              </w:rPr>
              <w:t xml:space="preserve">Automated triggering</w:t>
            </w:r>
          </w:p>
        </w:tc>
        <w:tc>
          <w:tcPr>
            <w:tcW w:type="dxa" w:w="2500"/>
            <w:tcMar>
              <w:top w:type="dxa" w:w="80"/>
              <w:left w:type="dxa" w:w="110"/>
              <w:bottom w:type="dxa" w:w="80"/>
              <w:right w:type="dxa" w:w="110"/>
            </w:tcMar>
            <w:vAlign w:val="center"/>
          </w:tcPr>
          <w:p>
            <w:pPr>
              <w:spacing w:after="40" w:line="240"/>
              <w:jc w:val="left"/>
            </w:pPr>
            <w:r>
              <w:rPr>
                <w:b w:val="false"/>
                <w:bCs w:val="false"/>
                <w:sz w:val="18"/>
                <w:szCs w:val="18"/>
              </w:rPr>
              <w:t xml:space="preserve">Removing the human edit from the trigger loop</w:t>
            </w:r>
          </w:p>
        </w:tc>
        <w:tc>
          <w:tcPr>
            <w:tcW w:type="dxa" w:w="2900"/>
            <w:tcMar>
              <w:top w:type="dxa" w:w="80"/>
              <w:left w:type="dxa" w:w="110"/>
              <w:bottom w:type="dxa" w:w="80"/>
              <w:right w:type="dxa" w:w="110"/>
            </w:tcMar>
            <w:vAlign w:val="center"/>
          </w:tcPr>
          <w:p>
            <w:pPr>
              <w:spacing w:after="40" w:line="240"/>
              <w:jc w:val="left"/>
            </w:pPr>
            <w:r>
              <w:rPr>
                <w:b w:val="false"/>
                <w:bCs w:val="false"/>
                <w:sz w:val="18"/>
                <w:szCs w:val="18"/>
              </w:rPr>
              <w:t xml:space="preserve">Repeat option; each run dispatches the next</w:t>
            </w:r>
          </w:p>
        </w:tc>
        <w:tc>
          <w:tcPr>
            <w:tcW w:type="dxa" w:w="1340"/>
            <w:tcMar>
              <w:top w:type="dxa" w:w="80"/>
              <w:left w:type="dxa" w:w="110"/>
              <w:bottom w:type="dxa" w:w="80"/>
              <w:right w:type="dxa" w:w="110"/>
            </w:tcMar>
            <w:vAlign w:val="center"/>
          </w:tcPr>
          <w:p>
            <w:pPr>
              <w:spacing w:after="40" w:line="240"/>
              <w:jc w:val="left"/>
            </w:pPr>
            <w:r>
              <w:rPr>
                <w:b w:val="false"/>
                <w:bCs w:val="false"/>
                <w:sz w:val="18"/>
                <w:szCs w:val="18"/>
              </w:rPr>
              <w:t xml:space="preserve">T4</w:t>
            </w:r>
          </w:p>
        </w:tc>
      </w:tr>
    </w:tbl>
    <w:sectPr>
      <w:footerReference w:type="default" r:id="rId8"/>
      <w:pgSz w:w="12240" w:h="15840" w:orient="portrait"/>
      <w:pgMar w:top="1440" w:right="1440" w:bottom="1440" w:left="2160" w:header="720" w:footer="72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jc w:val="left"/>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40" w:before="280"/>
      <w:jc w:val="left"/>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20"/>
      <w:jc w:val="left"/>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9ecc03b878ef9fae1ea910ac8d91ca51dee459f.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Effectiveness of Terraform and GitHub Actions for AWS Infrastructure Automation</dc:title>
  <dc:creator>KAO LEANGSENG</dc:creator>
  <dc:description>Introduction, Literature Review, Methodology, Results, Discussion and Conclusions (mixed methods, APA 7th)</dc:description>
  <cp:lastModifiedBy>Un-named</cp:lastModifiedBy>
  <cp:revision>1</cp:revision>
  <dcterms:created xsi:type="dcterms:W3CDTF">2026-09-13T01:54:57.402Z</dcterms:created>
  <dcterms:modified xsi:type="dcterms:W3CDTF">2026-09-13T01:54:57.403Z</dcterms:modified>
</cp:coreProperties>
</file>

<file path=docProps/custom.xml><?xml version="1.0" encoding="utf-8"?>
<Properties xmlns="http://schemas.openxmlformats.org/officeDocument/2006/custom-properties" xmlns:vt="http://schemas.openxmlformats.org/officeDocument/2006/docPropsVTypes"/>
</file>