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1A1A2E" w:sz="4"/>
          <w:left w:val="single" w:color="1A1A2E" w:sz="4"/>
          <w:bottom w:val="single" w:color="1A1A2E" w:sz="4"/>
          <w:right w:val="single" w:color="1A1A2E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1A1A2E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F5F2EB"/>
                <w:sz w:val="25"/>
                <w:szCs w:val="25"/>
              </w:rPr>
              <w:t xml:space="preserve">BUILDING YOUR PROJECT MANAGEMENT PLAN</w:t>
            </w:r>
          </w:p>
          <w:p>
            <w:pPr>
              <w:spacing w:after="12" w:before="0"/>
            </w:pPr>
            <w:r>
              <w:rPr>
                <w:rFonts w:ascii="Calibri" w:cs="Calibri" w:eastAsia="Calibri" w:hAnsi="Calibri"/>
                <w:color w:val="C49A2A"/>
                <w:sz w:val="16"/>
                <w:szCs w:val="16"/>
              </w:rPr>
              <w:t xml:space="preserve">A guide for PMs developing a Project Management Plan (PMP) for the first time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3"/>
                <w:szCs w:val="13"/>
              </w:rPr>
              <w:t xml:space="preserve">Project Delivery Business Process (PDBP) Phase: Initiation  |  Governed by: PROC2020 / PROC2030 / PROC2040</w:t>
            </w:r>
          </w:p>
        </w:tc>
      </w:tr>
    </w:tbl>
    <w:p>
      <w:pPr>
        <w:spacing w:after="0" w:before="18"/>
      </w:pPr>
      <w:r>
        <w:t xml:space="preserve"/>
      </w:r>
    </w:p>
    <w:tbl>
      <w:tblPr>
        <w:tblW w:type="dxa" w:w="10800"/>
        <w:tblBorders>
          <w:top w:val="single" w:color="8B6914" w:sz="4"/>
          <w:left w:val="single" w:color="8B6914" w:sz="4"/>
          <w:bottom w:val="single" w:color="8B6914" w:sz="4"/>
          <w:right w:val="single" w:color="8B6914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DF6E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6914"/>
                <w:sz w:val="15"/>
                <w:szCs w:val="15"/>
              </w:rPr>
              <w:t xml:space="preserve">KEY PRINCIPLE  </w:t>
            </w:r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The PMP is not a filing artifact — it is your operating document. It should be living, current, and consulted. If it sits in a drawer, it is not doing its job.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C3E6B" w:sz="8"/>
        </w:pBdr>
        <w:spacing w:after="40" w:before="110"/>
      </w:pPr>
      <w:r>
        <w:rPr>
          <w:rFonts w:ascii="Calibri" w:cs="Calibri" w:eastAsia="Calibri" w:hAnsi="Calibri"/>
          <w:b/>
          <w:bCs/>
          <w:color w:val="2C3E6B"/>
          <w:sz w:val="20"/>
          <w:szCs w:val="20"/>
        </w:rPr>
        <w:t xml:space="preserve">WHAT IS THE PMP — AND WHAT IT IS NOT</w:t>
      </w:r>
    </w:p>
    <w:p>
      <w:pPr>
        <w:spacing w:after="0" w:before="12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380"/>
        <w:gridCol w:w="5420"/>
      </w:tblGrid>
      <w:tr>
        <w:tc>
          <w:tcPr>
            <w:tcW w:type="dxa" w:w="5380"/>
            <w:tcMar>
              <w:top w:type="dxa" w:w="0"/>
              <w:left w:type="dxa" w:w="0"/>
              <w:bottom w:type="dxa" w:w="0"/>
              <w:right w:type="dxa" w:w="90"/>
            </w:tcMar>
            <w:vAlign w:val="top"/>
          </w:tcPr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6"/>
                <w:szCs w:val="16"/>
              </w:rPr>
              <w:t xml:space="preserve">THE PMP IS: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Your project's operating roadmap from initiation through closeout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 living document — updated as the project evolves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Required under Engineer Manual (EM) 5-1-11 and the PDBP (PROC2020)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The document defining scope, schedule, cost, and how you manage each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Evidence that the project was planned, not just executed</w:t>
            </w:r>
          </w:p>
        </w:tc>
        <w:tc>
          <w:tcPr>
            <w:tcW w:type="dxa" w:w="5420"/>
            <w:tcMar>
              <w:top w:type="dxa" w:w="0"/>
              <w:left w:type="dxa" w:w="90"/>
              <w:bottom w:type="dxa" w:w="0"/>
              <w:right w:type="dxa" w:w="0"/>
            </w:tcMar>
            <w:vAlign w:val="top"/>
          </w:tcPr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6B1B1B"/>
                <w:sz w:val="16"/>
                <w:szCs w:val="16"/>
              </w:rPr>
              <w:t xml:space="preserve">THE PMP IS NOT: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 one-time document you write and file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The schedule (though it references and incorporates it)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 report to management — it is a tool for the PM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Optional — it is required under PROC2020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Something you produce after the project is already underway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C3E6B" w:sz="8"/>
        </w:pBdr>
        <w:spacing w:after="40" w:before="110"/>
      </w:pPr>
      <w:r>
        <w:rPr>
          <w:rFonts w:ascii="Calibri" w:cs="Calibri" w:eastAsia="Calibri" w:hAnsi="Calibri"/>
          <w:b/>
          <w:bCs/>
          <w:color w:val="2C3E6B"/>
          <w:sz w:val="20"/>
          <w:szCs w:val="20"/>
        </w:rPr>
        <w:t xml:space="preserve">WHEN DO YOU BUILD IT</w:t>
      </w:r>
    </w:p>
    <w:p>
      <w:pPr>
        <w:spacing w:after="0" w:before="10"/>
      </w:pPr>
      <w:r>
        <w:t xml:space="preserve"/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color w:val="111111"/>
          <w:sz w:val="17"/>
          <w:szCs w:val="17"/>
        </w:rPr>
        <w:t xml:space="preserve">The PMP is initiated during Initiation and refined through Planning. It is not written once — it mirrors the project lifecycle.</w:t>
      </w:r>
    </w:p>
    <w:p>
      <w:pPr>
        <w:spacing w:after="0" w:before="8"/>
      </w:pPr>
      <w:r>
        <w:t xml:space="preserve"/>
      </w:r>
    </w:p>
    <w:tbl>
      <w:tblPr>
        <w:tblW w:type="dxa" w:w="10800"/>
        <w:tblBorders>
          <w:top w:val="single" w:color="6B7280" w:sz="3"/>
          <w:left w:val="single" w:color="6B7280" w:sz="3"/>
          <w:bottom w:val="single" w:color="6B7280" w:sz="3"/>
          <w:right w:val="single" w:color="6B7280" w:sz="3"/>
          <w:insideH w:val="single" w:color="auto" w:sz="4"/>
          <w:insideV w:val="single" w:color="auto" w:sz="4"/>
        </w:tblBorders>
      </w:tblPr>
      <w:tblGrid>
        <w:gridCol w:w="1600"/>
        <w:gridCol w:w="1900"/>
        <w:gridCol w:w="2000"/>
        <w:gridCol w:w="5300"/>
      </w:tblGrid>
      <w:tr>
        <w:trPr>
          <w:tblHeader/>
        </w:trPr>
        <w:tc>
          <w:tcPr>
            <w:tcW w:type="dxa" w:w="1600"/>
            <w:shd w:fill="1A1A2E" w:color="auto" w:val="clear"/>
            <w:tcMar>
              <w:top w:type="dxa" w:w="46"/>
              <w:left w:type="dxa" w:w="65"/>
              <w:bottom w:type="dxa" w:w="46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F2EB"/>
                <w:sz w:val="15"/>
                <w:szCs w:val="15"/>
              </w:rPr>
              <w:t xml:space="preserve">Phase</w:t>
            </w:r>
          </w:p>
        </w:tc>
        <w:tc>
          <w:tcPr>
            <w:tcW w:type="dxa" w:w="1900"/>
            <w:shd w:fill="1A1A2E" w:color="auto" w:val="clear"/>
            <w:tcMar>
              <w:top w:type="dxa" w:w="46"/>
              <w:left w:type="dxa" w:w="65"/>
              <w:bottom w:type="dxa" w:w="46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F2EB"/>
                <w:sz w:val="15"/>
                <w:szCs w:val="15"/>
              </w:rPr>
              <w:t xml:space="preserve">Timing</w:t>
            </w:r>
          </w:p>
        </w:tc>
        <w:tc>
          <w:tcPr>
            <w:tcW w:type="dxa" w:w="2000"/>
            <w:shd w:fill="1A1A2E" w:color="auto" w:val="clear"/>
            <w:tcMar>
              <w:top w:type="dxa" w:w="46"/>
              <w:left w:type="dxa" w:w="65"/>
              <w:bottom w:type="dxa" w:w="46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F2EB"/>
                <w:sz w:val="15"/>
                <w:szCs w:val="15"/>
              </w:rPr>
              <w:t xml:space="preserve">Key PROC</w:t>
            </w:r>
          </w:p>
        </w:tc>
        <w:tc>
          <w:tcPr>
            <w:tcW w:type="dxa" w:w="5300"/>
            <w:shd w:fill="1A1A2E" w:color="auto" w:val="clear"/>
            <w:tcMar>
              <w:top w:type="dxa" w:w="46"/>
              <w:left w:type="dxa" w:w="65"/>
              <w:bottom w:type="dxa" w:w="46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F2EB"/>
                <w:sz w:val="15"/>
                <w:szCs w:val="15"/>
              </w:rPr>
              <w:t xml:space="preserve">What You Add to the PMP</w:t>
            </w:r>
          </w:p>
        </w:tc>
      </w:tr>
      <w:tr>
        <w:tc>
          <w:tcPr>
            <w:tcW w:type="dxa" w:w="16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6B"/>
                <w:sz w:val="15"/>
                <w:szCs w:val="15"/>
              </w:rPr>
              <w:t xml:space="preserve">Initiation</w:t>
            </w:r>
          </w:p>
        </w:tc>
        <w:tc>
          <w:tcPr>
            <w:tcW w:type="dxa" w:w="19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On assignment</w:t>
            </w:r>
          </w:p>
        </w:tc>
        <w:tc>
          <w:tcPr>
            <w:tcW w:type="dxa" w:w="20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B6B"/>
                <w:sz w:val="14"/>
                <w:szCs w:val="14"/>
              </w:rPr>
              <w:t xml:space="preserve">PROC2020</w:t>
            </w:r>
          </w:p>
        </w:tc>
        <w:tc>
          <w:tcPr>
            <w:tcW w:type="dxa" w:w="53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Charter, Project Delivery Team (PDT), scope statement, communication plan, initial risk log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6B"/>
                <w:sz w:val="15"/>
                <w:szCs w:val="15"/>
              </w:rPr>
              <w:t xml:space="preserve">Planning</w:t>
            </w:r>
          </w:p>
        </w:tc>
        <w:tc>
          <w:tcPr>
            <w:tcW w:type="dxa" w:w="1900"/>
            <w:shd w:fill="FFFFFF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Before design</w:t>
            </w:r>
          </w:p>
        </w:tc>
        <w:tc>
          <w:tcPr>
            <w:tcW w:type="dxa" w:w="2000"/>
            <w:shd w:fill="FFFFFF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B6B"/>
                <w:sz w:val="14"/>
                <w:szCs w:val="14"/>
              </w:rPr>
              <w:t xml:space="preserve">PROC2030/2040</w:t>
            </w:r>
          </w:p>
        </w:tc>
        <w:tc>
          <w:tcPr>
            <w:tcW w:type="dxa" w:w="5300"/>
            <w:shd w:fill="FFFFFF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Schedule baseline, cost estimate, resource plan, procurement strategy</w:t>
            </w:r>
          </w:p>
        </w:tc>
      </w:tr>
      <w:tr>
        <w:tc>
          <w:tcPr>
            <w:tcW w:type="dxa" w:w="16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6B"/>
                <w:sz w:val="15"/>
                <w:szCs w:val="15"/>
              </w:rPr>
              <w:t xml:space="preserve">Execution</w:t>
            </w:r>
          </w:p>
        </w:tc>
        <w:tc>
          <w:tcPr>
            <w:tcW w:type="dxa" w:w="19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Before award</w:t>
            </w:r>
          </w:p>
        </w:tc>
        <w:tc>
          <w:tcPr>
            <w:tcW w:type="dxa" w:w="20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B6B"/>
                <w:sz w:val="14"/>
                <w:szCs w:val="14"/>
              </w:rPr>
              <w:t xml:space="preserve">PROC3000</w:t>
            </w:r>
          </w:p>
        </w:tc>
        <w:tc>
          <w:tcPr>
            <w:tcW w:type="dxa" w:w="53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Construction management approach, Quality Assurance/Quality Control (QA/QC) plan, change management process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6B"/>
                <w:sz w:val="15"/>
                <w:szCs w:val="15"/>
              </w:rPr>
              <w:t xml:space="preserve">Monitoring</w:t>
            </w:r>
          </w:p>
        </w:tc>
        <w:tc>
          <w:tcPr>
            <w:tcW w:type="dxa" w:w="1900"/>
            <w:shd w:fill="FFFFFF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Ongoing</w:t>
            </w:r>
          </w:p>
        </w:tc>
        <w:tc>
          <w:tcPr>
            <w:tcW w:type="dxa" w:w="2000"/>
            <w:shd w:fill="FFFFFF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B6B"/>
                <w:sz w:val="14"/>
                <w:szCs w:val="14"/>
              </w:rPr>
              <w:t xml:space="preserve">PROC3000/3010</w:t>
            </w:r>
          </w:p>
        </w:tc>
        <w:tc>
          <w:tcPr>
            <w:tcW w:type="dxa" w:w="5300"/>
            <w:shd w:fill="FFFFFF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Earned Value Management (EVM) reporting cadence, risk register updates, change log</w:t>
            </w:r>
          </w:p>
        </w:tc>
      </w:tr>
      <w:tr>
        <w:tc>
          <w:tcPr>
            <w:tcW w:type="dxa" w:w="16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6B"/>
                <w:sz w:val="15"/>
                <w:szCs w:val="15"/>
              </w:rPr>
              <w:t xml:space="preserve">Closeout</w:t>
            </w:r>
          </w:p>
        </w:tc>
        <w:tc>
          <w:tcPr>
            <w:tcW w:type="dxa" w:w="19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Near project end</w:t>
            </w:r>
          </w:p>
        </w:tc>
        <w:tc>
          <w:tcPr>
            <w:tcW w:type="dxa" w:w="20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B6B"/>
                <w:sz w:val="14"/>
                <w:szCs w:val="14"/>
              </w:rPr>
              <w:t xml:space="preserve">PROC4000</w:t>
            </w:r>
          </w:p>
        </w:tc>
        <w:tc>
          <w:tcPr>
            <w:tcW w:type="dxa" w:w="5300"/>
            <w:shd w:fill="F0F2F5" w:color="auto" w:val="clear"/>
            <w:tcMar>
              <w:top w:type="dxa" w:w="42"/>
              <w:left w:type="dxa" w:w="65"/>
              <w:bottom w:type="dxa" w:w="42"/>
              <w:right w:type="dxa" w:w="65"/>
            </w:tcMar>
          </w:tcPr>
          <w:p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Closeout checklist, After Action Review (AAR) approach, lessons learned process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C3E6B" w:sz="8"/>
        </w:pBdr>
        <w:spacing w:after="40" w:before="110"/>
      </w:pPr>
      <w:r>
        <w:rPr>
          <w:rFonts w:ascii="Calibri" w:cs="Calibri" w:eastAsia="Calibri" w:hAnsi="Calibri"/>
          <w:b/>
          <w:bCs/>
          <w:color w:val="2C3E6B"/>
          <w:sz w:val="20"/>
          <w:szCs w:val="20"/>
        </w:rPr>
        <w:t xml:space="preserve">REQUIRED SECTIONS — WHAT YOUR PMP MUST CONTAIN</w:t>
      </w:r>
    </w:p>
    <w:p>
      <w:pPr>
        <w:spacing w:after="0" w:before="12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380"/>
        <w:gridCol w:w="5420"/>
      </w:tblGrid>
      <w:tr>
        <w:tc>
          <w:tcPr>
            <w:tcW w:type="dxa" w:w="5380"/>
            <w:tcMar>
              <w:top w:type="dxa" w:w="0"/>
              <w:left w:type="dxa" w:w="0"/>
              <w:bottom w:type="dxa" w:w="0"/>
              <w:right w:type="dxa" w:w="90"/>
            </w:tcMar>
            <w:vAlign w:val="top"/>
          </w:tcPr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16"/>
                <w:szCs w:val="16"/>
              </w:rPr>
              <w:t xml:space="preserve">MANAGEMENT SECTIONS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Project Overview — purpose, background, location, sponsor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Project Objectives — what success looks like, measurable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Roles and Responsibilities — PDT RACI (Responsible, Accountable, Consulted, Informed), decision authority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Communication Plan — who, what, how often, what format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Change Management Process — identify, approve, document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Risk Management Approach — Register maintenance and review</w:t>
            </w:r>
          </w:p>
          <w:p>
            <w:pPr>
              <w:spacing w:after="0" w:before="12"/>
            </w:pPr>
            <w:r>
              <w:t xml:space="preserve"/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1B5B6B"/>
                <w:sz w:val="16"/>
                <w:szCs w:val="16"/>
              </w:rPr>
              <w:t xml:space="preserve">TECHNICAL SECTIONS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Scope Statement — in-scope, out-of-scope, assumptions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WBS Summary — major deliverables and work packages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Schedule Baseline — PROC2030-compliant, basis of estimate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Cost Estimate — Independent Government Estimate (IGE), Supervision Inspection and Overhead (SIOH), contingency, funding source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Procurement Strategy — contract type, acquisition approach</w:t>
            </w:r>
          </w:p>
        </w:tc>
        <w:tc>
          <w:tcPr>
            <w:tcW w:type="dxa" w:w="5420"/>
            <w:tcMar>
              <w:top w:type="dxa" w:w="0"/>
              <w:left w:type="dxa" w:w="90"/>
              <w:bottom w:type="dxa" w:w="0"/>
              <w:right w:type="dxa" w:w="0"/>
            </w:tcMar>
            <w:vAlign w:val="top"/>
          </w:tcPr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6"/>
                <w:szCs w:val="16"/>
              </w:rPr>
              <w:t xml:space="preserve">THREE QUESTIONS YOUR PMP MUST ANSWER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6"/>
                <w:szCs w:val="16"/>
              </w:rPr>
              <w:t xml:space="preserve">1.  What are we building?</w:t>
            </w:r>
          </w:p>
          <w:p>
            <w:pPr>
              <w:spacing w:after="36" w:before="0"/>
              <w:ind w:left="19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Scope statement with explicit In and Out of Scope</w:t>
            </w:r>
          </w:p>
          <w:p>
            <w:pPr>
              <w:spacing w:after="36" w:before="0"/>
              <w:ind w:left="19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Work Breakdown Structure (WBS) that organizes scope into trackable deliverables</w:t>
            </w:r>
          </w:p>
          <w:p>
            <w:pPr>
              <w:spacing w:after="36" w:before="0"/>
              <w:ind w:left="19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Success criteria the sponsor would recognize</w:t>
            </w:r>
          </w:p>
          <w:p>
            <w:pPr>
              <w:spacing w:after="0" w:before="12"/>
            </w:pPr>
            <w:r>
              <w:t xml:space="preserve"/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16"/>
                <w:szCs w:val="16"/>
              </w:rPr>
              <w:t xml:space="preserve">2.  How are we going to build it?</w:t>
            </w:r>
          </w:p>
          <w:p>
            <w:pPr>
              <w:spacing w:after="36" w:before="0"/>
              <w:ind w:left="19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Schedule with critical path, float, resource loading</w:t>
            </w:r>
          </w:p>
          <w:p>
            <w:pPr>
              <w:spacing w:after="36" w:before="0"/>
              <w:ind w:left="19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Cost estimate with IGE, SIOH, contingency documented</w:t>
            </w:r>
          </w:p>
          <w:p>
            <w:pPr>
              <w:spacing w:after="36" w:before="0"/>
              <w:ind w:left="19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Procurement and contract type clearly stated</w:t>
            </w:r>
          </w:p>
          <w:p>
            <w:pPr>
              <w:spacing w:after="0" w:before="12"/>
            </w:pPr>
            <w:r>
              <w:t xml:space="preserve"/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B5B6B"/>
                <w:sz w:val="16"/>
                <w:szCs w:val="16"/>
              </w:rPr>
              <w:t xml:space="preserve">3.  How will we know if we are on track?</w:t>
            </w:r>
          </w:p>
          <w:p>
            <w:pPr>
              <w:spacing w:after="36" w:before="0"/>
              <w:ind w:left="19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EVM metrics and reporting cadence defined</w:t>
            </w:r>
          </w:p>
          <w:p>
            <w:pPr>
              <w:spacing w:after="36" w:before="0"/>
              <w:ind w:left="19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Risk Register with owners and triggers maintained</w:t>
            </w:r>
          </w:p>
          <w:p>
            <w:pPr>
              <w:spacing w:after="36" w:before="0"/>
              <w:ind w:left="19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Change management process documented and followed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C3E6B" w:sz="8"/>
        </w:pBdr>
        <w:spacing w:after="40" w:before="110"/>
      </w:pPr>
      <w:r>
        <w:rPr>
          <w:rFonts w:ascii="Calibri" w:cs="Calibri" w:eastAsia="Calibri" w:hAnsi="Calibri"/>
          <w:b/>
          <w:bCs/>
          <w:color w:val="2C3E6B"/>
          <w:sz w:val="20"/>
          <w:szCs w:val="20"/>
        </w:rPr>
        <w:t xml:space="preserve">FIVE MISTAKES FIRST-TIME PMs MAKE WITH THE PMP</w:t>
      </w:r>
    </w:p>
    <w:p>
      <w:pPr>
        <w:spacing w:after="0" w:before="1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80"/>
        <w:gridCol w:w="10420"/>
      </w:tblGrid>
      <w:tr>
        <w:tc>
          <w:tcPr>
            <w:tcW w:type="dxa" w:w="380"/>
            <w:shd w:fill="6B1B1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5F2EB"/>
                <w:sz w:val="24"/>
                <w:szCs w:val="24"/>
              </w:rPr>
              <w:t xml:space="preserve">1</w:t>
            </w:r>
          </w:p>
        </w:tc>
        <w:tc>
          <w:tcPr>
            <w:tcW w:type="dxa" w:w="10420"/>
            <w:shd w:fill="F0F2F5" w:color="auto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6B1B1B"/>
                <w:sz w:val="16"/>
                <w:szCs w:val="16"/>
              </w:rPr>
              <w:t xml:space="preserve">Writing it once and filing it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The PMP is living. Update it when scope changes, the schedule is rebaselined, or a key risk triggers. If it is more than 90 days old without a review — it is probably wrong.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80"/>
        <w:gridCol w:w="10420"/>
      </w:tblGrid>
      <w:tr>
        <w:tc>
          <w:tcPr>
            <w:tcW w:type="dxa" w:w="380"/>
            <w:shd w:fill="2C3E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5F2EB"/>
                <w:sz w:val="24"/>
                <w:szCs w:val="24"/>
              </w:rPr>
              <w:t xml:space="preserve">2</w:t>
            </w:r>
          </w:p>
        </w:tc>
        <w:tc>
          <w:tcPr>
            <w:tcW w:type="dxa" w:w="10420"/>
            <w:shd w:fill="FFFFFF" w:color="auto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16"/>
                <w:szCs w:val="16"/>
              </w:rPr>
              <w:t xml:space="preserve">Confusing the PMP with the schedule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The schedule answers when and how long. The PMP also answers who, what, why, and what could go wrong. A Gantt chart is not a project management plan.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80"/>
        <w:gridCol w:w="10420"/>
      </w:tblGrid>
      <w:tr>
        <w:tc>
          <w:tcPr>
            <w:tcW w:type="dxa" w:w="380"/>
            <w:shd w:fill="1B5B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5F2EB"/>
                <w:sz w:val="24"/>
                <w:szCs w:val="24"/>
              </w:rPr>
              <w:t xml:space="preserve">3</w:t>
            </w:r>
          </w:p>
        </w:tc>
        <w:tc>
          <w:tcPr>
            <w:tcW w:type="dxa" w:w="10420"/>
            <w:shd w:fill="F0F2F5" w:color="auto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B5B6B"/>
                <w:sz w:val="16"/>
                <w:szCs w:val="16"/>
              </w:rPr>
              <w:t xml:space="preserve">Leaving the Out of Scope section blank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"Not in scope" requires the same documentation discipline as what IS in scope. Most scope conflicts come from things one party assumed were included. Neither wrote it down.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80"/>
        <w:gridCol w:w="10420"/>
      </w:tblGrid>
      <w:tr>
        <w:tc>
          <w:tcPr>
            <w:tcW w:type="dxa" w:w="380"/>
            <w:shd w:fill="1B6B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5F2EB"/>
                <w:sz w:val="24"/>
                <w:szCs w:val="24"/>
              </w:rPr>
              <w:t xml:space="preserve">4</w:t>
            </w:r>
          </w:p>
        </w:tc>
        <w:tc>
          <w:tcPr>
            <w:tcW w:type="dxa" w:w="10420"/>
            <w:shd w:fill="FFFFFF" w:color="auto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6"/>
                <w:szCs w:val="16"/>
              </w:rPr>
              <w:t xml:space="preserve">Building the PMP after the project is already running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If you are in construction without a current PMP — stop and write one. It is never too late to stop operating without a plan.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80"/>
        <w:gridCol w:w="10420"/>
      </w:tblGrid>
      <w:tr>
        <w:tc>
          <w:tcPr>
            <w:tcW w:type="dxa" w:w="380"/>
            <w:shd w:fill="8B691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5F2EB"/>
                <w:sz w:val="24"/>
                <w:szCs w:val="24"/>
              </w:rPr>
              <w:t xml:space="preserve">5</w:t>
            </w:r>
          </w:p>
        </w:tc>
        <w:tc>
          <w:tcPr>
            <w:tcW w:type="dxa" w:w="10420"/>
            <w:shd w:fill="F0F2F5" w:color="auto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8B6914"/>
                <w:sz w:val="16"/>
                <w:szCs w:val="16"/>
              </w:rPr>
              <w:t xml:space="preserve">Treating it as a document for management, not for the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5"/>
                <w:szCs w:val="15"/>
              </w:rPr>
              <w:t xml:space="preserve">The PMP is your tool. The DPM may review it — but you live in it. If you have to look up something that should be in your PMP, that is a signal the PMP is incomplete.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C3E6B" w:sz="8"/>
        </w:pBdr>
        <w:spacing w:after="40" w:before="110"/>
      </w:pPr>
      <w:r>
        <w:rPr>
          <w:rFonts w:ascii="Calibri" w:cs="Calibri" w:eastAsia="Calibri" w:hAnsi="Calibri"/>
          <w:b/>
          <w:bCs/>
          <w:color w:val="2C3E6B"/>
          <w:sz w:val="20"/>
          <w:szCs w:val="20"/>
        </w:rPr>
        <w:t xml:space="preserve">YOUR FIRST WEEK — PMP QUICK START</w:t>
      </w:r>
    </w:p>
    <w:p>
      <w:pPr>
        <w:spacing w:after="0" w:before="10"/>
      </w:pPr>
      <w:r>
        <w:t xml:space="preserve"/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color w:val="111111"/>
          <w:sz w:val="17"/>
          <w:szCs w:val="17"/>
        </w:rPr>
        <w:t xml:space="preserve">On day one of a new project assignment, these actions get your PMP started correctly.</w:t>
      </w:r>
    </w:p>
    <w:p>
      <w:pPr>
        <w:spacing w:after="0" w:before="8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380"/>
        <w:gridCol w:w="5420"/>
      </w:tblGrid>
      <w:tr>
        <w:tc>
          <w:tcPr>
            <w:tcW w:type="dxa" w:w="5380"/>
            <w:tcMar>
              <w:top w:type="dxa" w:w="0"/>
              <w:left w:type="dxa" w:w="0"/>
              <w:bottom w:type="dxa" w:w="0"/>
              <w:right w:type="dxa" w:w="90"/>
            </w:tcMar>
            <w:vAlign w:val="top"/>
          </w:tcPr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16"/>
                <w:szCs w:val="16"/>
              </w:rPr>
              <w:t xml:space="preserve">DAYS 1-3: ORIENT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Read the existing PMP if one exists — note what is current and what is outdated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Read the PDT Charter — who is on it, who has decision authority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Review the scope statement — find In Scope, Out of Scope, and Assumptions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Ask for the WBS — if it does not exist, that is your first gap to close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Identify the current PDBP phase — confirm which PROC governs right now</w:t>
            </w:r>
          </w:p>
        </w:tc>
        <w:tc>
          <w:tcPr>
            <w:tcW w:type="dxa" w:w="5420"/>
            <w:tcMar>
              <w:top w:type="dxa" w:w="0"/>
              <w:left w:type="dxa" w:w="90"/>
              <w:bottom w:type="dxa" w:w="0"/>
              <w:right w:type="dxa" w:w="0"/>
            </w:tcMar>
            <w:vAlign w:val="top"/>
          </w:tcPr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6"/>
                <w:szCs w:val="16"/>
              </w:rPr>
              <w:t xml:space="preserve">DAYS 4-7: BUILD OR UPDATE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Open or create the PMP — use the district standard if one exists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Populate what you know now — do not wait for perfect information to start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Flag every section requiring input from a PDT member or functional chief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Schedule a PDT meeting to review the PMP together — make it a team document</w:t>
            </w:r>
          </w:p>
          <w:p>
            <w:pPr>
              <w:spacing w:after="36" w:before="0"/>
              <w:ind w:left="340" w:hanging="180"/>
            </w:pPr>
            <w:r>
              <w:rPr>
                <w:rFonts w:ascii="Calibri" w:cs="Calibri" w:eastAsia="Calibri" w:hAnsi="Calibri"/>
                <w:color w:val="8B6914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Set a review cadence — when will you update the PMP and with whom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C3E6B" w:sz="8"/>
        </w:pBdr>
        <w:spacing w:after="40" w:before="110"/>
      </w:pPr>
      <w:r>
        <w:rPr>
          <w:rFonts w:ascii="Calibri" w:cs="Calibri" w:eastAsia="Calibri" w:hAnsi="Calibri"/>
          <w:b/>
          <w:bCs/>
          <w:color w:val="2C3E6B"/>
          <w:sz w:val="20"/>
          <w:szCs w:val="20"/>
        </w:rPr>
        <w:t xml:space="preserve">THREE QUESTIONS TO ASK YOUR SPONSOR BEFORE YOU FINALIZE SCOPE</w:t>
      </w:r>
    </w:p>
    <w:p>
      <w:pPr>
        <w:spacing w:after="0" w:before="10"/>
      </w:pPr>
      <w:r>
        <w:t xml:space="preserve"/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color w:val="111111"/>
          <w:sz w:val="17"/>
          <w:szCs w:val="17"/>
        </w:rPr>
        <w:t xml:space="preserve">Have this conversation before you finalize the scope section. These questions surface what is not in any document.</w:t>
      </w:r>
    </w:p>
    <w:p>
      <w:pPr>
        <w:spacing w:after="0" w:before="8"/>
      </w:pPr>
      <w:r>
        <w:t xml:space="preserve"/>
      </w:r>
    </w:p>
    <w:tbl>
      <w:tblPr>
        <w:tblW w:type="dxa" w:w="10800"/>
        <w:tblBorders>
          <w:top w:val="single" w:color="6B7280" w:sz="3"/>
          <w:left w:val="single" w:color="6B7280" w:sz="3"/>
          <w:bottom w:val="single" w:color="6B7280" w:sz="3"/>
          <w:right w:val="single" w:color="6B7280" w:sz="3"/>
          <w:insideH w:val="single" w:color="auto" w:sz="4"/>
          <w:insideV w:val="single" w:color="auto" w:sz="4"/>
        </w:tblBorders>
      </w:tblPr>
      <w:tblGrid>
        <w:gridCol w:w="320"/>
        <w:gridCol w:w="10480"/>
      </w:tblGrid>
      <w:tr>
        <w:tc>
          <w:tcPr>
            <w:tcW w:type="dxa" w:w="320"/>
            <w:shd w:fill="2C3E6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5F2EB"/>
                <w:sz w:val="22"/>
                <w:szCs w:val="22"/>
              </w:rPr>
              <w:t xml:space="preserve">1</w:t>
            </w:r>
          </w:p>
        </w:tc>
        <w:tc>
          <w:tcPr>
            <w:tcW w:type="dxa" w:w="10480"/>
            <w:shd w:fill="F0F2F5" w:color="auto" w:val="clear"/>
            <w:tcMar>
              <w:top w:type="dxa" w:w="60"/>
              <w:left w:type="dxa" w:w="90"/>
              <w:bottom w:type="dxa" w:w="60"/>
              <w:right w:type="dxa" w:w="80"/>
            </w:tcMar>
          </w:tcPr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"What does success look like when we hand this project over to you?"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Why this works: Surfaces the sponsor's definition of done — often different from the scope statement's definition.</w:t>
            </w:r>
          </w:p>
        </w:tc>
      </w:tr>
      <w:tr>
        <w:tc>
          <w:tcPr>
            <w:tcW w:type="dxa" w:w="320"/>
            <w:shd w:fill="2C3E6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5F2EB"/>
                <w:sz w:val="22"/>
                <w:szCs w:val="22"/>
              </w:rPr>
              <w:t xml:space="preserve">2</w:t>
            </w:r>
          </w:p>
        </w:tc>
        <w:tc>
          <w:tcPr>
            <w:tcW w:type="dxa" w:w="10480"/>
            <w:shd w:fill="FFFFFF" w:color="auto" w:val="clear"/>
            <w:tcMar>
              <w:top w:type="dxa" w:w="60"/>
              <w:left w:type="dxa" w:w="90"/>
              <w:bottom w:type="dxa" w:w="60"/>
              <w:right w:type="dxa" w:w="80"/>
            </w:tcMar>
          </w:tcPr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"What would make you say this project failed — even if we hit schedule and budget?"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Why this works: Surfaces fears and unstated expectations. The answers often reveal scope that was never written down.</w:t>
            </w:r>
          </w:p>
        </w:tc>
      </w:tr>
      <w:tr>
        <w:tc>
          <w:tcPr>
            <w:tcW w:type="dxa" w:w="320"/>
            <w:shd w:fill="2C3E6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5F2EB"/>
                <w:sz w:val="22"/>
                <w:szCs w:val="22"/>
              </w:rPr>
              <w:t xml:space="preserve">3</w:t>
            </w:r>
          </w:p>
        </w:tc>
        <w:tc>
          <w:tcPr>
            <w:tcW w:type="dxa" w:w="10480"/>
            <w:shd w:fill="F0F2F5" w:color="auto" w:val="clear"/>
            <w:tcMar>
              <w:top w:type="dxa" w:w="60"/>
              <w:left w:type="dxa" w:w="90"/>
              <w:bottom w:type="dxa" w:w="60"/>
              <w:right w:type="dxa" w:w="80"/>
            </w:tcMar>
          </w:tcPr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"What are you most worried about that I might not know yet?"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Why this works: Surfaces institutional knowledge, stakeholder dynamics, and political context the PM needs before planning begins.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10800"/>
        <w:tblBorders>
          <w:top w:val="single" w:color="8B6914" w:sz="4"/>
          <w:left w:val="single" w:color="8B6914" w:sz="4"/>
          <w:bottom w:val="single" w:color="8B6914" w:sz="4"/>
          <w:right w:val="single" w:color="8B6914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DF6E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18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6914"/>
                <w:sz w:val="16"/>
                <w:szCs w:val="16"/>
              </w:rPr>
              <w:t xml:space="preserve">THE PM'S RULE OF THUMB</w:t>
            </w:r>
          </w:p>
          <w:p>
            <w:pPr>
              <w:spacing w:after="12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7"/>
                <w:szCs w:val="17"/>
              </w:rPr>
              <w:t xml:space="preserve">If a decision was made and it is not in the PMP — it does not officially exist.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</w:rPr>
              <w:t xml:space="preserve">Document it. Update the PMP. Then move 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914" w:sz="6"/>
      </w:pBdr>
      <w:spacing w:before="46"/>
      <w:jc w:val="center"/>
    </w:pPr>
    <w:r>
      <w:rPr>
        <w:rFonts w:ascii="Calibri" w:cs="Calibri" w:eastAsia="Calibri" w:hAnsi="Calibri"/>
        <w:color w:val="6B7280"/>
        <w:sz w:val="13"/>
        <w:szCs w:val="13"/>
      </w:rPr>
      <w:t xml:space="preserve">Reference: PROC2020 / PROC2030 / PROC2040 / PROC3000  |  EM 5-1-11  |  USACE KMP-PPM  |  For Official Training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6"/>
      </w:pBdr>
      <w:tabs>
        <w:tab w:val="right" w:pos="10800"/>
      </w:tabs>
      <w:spacing w:after="46"/>
    </w:pPr>
    <w:r>
      <w:rPr>
        <w:rFonts w:ascii="Calibri" w:cs="Calibri" w:eastAsia="Calibri" w:hAnsi="Calibri"/>
        <w:b/>
        <w:bCs/>
        <w:color w:val="1A1A2E"/>
        <w:sz w:val="14"/>
        <w:szCs w:val="14"/>
      </w:rPr>
      <w:t xml:space="preserve">PROJECT MANAGEMENT IN USACE  |  Building Your Project Management Plan</w:t>
    </w:r>
    <w:r>
      <w:rPr>
        <w:rFonts w:ascii="Calibri" w:cs="Calibri" w:eastAsia="Calibri" w:hAnsi="Calibri"/>
        <w:color w:val="6B7280"/>
        <w:sz w:val="13"/>
        <w:szCs w:val="13"/>
      </w:rPr>
      <w:t xml:space="preserve">	USACE KMP-PPM  |  CECW-CB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2026-09-20T22:21:53.863Z</dcterms:created>
  <dcterms:modified xsi:type="dcterms:W3CDTF">2026-09-20T22:21:53.872Z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