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0080"/>
      </w:tblGrid>
      <w:tr>
        <w:tc>
          <w:tcPr>
            <w:tcW w:type="dxa" w:w="10080"/>
            <w:shd w:val="clear" w:color="auto" w:fill="1A1A2E"/>
            <w:tcBorders>
              <w:top w:val="single" w:sz="4" w:space="0" w:color="1A1A2E"/>
              <w:bottom w:val="single" w:sz="4" w:space="0" w:color="1A1A2E"/>
              <w:left w:val="single" w:sz="4" w:space="0" w:color="1A1A2E"/>
              <w:right w:val="single" w:sz="4" w:space="0" w:color="1A1A2E"/>
            </w:tcBorders>
          </w:tcPr>
          <w:p>
            <w:pPr>
              <w:spacing w:before="100" w:after="10"/>
            </w:pPr>
            <w:r>
              <w:rPr>
                <w:rFonts w:ascii="Calibri" w:hAnsi="Calibri"/>
                <w:b/>
                <w:i w:val="0"/>
                <w:color w:val="F5F2EB"/>
                <w:sz w:val="28"/>
              </w:rPr>
              <w:t>STAKEHOLDER ENGAGEMENT PLAN</w:t>
            </w:r>
          </w:p>
          <w:p>
            <w:pPr>
              <w:spacing w:before="0" w:after="10"/>
            </w:pPr>
            <w:r>
              <w:rPr>
                <w:rFonts w:ascii="Calibri" w:hAnsi="Calibri"/>
                <w:b w:val="0"/>
                <w:i/>
                <w:color w:val="C49A2A"/>
                <w:sz w:val="17"/>
              </w:rPr>
              <w:t>A guide for PMs developing a Stakeholder Engagement Plan for the first time</w:t>
            </w:r>
          </w:p>
          <w:p>
            <w:pPr>
              <w:spacing w:before="0" w:after="100"/>
            </w:pPr>
            <w:r>
              <w:rPr>
                <w:rFonts w:ascii="Calibri" w:hAnsi="Calibri"/>
                <w:b w:val="0"/>
                <w:i w:val="0"/>
                <w:color w:val="6B7280"/>
                <w:sz w:val="13"/>
              </w:rPr>
              <w:t>PDBP Phase: Initiation  |  Governed by: PROC2020  |  Reference: EM 5-1-11  |  USACE KMP-PPM</w:t>
            </w:r>
          </w:p>
        </w:tc>
      </w:tr>
    </w:tbl>
    <w:p>
      <w:pPr>
        <w:spacing w:before="24" w:after="0"/>
      </w:pPr>
    </w:p>
    <w:tbl>
      <w:tblPr>
        <w:tblStyle w:val="TableGrid"/>
        <w:tblW w:type="auto" w:w="0"/>
        <w:tblLook w:firstColumn="1" w:firstRow="1" w:lastColumn="0" w:lastRow="0" w:noHBand="0" w:noVBand="1" w:val="04A0"/>
      </w:tblPr>
      <w:tblGrid>
        <w:gridCol w:w="10080"/>
      </w:tblGrid>
      <w:tr>
        <w:tc>
          <w:tcPr>
            <w:tcW w:type="dxa" w:w="10080"/>
            <w:shd w:val="clear" w:color="auto" w:fill="FDF6E3"/>
            <w:tcBorders>
              <w:top w:val="single" w:sz="6" w:space="0" w:color="8B6914"/>
              <w:bottom w:val="single" w:sz="6" w:space="0" w:color="8B6914"/>
              <w:left w:val="single" w:sz="6" w:space="0" w:color="8B6914"/>
              <w:right w:val="single" w:sz="6" w:space="0" w:color="8B6914"/>
            </w:tcBorders>
          </w:tcPr>
          <w:p>
            <w:pPr>
              <w:spacing w:before="70" w:after="70"/>
            </w:pPr>
            <w:r>
              <w:rPr>
                <w:rFonts w:ascii="Calibri" w:hAnsi="Calibri"/>
                <w:b/>
                <w:i w:val="0"/>
                <w:color w:val="8B6914"/>
                <w:sz w:val="16"/>
              </w:rPr>
              <w:t xml:space="preserve">KEY PRINCIPLE  </w:t>
            </w:r>
            <w:r>
              <w:rPr>
                <w:rFonts w:ascii="Calibri" w:hAnsi="Calibri"/>
                <w:b w:val="0"/>
                <w:i/>
                <w:color w:val="111111"/>
                <w:sz w:val="16"/>
              </w:rPr>
              <w:t>A stakeholder who is surprised is a stakeholder who becomes a problem. The Stakeholder Engagement Plan (SEP) is how you identify who needs to know what, when, and how — before they find out the wrong way.</w:t>
            </w:r>
          </w:p>
        </w:tc>
      </w:tr>
    </w:tbl>
    <w:p>
      <w:pPr>
        <w:spacing w:before="28" w:after="0"/>
      </w:pPr>
    </w:p>
    <w:p>
      <w:pPr>
        <w:spacing w:before="110" w:after="44"/>
        <w:pBdr>
          <w:bottom w:val="single" w:sz="8" w:space="1" w:color="2C3E6B"/>
        </w:pBdr>
      </w:pPr>
      <w:r>
        <w:rPr>
          <w:rFonts w:ascii="Calibri" w:hAnsi="Calibri"/>
          <w:b/>
          <w:i w:val="0"/>
          <w:color w:val="2C3E6B"/>
          <w:sz w:val="21"/>
        </w:rPr>
        <w:t>WHAT IS THE STAKEHOLDER ENGAGEMENT PLAN — AND WHY IT MATTERS</w:t>
      </w:r>
    </w:p>
    <w:p>
      <w:pPr>
        <w:spacing w:before="14" w:after="0"/>
      </w:pPr>
    </w:p>
    <w:tbl>
      <w:tblPr>
        <w:tblStyle w:val="TableGrid"/>
        <w:tblW w:type="auto" w:w="0"/>
        <w:tblLook w:firstColumn="1" w:firstRow="1" w:lastColumn="0" w:lastRow="0" w:noHBand="0" w:noVBand="1" w:val="04A0"/>
      </w:tblPr>
      <w:tblGrid>
        <w:gridCol w:w="5380"/>
        <w:gridCol w:w="5420"/>
      </w:tblGrid>
      <w:tr>
        <w:tc>
          <w:tcPr>
            <w:tcW w:type="dxa" w:w="5040"/>
            <w:tcBorders>
              <w:top w:val="single" w:sz="4" w:space="0" w:color="FFFFFF"/>
              <w:bottom w:val="single" w:sz="4" w:space="0" w:color="FFFFFF"/>
              <w:left w:val="single" w:sz="4" w:space="0" w:color="FFFFFF"/>
              <w:right w:val="single" w:sz="4" w:space="0" w:color="FFFFFF"/>
            </w:tcBorders>
            <w:shd w:val="clear" w:color="auto" w:fill="F5F2EB"/>
            <w:vAlign w:val="top"/>
          </w:tcPr>
          <w:p>
            <w:pPr>
              <w:spacing w:before="0" w:after="18"/>
            </w:pPr>
            <w:r>
              <w:rPr>
                <w:rFonts w:ascii="Calibri" w:hAnsi="Calibri"/>
                <w:b/>
                <w:i w:val="0"/>
                <w:color w:val="1B6B3A"/>
                <w:sz w:val="17"/>
              </w:rPr>
              <w:t>THE SEP IS:</w:t>
            </w:r>
          </w:p>
          <w:p>
            <w:pPr>
              <w:spacing w:before="0" w:after="36"/>
              <w:ind w:left="200" w:hanging="180"/>
            </w:pPr>
            <w:r>
              <w:rPr>
                <w:rFonts w:ascii="Calibri" w:hAnsi="Calibri"/>
                <w:b w:val="0"/>
                <w:i w:val="0"/>
                <w:color w:val="8B6914"/>
                <w:sz w:val="17"/>
              </w:rPr>
              <w:t xml:space="preserve">▸  </w:t>
            </w:r>
            <w:r>
              <w:rPr>
                <w:rFonts w:ascii="Calibri" w:hAnsi="Calibri"/>
                <w:b w:val="0"/>
                <w:i w:val="0"/>
                <w:color w:val="111111"/>
                <w:sz w:val="17"/>
              </w:rPr>
              <w:t>A documented plan for identifying, categorizing, and communicating with every party who has a stake in the project</w:t>
            </w:r>
          </w:p>
          <w:p>
            <w:pPr>
              <w:spacing w:before="0" w:after="36"/>
              <w:ind w:left="200" w:hanging="180"/>
            </w:pPr>
            <w:r>
              <w:rPr>
                <w:rFonts w:ascii="Calibri" w:hAnsi="Calibri"/>
                <w:b w:val="0"/>
                <w:i w:val="0"/>
                <w:color w:val="8B6914"/>
                <w:sz w:val="17"/>
              </w:rPr>
              <w:t xml:space="preserve">▸  </w:t>
            </w:r>
            <w:r>
              <w:rPr>
                <w:rFonts w:ascii="Calibri" w:hAnsi="Calibri"/>
                <w:b w:val="0"/>
                <w:i w:val="0"/>
                <w:color w:val="111111"/>
                <w:sz w:val="17"/>
              </w:rPr>
              <w:t>Required under PROC2020 as a component of the Project Management Plan (PMP)</w:t>
            </w:r>
          </w:p>
          <w:p>
            <w:pPr>
              <w:spacing w:before="0" w:after="36"/>
              <w:ind w:left="200" w:hanging="180"/>
            </w:pPr>
            <w:r>
              <w:rPr>
                <w:rFonts w:ascii="Calibri" w:hAnsi="Calibri"/>
                <w:b w:val="0"/>
                <w:i w:val="0"/>
                <w:color w:val="8B6914"/>
                <w:sz w:val="17"/>
              </w:rPr>
              <w:t xml:space="preserve">▸  </w:t>
            </w:r>
            <w:r>
              <w:rPr>
                <w:rFonts w:ascii="Calibri" w:hAnsi="Calibri"/>
                <w:b w:val="0"/>
                <w:i w:val="0"/>
                <w:color w:val="111111"/>
                <w:sz w:val="17"/>
              </w:rPr>
              <w:t>A living document — updated as stakeholders change, relationships evolve, and the project moves through phases</w:t>
            </w:r>
          </w:p>
          <w:p>
            <w:pPr>
              <w:spacing w:before="0" w:after="36"/>
              <w:ind w:left="200" w:hanging="180"/>
            </w:pPr>
            <w:r>
              <w:rPr>
                <w:rFonts w:ascii="Calibri" w:hAnsi="Calibri"/>
                <w:b w:val="0"/>
                <w:i w:val="0"/>
                <w:color w:val="8B6914"/>
                <w:sz w:val="17"/>
              </w:rPr>
              <w:t xml:space="preserve">▸  </w:t>
            </w:r>
            <w:r>
              <w:rPr>
                <w:rFonts w:ascii="Calibri" w:hAnsi="Calibri"/>
                <w:b w:val="0"/>
                <w:i w:val="0"/>
                <w:color w:val="111111"/>
                <w:sz w:val="17"/>
              </w:rPr>
              <w:t>A risk management tool — unmanaged stakeholders are a predictable source of scope conflict, schedule delays, and political interference</w:t>
            </w:r>
          </w:p>
          <w:p>
            <w:pPr>
              <w:spacing w:before="0" w:after="36"/>
              <w:ind w:left="200" w:hanging="180"/>
            </w:pPr>
            <w:r>
              <w:rPr>
                <w:rFonts w:ascii="Calibri" w:hAnsi="Calibri"/>
                <w:b w:val="0"/>
                <w:i w:val="0"/>
                <w:color w:val="8B6914"/>
                <w:sz w:val="17"/>
              </w:rPr>
              <w:t xml:space="preserve">▸  </w:t>
            </w:r>
            <w:r>
              <w:rPr>
                <w:rFonts w:ascii="Calibri" w:hAnsi="Calibri"/>
                <w:b w:val="0"/>
                <w:i w:val="0"/>
                <w:color w:val="111111"/>
                <w:sz w:val="17"/>
              </w:rPr>
              <w:t>The PM's record of intentional relationship management, not reactive damage control</w:t>
            </w:r>
          </w:p>
        </w:tc>
        <w:tc>
          <w:tcPr>
            <w:tcW w:type="dxa" w:w="5040"/>
            <w:tcBorders>
              <w:top w:val="single" w:sz="4" w:space="0" w:color="FFFFFF"/>
              <w:bottom w:val="single" w:sz="4" w:space="0" w:color="FFFFFF"/>
              <w:left w:val="single" w:sz="4" w:space="0" w:color="FFFFFF"/>
              <w:right w:val="single" w:sz="4" w:space="0" w:color="FFFFFF"/>
            </w:tcBorders>
            <w:shd w:val="clear" w:color="auto" w:fill="F5F2EB"/>
            <w:vAlign w:val="top"/>
          </w:tcPr>
          <w:p>
            <w:pPr>
              <w:spacing w:before="0" w:after="18"/>
            </w:pPr>
            <w:r>
              <w:rPr>
                <w:rFonts w:ascii="Calibri" w:hAnsi="Calibri"/>
                <w:b/>
                <w:i w:val="0"/>
                <w:color w:val="6B1B1B"/>
                <w:sz w:val="17"/>
              </w:rPr>
              <w:t>THE SEP IS NOT:</w:t>
            </w:r>
          </w:p>
          <w:p>
            <w:pPr>
              <w:spacing w:before="0" w:after="36"/>
              <w:ind w:left="200" w:hanging="180"/>
            </w:pPr>
            <w:r>
              <w:rPr>
                <w:rFonts w:ascii="Calibri" w:hAnsi="Calibri"/>
                <w:b w:val="0"/>
                <w:i w:val="0"/>
                <w:color w:val="8B6914"/>
                <w:sz w:val="17"/>
              </w:rPr>
              <w:t xml:space="preserve">▸  </w:t>
            </w:r>
            <w:r>
              <w:rPr>
                <w:rFonts w:ascii="Calibri" w:hAnsi="Calibri"/>
                <w:b w:val="0"/>
                <w:i w:val="0"/>
                <w:color w:val="111111"/>
                <w:sz w:val="17"/>
              </w:rPr>
              <w:t>A contact list — it includes engagement strategy, not just names and phone numbers</w:t>
            </w:r>
          </w:p>
          <w:p>
            <w:pPr>
              <w:spacing w:before="0" w:after="36"/>
              <w:ind w:left="200" w:hanging="180"/>
            </w:pPr>
            <w:r>
              <w:rPr>
                <w:rFonts w:ascii="Calibri" w:hAnsi="Calibri"/>
                <w:b w:val="0"/>
                <w:i w:val="0"/>
                <w:color w:val="8B6914"/>
                <w:sz w:val="17"/>
              </w:rPr>
              <w:t xml:space="preserve">▸  </w:t>
            </w:r>
            <w:r>
              <w:rPr>
                <w:rFonts w:ascii="Calibri" w:hAnsi="Calibri"/>
                <w:b w:val="0"/>
                <w:i w:val="0"/>
                <w:color w:val="111111"/>
                <w:sz w:val="17"/>
              </w:rPr>
              <w:t>The Communication Plan — the Communication Plan defines reporting cadence for the PDT; the SEP addresses the broader stakeholder universe</w:t>
            </w:r>
          </w:p>
          <w:p>
            <w:pPr>
              <w:spacing w:before="0" w:after="36"/>
              <w:ind w:left="200" w:hanging="180"/>
            </w:pPr>
            <w:r>
              <w:rPr>
                <w:rFonts w:ascii="Calibri" w:hAnsi="Calibri"/>
                <w:b w:val="0"/>
                <w:i w:val="0"/>
                <w:color w:val="8B6914"/>
                <w:sz w:val="17"/>
              </w:rPr>
              <w:t xml:space="preserve">▸  </w:t>
            </w:r>
            <w:r>
              <w:rPr>
                <w:rFonts w:ascii="Calibri" w:hAnsi="Calibri"/>
                <w:b w:val="0"/>
                <w:i w:val="0"/>
                <w:color w:val="111111"/>
                <w:sz w:val="17"/>
              </w:rPr>
              <w:t>A one-time exercise at initiation — stakeholder dynamics change throughout the project lifecycle</w:t>
            </w:r>
          </w:p>
          <w:p>
            <w:pPr>
              <w:spacing w:before="0" w:after="36"/>
              <w:ind w:left="200" w:hanging="180"/>
            </w:pPr>
            <w:r>
              <w:rPr>
                <w:rFonts w:ascii="Calibri" w:hAnsi="Calibri"/>
                <w:b w:val="0"/>
                <w:i w:val="0"/>
                <w:color w:val="8B6914"/>
                <w:sz w:val="17"/>
              </w:rPr>
              <w:t xml:space="preserve">▸  </w:t>
            </w:r>
            <w:r>
              <w:rPr>
                <w:rFonts w:ascii="Calibri" w:hAnsi="Calibri"/>
                <w:b w:val="0"/>
                <w:i w:val="0"/>
                <w:color w:val="111111"/>
                <w:sz w:val="17"/>
              </w:rPr>
              <w:t>Optional for small projects — every USACE project has stakeholders whose expectations must be managed</w:t>
            </w:r>
          </w:p>
          <w:p>
            <w:pPr>
              <w:spacing w:before="0" w:after="36"/>
              <w:ind w:left="200" w:hanging="180"/>
            </w:pPr>
            <w:r>
              <w:rPr>
                <w:rFonts w:ascii="Calibri" w:hAnsi="Calibri"/>
                <w:b w:val="0"/>
                <w:i w:val="0"/>
                <w:color w:val="8B6914"/>
                <w:sz w:val="17"/>
              </w:rPr>
              <w:t xml:space="preserve">▸  </w:t>
            </w:r>
            <w:r>
              <w:rPr>
                <w:rFonts w:ascii="Calibri" w:hAnsi="Calibri"/>
                <w:b w:val="0"/>
                <w:i w:val="0"/>
                <w:color w:val="111111"/>
                <w:sz w:val="17"/>
              </w:rPr>
              <w:t>Something you build after a stakeholder has already become a problem</w:t>
            </w:r>
          </w:p>
        </w:tc>
      </w:tr>
    </w:tbl>
    <w:p>
      <w:pPr>
        <w:spacing w:before="28" w:after="0"/>
      </w:pPr>
    </w:p>
    <w:p>
      <w:pPr>
        <w:spacing w:before="110" w:after="44"/>
        <w:pBdr>
          <w:bottom w:val="single" w:sz="8" w:space="1" w:color="2C3E6B"/>
        </w:pBdr>
      </w:pPr>
      <w:r>
        <w:rPr>
          <w:rFonts w:ascii="Calibri" w:hAnsi="Calibri"/>
          <w:b/>
          <w:i w:val="0"/>
          <w:color w:val="2C3E6B"/>
          <w:sz w:val="21"/>
        </w:rPr>
        <w:t>THE SEVEN STAKEHOLDER CATEGORIES EVERY USACE PM MUST KNOW</w:t>
      </w:r>
    </w:p>
    <w:p>
      <w:pPr>
        <w:spacing w:before="10" w:after="0"/>
      </w:pPr>
    </w:p>
    <w:p>
      <w:pPr>
        <w:spacing w:before="0" w:after="20"/>
      </w:pPr>
      <w:r>
        <w:rPr>
          <w:rFonts w:ascii="Calibri" w:hAnsi="Calibri"/>
          <w:b w:val="0"/>
          <w:i/>
          <w:color w:val="6B7280"/>
          <w:sz w:val="15"/>
        </w:rPr>
        <w:t>Not every project has stakeholders in every category — but every PM should check all seven before concluding a category is empty. The most common SEP failure is assuming a category has no stakeholders without actually verifying.</w:t>
      </w:r>
    </w:p>
    <w:p>
      <w:pPr>
        <w:spacing w:before="14" w:after="0"/>
      </w:pPr>
    </w:p>
    <w:tbl>
      <w:tblPr>
        <w:tblStyle w:val="TableGrid"/>
        <w:tblW w:type="auto" w:w="0"/>
        <w:tblLook w:firstColumn="1" w:firstRow="1" w:lastColumn="0" w:lastRow="0" w:noHBand="0" w:noVBand="1" w:val="04A0"/>
      </w:tblPr>
      <w:tblGrid>
        <w:gridCol w:w="10080"/>
      </w:tblGrid>
      <w:tr>
        <w:tc>
          <w:tcPr>
            <w:tcW w:type="dxa" w:w="10080"/>
            <w:tcBorders>
              <w:top w:val="single" w:sz="6" w:space="0" w:color="2C3E6B"/>
              <w:bottom w:val="single" w:sz="6" w:space="0" w:color="2C3E6B"/>
              <w:left w:val="single" w:sz="6" w:space="0" w:color="2C3E6B"/>
              <w:right w:val="single" w:sz="6" w:space="0" w:color="2C3E6B"/>
            </w:tcBorders>
            <w:shd w:val="clear" w:color="auto" w:fill="F0F2F5"/>
          </w:tcPr>
          <w:p>
            <w:pPr>
              <w:spacing w:before="0" w:after="10"/>
            </w:pPr>
            <w:r>
              <w:rPr>
                <w:rFonts w:ascii="Calibri" w:hAnsi="Calibri"/>
                <w:b/>
                <w:i w:val="0"/>
                <w:color w:val="2C3E6B"/>
                <w:sz w:val="20"/>
              </w:rPr>
              <w:t xml:space="preserve">▌  </w:t>
            </w:r>
            <w:r>
              <w:rPr>
                <w:rFonts w:ascii="Calibri" w:hAnsi="Calibri"/>
                <w:b/>
                <w:i w:val="0"/>
                <w:color w:val="2C3E6B"/>
                <w:sz w:val="17"/>
              </w:rPr>
              <w:t>INTERNAL USACE STAKEHOLDERS</w:t>
            </w:r>
          </w:p>
          <w:p>
            <w:pPr>
              <w:spacing w:before="6" w:after="10"/>
            </w:pPr>
            <w:r>
              <w:rPr>
                <w:rFonts w:ascii="Calibri" w:hAnsi="Calibri"/>
                <w:b w:val="0"/>
                <w:i w:val="0"/>
                <w:color w:val="111111"/>
                <w:sz w:val="15"/>
              </w:rPr>
              <w:t>Everyone within USACE who influences or is affected by the project. These are not automatically allies — different divisions have different priorities and timelines. The PM who treats internal stakeholders as given rather than managed will be surprised.</w:t>
            </w:r>
          </w:p>
          <w:p>
            <w:pPr>
              <w:spacing w:before="0" w:after="28"/>
              <w:ind w:left="280" w:hanging="180"/>
            </w:pPr>
            <w:r>
              <w:rPr>
                <w:rFonts w:ascii="Calibri" w:hAnsi="Calibri"/>
                <w:b w:val="0"/>
                <w:i w:val="0"/>
                <w:color w:val="2C3E6B"/>
                <w:sz w:val="16"/>
              </w:rPr>
              <w:t xml:space="preserve">▸  </w:t>
            </w:r>
            <w:r>
              <w:rPr>
                <w:rFonts w:ascii="Calibri" w:hAnsi="Calibri"/>
                <w:b w:val="0"/>
                <w:i w:val="0"/>
                <w:color w:val="111111"/>
                <w:sz w:val="15"/>
              </w:rPr>
              <w:t>District leadership (District Commander, Deputy Commander, District Engineer)</w:t>
            </w:r>
          </w:p>
          <w:p>
            <w:pPr>
              <w:spacing w:before="0" w:after="28"/>
              <w:ind w:left="280" w:hanging="180"/>
            </w:pPr>
            <w:r>
              <w:rPr>
                <w:rFonts w:ascii="Calibri" w:hAnsi="Calibri"/>
                <w:b w:val="0"/>
                <w:i w:val="0"/>
                <w:color w:val="2C3E6B"/>
                <w:sz w:val="16"/>
              </w:rPr>
              <w:t xml:space="preserve">▸  </w:t>
            </w:r>
            <w:r>
              <w:rPr>
                <w:rFonts w:ascii="Calibri" w:hAnsi="Calibri"/>
                <w:b w:val="0"/>
                <w:i w:val="0"/>
                <w:color w:val="111111"/>
                <w:sz w:val="15"/>
              </w:rPr>
              <w:t>Deputy Program Manager (DPM) — primary internal interface for the PM</w:t>
            </w:r>
          </w:p>
          <w:p>
            <w:pPr>
              <w:spacing w:before="0" w:after="28"/>
              <w:ind w:left="280" w:hanging="180"/>
            </w:pPr>
            <w:r>
              <w:rPr>
                <w:rFonts w:ascii="Calibri" w:hAnsi="Calibri"/>
                <w:b w:val="0"/>
                <w:i w:val="0"/>
                <w:color w:val="2C3E6B"/>
                <w:sz w:val="16"/>
              </w:rPr>
              <w:t xml:space="preserve">▸  </w:t>
            </w:r>
            <w:r>
              <w:rPr>
                <w:rFonts w:ascii="Calibri" w:hAnsi="Calibri"/>
                <w:b w:val="0"/>
                <w:i w:val="0"/>
                <w:color w:val="111111"/>
                <w:sz w:val="15"/>
              </w:rPr>
              <w:t>Functional division chiefs — Engineering, Contracting, Real Estate, Planning, Operations</w:t>
            </w:r>
          </w:p>
          <w:p>
            <w:pPr>
              <w:spacing w:before="0" w:after="28"/>
              <w:ind w:left="280" w:hanging="180"/>
            </w:pPr>
            <w:r>
              <w:rPr>
                <w:rFonts w:ascii="Calibri" w:hAnsi="Calibri"/>
                <w:b w:val="0"/>
                <w:i w:val="0"/>
                <w:color w:val="2C3E6B"/>
                <w:sz w:val="16"/>
              </w:rPr>
              <w:t xml:space="preserve">▸  </w:t>
            </w:r>
            <w:r>
              <w:rPr>
                <w:rFonts w:ascii="Calibri" w:hAnsi="Calibri"/>
                <w:b w:val="0"/>
                <w:i w:val="0"/>
                <w:color w:val="111111"/>
                <w:sz w:val="15"/>
              </w:rPr>
              <w:t>Resident Engineer and construction management staff</w:t>
            </w:r>
          </w:p>
          <w:p>
            <w:pPr>
              <w:spacing w:before="0" w:after="28"/>
              <w:ind w:left="280" w:hanging="180"/>
            </w:pPr>
            <w:r>
              <w:rPr>
                <w:rFonts w:ascii="Calibri" w:hAnsi="Calibri"/>
                <w:b w:val="0"/>
                <w:i w:val="0"/>
                <w:color w:val="2C3E6B"/>
                <w:sz w:val="16"/>
              </w:rPr>
              <w:t xml:space="preserve">▸  </w:t>
            </w:r>
            <w:r>
              <w:rPr>
                <w:rFonts w:ascii="Calibri" w:hAnsi="Calibri"/>
                <w:b w:val="0"/>
                <w:i w:val="0"/>
                <w:color w:val="111111"/>
                <w:sz w:val="15"/>
              </w:rPr>
              <w:t>Headquarters program office — for projects with HQ oversight thresholds</w:t>
            </w:r>
          </w:p>
          <w:p>
            <w:pPr>
              <w:spacing w:before="0" w:after="28"/>
              <w:ind w:left="280" w:hanging="180"/>
            </w:pPr>
            <w:r>
              <w:rPr>
                <w:rFonts w:ascii="Calibri" w:hAnsi="Calibri"/>
                <w:b w:val="0"/>
                <w:i w:val="0"/>
                <w:color w:val="2C3E6B"/>
                <w:sz w:val="16"/>
              </w:rPr>
              <w:t xml:space="preserve">▸  </w:t>
            </w:r>
            <w:r>
              <w:rPr>
                <w:rFonts w:ascii="Calibri" w:hAnsi="Calibri"/>
                <w:b w:val="0"/>
                <w:i w:val="0"/>
                <w:color w:val="111111"/>
                <w:sz w:val="15"/>
              </w:rPr>
              <w:t>Division-level leadership — for projects requiring Division Commander concurrence</w:t>
            </w:r>
          </w:p>
          <w:p>
            <w:pPr>
              <w:spacing w:before="0" w:after="28"/>
              <w:ind w:left="280" w:hanging="180"/>
            </w:pPr>
            <w:r>
              <w:rPr>
                <w:rFonts w:ascii="Calibri" w:hAnsi="Calibri"/>
                <w:b w:val="0"/>
                <w:i w:val="0"/>
                <w:color w:val="2C3E6B"/>
                <w:sz w:val="16"/>
              </w:rPr>
              <w:t xml:space="preserve">▸  </w:t>
            </w:r>
            <w:r>
              <w:rPr>
                <w:rFonts w:ascii="Calibri" w:hAnsi="Calibri"/>
                <w:b w:val="0"/>
                <w:i w:val="0"/>
                <w:color w:val="111111"/>
                <w:sz w:val="15"/>
              </w:rPr>
              <w:t>Resource Management — budget execution and financial reporting chain</w:t>
            </w:r>
          </w:p>
          <w:p>
            <w:pPr>
              <w:spacing w:before="0" w:after="0"/>
            </w:pPr>
          </w:p>
        </w:tc>
      </w:tr>
    </w:tbl>
    <w:p>
      <w:pPr>
        <w:spacing w:before="10" w:after="0"/>
      </w:pPr>
    </w:p>
    <w:tbl>
      <w:tblPr>
        <w:tblStyle w:val="TableGrid"/>
        <w:tblW w:type="auto" w:w="0"/>
        <w:tblLook w:firstColumn="1" w:firstRow="1" w:lastColumn="0" w:lastRow="0" w:noHBand="0" w:noVBand="1" w:val="04A0"/>
      </w:tblPr>
      <w:tblGrid>
        <w:gridCol w:w="10080"/>
      </w:tblGrid>
      <w:tr>
        <w:tc>
          <w:tcPr>
            <w:tcW w:type="dxa" w:w="10080"/>
            <w:tcBorders>
              <w:top w:val="single" w:sz="6" w:space="0" w:color="1B5B6B"/>
              <w:bottom w:val="single" w:sz="6" w:space="0" w:color="1B5B6B"/>
              <w:left w:val="single" w:sz="6" w:space="0" w:color="1B5B6B"/>
              <w:right w:val="single" w:sz="6" w:space="0" w:color="1B5B6B"/>
            </w:tcBorders>
            <w:shd w:val="clear" w:color="auto" w:fill="F0F2F5"/>
          </w:tcPr>
          <w:p>
            <w:pPr>
              <w:spacing w:before="0" w:after="10"/>
            </w:pPr>
            <w:r>
              <w:rPr>
                <w:rFonts w:ascii="Calibri" w:hAnsi="Calibri"/>
                <w:b/>
                <w:i w:val="0"/>
                <w:color w:val="1B5B6B"/>
                <w:sz w:val="20"/>
              </w:rPr>
              <w:t xml:space="preserve">▌  </w:t>
            </w:r>
            <w:r>
              <w:rPr>
                <w:rFonts w:ascii="Calibri" w:hAnsi="Calibri"/>
                <w:b/>
                <w:i w:val="0"/>
                <w:color w:val="1B5B6B"/>
                <w:sz w:val="17"/>
              </w:rPr>
              <w:t>PROJECT SPONSOR / END USER</w:t>
            </w:r>
          </w:p>
          <w:p>
            <w:pPr>
              <w:spacing w:before="6" w:after="10"/>
            </w:pPr>
            <w:r>
              <w:rPr>
                <w:rFonts w:ascii="Calibri" w:hAnsi="Calibri"/>
                <w:b w:val="0"/>
                <w:i w:val="0"/>
                <w:color w:val="111111"/>
                <w:sz w:val="15"/>
              </w:rPr>
              <w:t>The organization or individual who requested the project, funds it (in whole or part), and will use or operate the result. In Military Programs this is typically the installation; in Civil Works it is the non-federal sponsor under a Project Partnership Agreement (PPA). Sponsor expectations are the most frequent source of scope conflict on USACE projects.</w:t>
            </w:r>
          </w:p>
          <w:p>
            <w:pPr>
              <w:spacing w:before="0" w:after="28"/>
              <w:ind w:left="280" w:hanging="180"/>
            </w:pPr>
            <w:r>
              <w:rPr>
                <w:rFonts w:ascii="Calibri" w:hAnsi="Calibri"/>
                <w:b w:val="0"/>
                <w:i w:val="0"/>
                <w:color w:val="1B5B6B"/>
                <w:sz w:val="16"/>
              </w:rPr>
              <w:t xml:space="preserve">▸  </w:t>
            </w:r>
            <w:r>
              <w:rPr>
                <w:rFonts w:ascii="Calibri" w:hAnsi="Calibri"/>
                <w:b w:val="0"/>
                <w:i w:val="0"/>
                <w:color w:val="111111"/>
                <w:sz w:val="15"/>
              </w:rPr>
              <w:t>Primary sponsor point of contact (usually DPW Director or equivalent)</w:t>
            </w:r>
          </w:p>
          <w:p>
            <w:pPr>
              <w:spacing w:before="0" w:after="28"/>
              <w:ind w:left="280" w:hanging="180"/>
            </w:pPr>
            <w:r>
              <w:rPr>
                <w:rFonts w:ascii="Calibri" w:hAnsi="Calibri"/>
                <w:b w:val="0"/>
                <w:i w:val="0"/>
                <w:color w:val="1B5B6B"/>
                <w:sz w:val="16"/>
              </w:rPr>
              <w:t xml:space="preserve">▸  </w:t>
            </w:r>
            <w:r>
              <w:rPr>
                <w:rFonts w:ascii="Calibri" w:hAnsi="Calibri"/>
                <w:b w:val="0"/>
                <w:i w:val="0"/>
                <w:color w:val="111111"/>
                <w:sz w:val="15"/>
              </w:rPr>
              <w:t>Installation Commander or equivalent — for significant project decisions</w:t>
            </w:r>
          </w:p>
          <w:p>
            <w:pPr>
              <w:spacing w:before="0" w:after="28"/>
              <w:ind w:left="280" w:hanging="180"/>
            </w:pPr>
            <w:r>
              <w:rPr>
                <w:rFonts w:ascii="Calibri" w:hAnsi="Calibri"/>
                <w:b w:val="0"/>
                <w:i w:val="0"/>
                <w:color w:val="1B5B6B"/>
                <w:sz w:val="16"/>
              </w:rPr>
              <w:t xml:space="preserve">▸  </w:t>
            </w:r>
            <w:r>
              <w:rPr>
                <w:rFonts w:ascii="Calibri" w:hAnsi="Calibri"/>
                <w:b w:val="0"/>
                <w:i w:val="0"/>
                <w:color w:val="111111"/>
                <w:sz w:val="15"/>
              </w:rPr>
              <w:t>End users — the people who will actually occupy or operate the facility</w:t>
            </w:r>
          </w:p>
          <w:p>
            <w:pPr>
              <w:spacing w:before="0" w:after="28"/>
              <w:ind w:left="280" w:hanging="180"/>
            </w:pPr>
            <w:r>
              <w:rPr>
                <w:rFonts w:ascii="Calibri" w:hAnsi="Calibri"/>
                <w:b w:val="0"/>
                <w:i w:val="0"/>
                <w:color w:val="1B5B6B"/>
                <w:sz w:val="16"/>
              </w:rPr>
              <w:t xml:space="preserve">▸  </w:t>
            </w:r>
            <w:r>
              <w:rPr>
                <w:rFonts w:ascii="Calibri" w:hAnsi="Calibri"/>
                <w:b w:val="0"/>
                <w:i w:val="0"/>
                <w:color w:val="111111"/>
                <w:sz w:val="15"/>
              </w:rPr>
              <w:t>Installation Management Command (IMCOM) or equivalent oversight body</w:t>
            </w:r>
          </w:p>
          <w:p>
            <w:pPr>
              <w:spacing w:before="0" w:after="28"/>
              <w:ind w:left="280" w:hanging="180"/>
            </w:pPr>
            <w:r>
              <w:rPr>
                <w:rFonts w:ascii="Calibri" w:hAnsi="Calibri"/>
                <w:b w:val="0"/>
                <w:i w:val="0"/>
                <w:color w:val="1B5B6B"/>
                <w:sz w:val="16"/>
              </w:rPr>
              <w:t xml:space="preserve">▸  </w:t>
            </w:r>
            <w:r>
              <w:rPr>
                <w:rFonts w:ascii="Calibri" w:hAnsi="Calibri"/>
                <w:b w:val="0"/>
                <w:i w:val="0"/>
                <w:color w:val="111111"/>
                <w:sz w:val="15"/>
              </w:rPr>
              <w:t>Non-federal sponsor leadership (Civil Works) — committed under the PPA</w:t>
            </w:r>
          </w:p>
          <w:p>
            <w:pPr>
              <w:spacing w:before="0" w:after="28"/>
              <w:ind w:left="280" w:hanging="180"/>
            </w:pPr>
            <w:r>
              <w:rPr>
                <w:rFonts w:ascii="Calibri" w:hAnsi="Calibri"/>
                <w:b w:val="0"/>
                <w:i w:val="0"/>
                <w:color w:val="1B5B6B"/>
                <w:sz w:val="16"/>
              </w:rPr>
              <w:t xml:space="preserve">▸  </w:t>
            </w:r>
            <w:r>
              <w:rPr>
                <w:rFonts w:ascii="Calibri" w:hAnsi="Calibri"/>
                <w:b w:val="0"/>
                <w:i w:val="0"/>
                <w:color w:val="111111"/>
                <w:sz w:val="15"/>
              </w:rPr>
              <w:t>Sponsor cost-share representative (Civil Works) — manages the sponsor's financial obligation</w:t>
            </w:r>
          </w:p>
          <w:p>
            <w:pPr>
              <w:spacing w:before="0" w:after="0"/>
            </w:pPr>
          </w:p>
        </w:tc>
      </w:tr>
    </w:tbl>
    <w:p>
      <w:pPr>
        <w:spacing w:before="10" w:after="0"/>
      </w:pPr>
    </w:p>
    <w:tbl>
      <w:tblPr>
        <w:tblStyle w:val="TableGrid"/>
        <w:tblW w:type="auto" w:w="0"/>
        <w:tblLook w:firstColumn="1" w:firstRow="1" w:lastColumn="0" w:lastRow="0" w:noHBand="0" w:noVBand="1" w:val="04A0"/>
      </w:tblPr>
      <w:tblGrid>
        <w:gridCol w:w="10080"/>
      </w:tblGrid>
      <w:tr>
        <w:tc>
          <w:tcPr>
            <w:tcW w:type="dxa" w:w="10080"/>
            <w:tcBorders>
              <w:top w:val="single" w:sz="6" w:space="0" w:color="1B6B3A"/>
              <w:bottom w:val="single" w:sz="6" w:space="0" w:color="1B6B3A"/>
              <w:left w:val="single" w:sz="6" w:space="0" w:color="1B6B3A"/>
              <w:right w:val="single" w:sz="6" w:space="0" w:color="1B6B3A"/>
            </w:tcBorders>
            <w:shd w:val="clear" w:color="auto" w:fill="F0F2F5"/>
          </w:tcPr>
          <w:p>
            <w:pPr>
              <w:spacing w:before="0" w:after="10"/>
            </w:pPr>
            <w:r>
              <w:rPr>
                <w:rFonts w:ascii="Calibri" w:hAnsi="Calibri"/>
                <w:b/>
                <w:i w:val="0"/>
                <w:color w:val="1B6B3A"/>
                <w:sz w:val="20"/>
              </w:rPr>
              <w:t xml:space="preserve">▌  </w:t>
            </w:r>
            <w:r>
              <w:rPr>
                <w:rFonts w:ascii="Calibri" w:hAnsi="Calibri"/>
                <w:b/>
                <w:i w:val="0"/>
                <w:color w:val="1B6B3A"/>
                <w:sz w:val="17"/>
              </w:rPr>
              <w:t>CONTRACTOR AND A-E COMMUNITY</w:t>
            </w:r>
          </w:p>
          <w:p>
            <w:pPr>
              <w:spacing w:before="6" w:after="10"/>
            </w:pPr>
            <w:r>
              <w:rPr>
                <w:rFonts w:ascii="Calibri" w:hAnsi="Calibri"/>
                <w:b w:val="0"/>
                <w:i w:val="0"/>
                <w:color w:val="111111"/>
                <w:sz w:val="15"/>
              </w:rPr>
              <w:t>Firms engaged on the project in design, construction, or support roles. These are not neutral parties — they have interests in schedule, scope, and contract terms that may not align with the government's. Engaging them strategically (not just contractually) produces better outcomes.</w:t>
            </w:r>
          </w:p>
          <w:p>
            <w:pPr>
              <w:spacing w:before="0" w:after="28"/>
              <w:ind w:left="280" w:hanging="180"/>
            </w:pPr>
            <w:r>
              <w:rPr>
                <w:rFonts w:ascii="Calibri" w:hAnsi="Calibri"/>
                <w:b w:val="0"/>
                <w:i w:val="0"/>
                <w:color w:val="1B6B3A"/>
                <w:sz w:val="16"/>
              </w:rPr>
              <w:t xml:space="preserve">▸  </w:t>
            </w:r>
            <w:r>
              <w:rPr>
                <w:rFonts w:ascii="Calibri" w:hAnsi="Calibri"/>
                <w:b w:val="0"/>
                <w:i w:val="0"/>
                <w:color w:val="111111"/>
                <w:sz w:val="15"/>
              </w:rPr>
              <w:t>Architect-Engineer (A-E) firm — prime and subconsultants</w:t>
            </w:r>
          </w:p>
          <w:p>
            <w:pPr>
              <w:spacing w:before="0" w:after="28"/>
              <w:ind w:left="280" w:hanging="180"/>
            </w:pPr>
            <w:r>
              <w:rPr>
                <w:rFonts w:ascii="Calibri" w:hAnsi="Calibri"/>
                <w:b w:val="0"/>
                <w:i w:val="0"/>
                <w:color w:val="1B6B3A"/>
                <w:sz w:val="16"/>
              </w:rPr>
              <w:t xml:space="preserve">▸  </w:t>
            </w:r>
            <w:r>
              <w:rPr>
                <w:rFonts w:ascii="Calibri" w:hAnsi="Calibri"/>
                <w:b w:val="0"/>
                <w:i w:val="0"/>
                <w:color w:val="111111"/>
                <w:sz w:val="15"/>
              </w:rPr>
              <w:t>Construction contractor — prime and major subcontractors for significant scopes</w:t>
            </w:r>
          </w:p>
          <w:p>
            <w:pPr>
              <w:spacing w:before="0" w:after="28"/>
              <w:ind w:left="280" w:hanging="180"/>
            </w:pPr>
            <w:r>
              <w:rPr>
                <w:rFonts w:ascii="Calibri" w:hAnsi="Calibri"/>
                <w:b w:val="0"/>
                <w:i w:val="0"/>
                <w:color w:val="1B6B3A"/>
                <w:sz w:val="16"/>
              </w:rPr>
              <w:t xml:space="preserve">▸  </w:t>
            </w:r>
            <w:r>
              <w:rPr>
                <w:rFonts w:ascii="Calibri" w:hAnsi="Calibri"/>
                <w:b w:val="0"/>
                <w:i w:val="0"/>
                <w:color w:val="111111"/>
                <w:sz w:val="15"/>
              </w:rPr>
              <w:t>Technical review firms (if independent technical review is engaged)</w:t>
            </w:r>
          </w:p>
          <w:p>
            <w:pPr>
              <w:spacing w:before="0" w:after="28"/>
              <w:ind w:left="280" w:hanging="180"/>
            </w:pPr>
            <w:r>
              <w:rPr>
                <w:rFonts w:ascii="Calibri" w:hAnsi="Calibri"/>
                <w:b w:val="0"/>
                <w:i w:val="0"/>
                <w:color w:val="1B6B3A"/>
                <w:sz w:val="16"/>
              </w:rPr>
              <w:t xml:space="preserve">▸  </w:t>
            </w:r>
            <w:r>
              <w:rPr>
                <w:rFonts w:ascii="Calibri" w:hAnsi="Calibri"/>
                <w:b w:val="0"/>
                <w:i w:val="0"/>
                <w:color w:val="111111"/>
                <w:sz w:val="15"/>
              </w:rPr>
              <w:t>Value Engineering (VE) contractor (if VE study is conducted)</w:t>
            </w:r>
          </w:p>
          <w:p>
            <w:pPr>
              <w:spacing w:before="0" w:after="28"/>
              <w:ind w:left="280" w:hanging="180"/>
            </w:pPr>
            <w:r>
              <w:rPr>
                <w:rFonts w:ascii="Calibri" w:hAnsi="Calibri"/>
                <w:b w:val="0"/>
                <w:i w:val="0"/>
                <w:color w:val="1B6B3A"/>
                <w:sz w:val="16"/>
              </w:rPr>
              <w:t xml:space="preserve">▸  </w:t>
            </w:r>
            <w:r>
              <w:rPr>
                <w:rFonts w:ascii="Calibri" w:hAnsi="Calibri"/>
                <w:b w:val="0"/>
                <w:i w:val="0"/>
                <w:color w:val="111111"/>
                <w:sz w:val="15"/>
              </w:rPr>
              <w:t>Small business community — for projects with significant small business goals</w:t>
            </w:r>
          </w:p>
          <w:p>
            <w:pPr>
              <w:spacing w:before="0" w:after="0"/>
            </w:pPr>
          </w:p>
        </w:tc>
      </w:tr>
    </w:tbl>
    <w:p>
      <w:pPr>
        <w:spacing w:before="10" w:after="0"/>
      </w:pPr>
    </w:p>
    <w:tbl>
      <w:tblPr>
        <w:tblStyle w:val="TableGrid"/>
        <w:tblW w:type="auto" w:w="0"/>
        <w:tblLook w:firstColumn="1" w:firstRow="1" w:lastColumn="0" w:lastRow="0" w:noHBand="0" w:noVBand="1" w:val="04A0"/>
      </w:tblPr>
      <w:tblGrid>
        <w:gridCol w:w="10080"/>
      </w:tblGrid>
      <w:tr>
        <w:tc>
          <w:tcPr>
            <w:tcW w:type="dxa" w:w="10080"/>
            <w:tcBorders>
              <w:top w:val="single" w:sz="6" w:space="0" w:color="8B6914"/>
              <w:bottom w:val="single" w:sz="6" w:space="0" w:color="8B6914"/>
              <w:left w:val="single" w:sz="6" w:space="0" w:color="8B6914"/>
              <w:right w:val="single" w:sz="6" w:space="0" w:color="8B6914"/>
            </w:tcBorders>
            <w:shd w:val="clear" w:color="auto" w:fill="F0F2F5"/>
          </w:tcPr>
          <w:p>
            <w:pPr>
              <w:spacing w:before="0" w:after="10"/>
            </w:pPr>
            <w:r>
              <w:rPr>
                <w:rFonts w:ascii="Calibri" w:hAnsi="Calibri"/>
                <w:b/>
                <w:i w:val="0"/>
                <w:color w:val="8B6914"/>
                <w:sz w:val="20"/>
              </w:rPr>
              <w:t xml:space="preserve">▌  </w:t>
            </w:r>
            <w:r>
              <w:rPr>
                <w:rFonts w:ascii="Calibri" w:hAnsi="Calibri"/>
                <w:b/>
                <w:i w:val="0"/>
                <w:color w:val="8B6914"/>
                <w:sz w:val="17"/>
              </w:rPr>
              <w:t>REGULATORY AND PERMITTING AGENCIES</w:t>
            </w:r>
          </w:p>
          <w:p>
            <w:pPr>
              <w:spacing w:before="6" w:after="10"/>
            </w:pPr>
            <w:r>
              <w:rPr>
                <w:rFonts w:ascii="Calibri" w:hAnsi="Calibri"/>
                <w:b w:val="0"/>
                <w:i w:val="0"/>
                <w:color w:val="111111"/>
                <w:sz w:val="15"/>
              </w:rPr>
              <w:t>Government agencies with authority to approve, restrict, or stop project activities. These stakeholders operate on their own timelines and priorities. Early engagement prevents schedule surprises that cannot be recovered.</w:t>
            </w:r>
          </w:p>
          <w:p>
            <w:pPr>
              <w:spacing w:before="0" w:after="28"/>
              <w:ind w:left="280" w:hanging="180"/>
            </w:pPr>
            <w:r>
              <w:rPr>
                <w:rFonts w:ascii="Calibri" w:hAnsi="Calibri"/>
                <w:b w:val="0"/>
                <w:i w:val="0"/>
                <w:color w:val="8B6914"/>
                <w:sz w:val="16"/>
              </w:rPr>
              <w:t xml:space="preserve">▸  </w:t>
            </w:r>
            <w:r>
              <w:rPr>
                <w:rFonts w:ascii="Calibri" w:hAnsi="Calibri"/>
                <w:b w:val="0"/>
                <w:i w:val="0"/>
                <w:color w:val="111111"/>
                <w:sz w:val="15"/>
              </w:rPr>
              <w:t>U.S. Army Corps of Engineers Regulatory Division (Section 404/401 permits if applicable)</w:t>
            </w:r>
          </w:p>
          <w:p>
            <w:pPr>
              <w:spacing w:before="0" w:after="28"/>
              <w:ind w:left="280" w:hanging="180"/>
            </w:pPr>
            <w:r>
              <w:rPr>
                <w:rFonts w:ascii="Calibri" w:hAnsi="Calibri"/>
                <w:b w:val="0"/>
                <w:i w:val="0"/>
                <w:color w:val="8B6914"/>
                <w:sz w:val="16"/>
              </w:rPr>
              <w:t xml:space="preserve">▸  </w:t>
            </w:r>
            <w:r>
              <w:rPr>
                <w:rFonts w:ascii="Calibri" w:hAnsi="Calibri"/>
                <w:b w:val="0"/>
                <w:i w:val="0"/>
                <w:color w:val="111111"/>
                <w:sz w:val="15"/>
              </w:rPr>
              <w:t>U.S. Environmental Protection Agency (EPA)</w:t>
            </w:r>
          </w:p>
          <w:p>
            <w:pPr>
              <w:spacing w:before="0" w:after="28"/>
              <w:ind w:left="280" w:hanging="180"/>
            </w:pPr>
            <w:r>
              <w:rPr>
                <w:rFonts w:ascii="Calibri" w:hAnsi="Calibri"/>
                <w:b w:val="0"/>
                <w:i w:val="0"/>
                <w:color w:val="8B6914"/>
                <w:sz w:val="16"/>
              </w:rPr>
              <w:t xml:space="preserve">▸  </w:t>
            </w:r>
            <w:r>
              <w:rPr>
                <w:rFonts w:ascii="Calibri" w:hAnsi="Calibri"/>
                <w:b w:val="0"/>
                <w:i w:val="0"/>
                <w:color w:val="111111"/>
                <w:sz w:val="15"/>
              </w:rPr>
              <w:t>State environmental / historic preservation agencies (SHPO for Section 106)</w:t>
            </w:r>
          </w:p>
          <w:p>
            <w:pPr>
              <w:spacing w:before="0" w:after="28"/>
              <w:ind w:left="280" w:hanging="180"/>
            </w:pPr>
            <w:r>
              <w:rPr>
                <w:rFonts w:ascii="Calibri" w:hAnsi="Calibri"/>
                <w:b w:val="0"/>
                <w:i w:val="0"/>
                <w:color w:val="8B6914"/>
                <w:sz w:val="16"/>
              </w:rPr>
              <w:t xml:space="preserve">▸  </w:t>
            </w:r>
            <w:r>
              <w:rPr>
                <w:rFonts w:ascii="Calibri" w:hAnsi="Calibri"/>
                <w:b w:val="0"/>
                <w:i w:val="0"/>
                <w:color w:val="111111"/>
                <w:sz w:val="15"/>
              </w:rPr>
              <w:t>Utility companies with easements or infrastructure in the project area</w:t>
            </w:r>
          </w:p>
          <w:p>
            <w:pPr>
              <w:spacing w:before="0" w:after="28"/>
              <w:ind w:left="280" w:hanging="180"/>
            </w:pPr>
            <w:r>
              <w:rPr>
                <w:rFonts w:ascii="Calibri" w:hAnsi="Calibri"/>
                <w:b w:val="0"/>
                <w:i w:val="0"/>
                <w:color w:val="8B6914"/>
                <w:sz w:val="16"/>
              </w:rPr>
              <w:t xml:space="preserve">▸  </w:t>
            </w:r>
            <w:r>
              <w:rPr>
                <w:rFonts w:ascii="Calibri" w:hAnsi="Calibri"/>
                <w:b w:val="0"/>
                <w:i w:val="0"/>
                <w:color w:val="111111"/>
                <w:sz w:val="15"/>
              </w:rPr>
              <w:t>Local building and fire inspection authorities (for projects requiring local permits)</w:t>
            </w:r>
          </w:p>
          <w:p>
            <w:pPr>
              <w:spacing w:before="0" w:after="28"/>
              <w:ind w:left="280" w:hanging="180"/>
            </w:pPr>
            <w:r>
              <w:rPr>
                <w:rFonts w:ascii="Calibri" w:hAnsi="Calibri"/>
                <w:b w:val="0"/>
                <w:i w:val="0"/>
                <w:color w:val="8B6914"/>
                <w:sz w:val="16"/>
              </w:rPr>
              <w:t xml:space="preserve">▸  </w:t>
            </w:r>
            <w:r>
              <w:rPr>
                <w:rFonts w:ascii="Calibri" w:hAnsi="Calibri"/>
                <w:b w:val="0"/>
                <w:i w:val="0"/>
                <w:color w:val="111111"/>
                <w:sz w:val="15"/>
              </w:rPr>
              <w:t>Fish and Wildlife Service / NOAA Fisheries (if environmental consultation required)</w:t>
            </w:r>
          </w:p>
          <w:p>
            <w:pPr>
              <w:spacing w:before="0" w:after="28"/>
              <w:ind w:left="280" w:hanging="180"/>
            </w:pPr>
            <w:r>
              <w:rPr>
                <w:rFonts w:ascii="Calibri" w:hAnsi="Calibri"/>
                <w:b w:val="0"/>
                <w:i w:val="0"/>
                <w:color w:val="8B6914"/>
                <w:sz w:val="16"/>
              </w:rPr>
              <w:t xml:space="preserve">▸  </w:t>
            </w:r>
            <w:r>
              <w:rPr>
                <w:rFonts w:ascii="Calibri" w:hAnsi="Calibri"/>
                <w:b w:val="0"/>
                <w:i w:val="0"/>
                <w:color w:val="111111"/>
                <w:sz w:val="15"/>
              </w:rPr>
              <w:t>Federal Aviation Administration (FAA) — for projects near airfields</w:t>
            </w:r>
          </w:p>
          <w:p>
            <w:pPr>
              <w:spacing w:before="0" w:after="0"/>
            </w:pPr>
          </w:p>
        </w:tc>
      </w:tr>
    </w:tbl>
    <w:p>
      <w:pPr>
        <w:spacing w:before="10" w:after="0"/>
      </w:pPr>
    </w:p>
    <w:tbl>
      <w:tblPr>
        <w:tblStyle w:val="TableGrid"/>
        <w:tblW w:type="auto" w:w="0"/>
        <w:tblLook w:firstColumn="1" w:firstRow="1" w:lastColumn="0" w:lastRow="0" w:noHBand="0" w:noVBand="1" w:val="04A0"/>
      </w:tblPr>
      <w:tblGrid>
        <w:gridCol w:w="10080"/>
      </w:tblGrid>
      <w:tr>
        <w:tc>
          <w:tcPr>
            <w:tcW w:type="dxa" w:w="10080"/>
            <w:tcBorders>
              <w:top w:val="single" w:sz="6" w:space="0" w:color="6B1B1B"/>
              <w:bottom w:val="single" w:sz="6" w:space="0" w:color="6B1B1B"/>
              <w:left w:val="single" w:sz="6" w:space="0" w:color="6B1B1B"/>
              <w:right w:val="single" w:sz="6" w:space="0" w:color="6B1B1B"/>
            </w:tcBorders>
            <w:shd w:val="clear" w:color="auto" w:fill="F0F2F5"/>
          </w:tcPr>
          <w:p>
            <w:pPr>
              <w:spacing w:before="0" w:after="10"/>
            </w:pPr>
            <w:r>
              <w:rPr>
                <w:rFonts w:ascii="Calibri" w:hAnsi="Calibri"/>
                <w:b/>
                <w:i w:val="0"/>
                <w:color w:val="6B1B1B"/>
                <w:sz w:val="20"/>
              </w:rPr>
              <w:t xml:space="preserve">▌  </w:t>
            </w:r>
            <w:r>
              <w:rPr>
                <w:rFonts w:ascii="Calibri" w:hAnsi="Calibri"/>
                <w:b/>
                <w:i w:val="0"/>
                <w:color w:val="6B1B1B"/>
                <w:sz w:val="17"/>
              </w:rPr>
              <w:t>COMMUNITY AND ADJACENT PROPERTY STAKEHOLDERS</w:t>
            </w:r>
          </w:p>
          <w:p>
            <w:pPr>
              <w:spacing w:before="6" w:after="10"/>
            </w:pPr>
            <w:r>
              <w:rPr>
                <w:rFonts w:ascii="Calibri" w:hAnsi="Calibri"/>
                <w:b w:val="0"/>
                <w:i w:val="0"/>
                <w:color w:val="111111"/>
                <w:sz w:val="15"/>
              </w:rPr>
              <w:t>Individuals and organizations outside the government who are affected by the project. Often overlooked on military installations but consistently relevant for Civil Works projects and any project with off-installation impacts. Unmanaged community stakeholders can generate political pressure that reaches congressional offices.</w:t>
            </w:r>
          </w:p>
          <w:p>
            <w:pPr>
              <w:spacing w:before="0" w:after="28"/>
              <w:ind w:left="280" w:hanging="180"/>
            </w:pPr>
            <w:r>
              <w:rPr>
                <w:rFonts w:ascii="Calibri" w:hAnsi="Calibri"/>
                <w:b w:val="0"/>
                <w:i w:val="0"/>
                <w:color w:val="6B1B1B"/>
                <w:sz w:val="16"/>
              </w:rPr>
              <w:t xml:space="preserve">▸  </w:t>
            </w:r>
            <w:r>
              <w:rPr>
                <w:rFonts w:ascii="Calibri" w:hAnsi="Calibri"/>
                <w:b w:val="0"/>
                <w:i w:val="0"/>
                <w:color w:val="111111"/>
                <w:sz w:val="15"/>
              </w:rPr>
              <w:t>Adjacent property owners (for projects with noise, access, or environmental impacts)</w:t>
            </w:r>
          </w:p>
          <w:p>
            <w:pPr>
              <w:spacing w:before="0" w:after="28"/>
              <w:ind w:left="280" w:hanging="180"/>
            </w:pPr>
            <w:r>
              <w:rPr>
                <w:rFonts w:ascii="Calibri" w:hAnsi="Calibri"/>
                <w:b w:val="0"/>
                <w:i w:val="0"/>
                <w:color w:val="6B1B1B"/>
                <w:sz w:val="16"/>
              </w:rPr>
              <w:t xml:space="preserve">▸  </w:t>
            </w:r>
            <w:r>
              <w:rPr>
                <w:rFonts w:ascii="Calibri" w:hAnsi="Calibri"/>
                <w:b w:val="0"/>
                <w:i w:val="0"/>
                <w:color w:val="111111"/>
                <w:sz w:val="15"/>
              </w:rPr>
              <w:t>Local government (city, county) — especially for Civil Works projects with local cost share</w:t>
            </w:r>
          </w:p>
          <w:p>
            <w:pPr>
              <w:spacing w:before="0" w:after="28"/>
              <w:ind w:left="280" w:hanging="180"/>
            </w:pPr>
            <w:r>
              <w:rPr>
                <w:rFonts w:ascii="Calibri" w:hAnsi="Calibri"/>
                <w:b w:val="0"/>
                <w:i w:val="0"/>
                <w:color w:val="6B1B1B"/>
                <w:sz w:val="16"/>
              </w:rPr>
              <w:t xml:space="preserve">▸  </w:t>
            </w:r>
            <w:r>
              <w:rPr>
                <w:rFonts w:ascii="Calibri" w:hAnsi="Calibri"/>
                <w:b w:val="0"/>
                <w:i w:val="0"/>
                <w:color w:val="111111"/>
                <w:sz w:val="15"/>
              </w:rPr>
              <w:t>Tribal governments — Section 106 consultation may be required</w:t>
            </w:r>
          </w:p>
          <w:p>
            <w:pPr>
              <w:spacing w:before="0" w:after="28"/>
              <w:ind w:left="280" w:hanging="180"/>
            </w:pPr>
            <w:r>
              <w:rPr>
                <w:rFonts w:ascii="Calibri" w:hAnsi="Calibri"/>
                <w:b w:val="0"/>
                <w:i w:val="0"/>
                <w:color w:val="6B1B1B"/>
                <w:sz w:val="16"/>
              </w:rPr>
              <w:t xml:space="preserve">▸  </w:t>
            </w:r>
            <w:r>
              <w:rPr>
                <w:rFonts w:ascii="Calibri" w:hAnsi="Calibri"/>
                <w:b w:val="0"/>
                <w:i w:val="0"/>
                <w:color w:val="111111"/>
                <w:sz w:val="15"/>
              </w:rPr>
              <w:t>Environmental and advocacy organizations with interest in the project area</w:t>
            </w:r>
          </w:p>
          <w:p>
            <w:pPr>
              <w:spacing w:before="0" w:after="28"/>
              <w:ind w:left="280" w:hanging="180"/>
            </w:pPr>
            <w:r>
              <w:rPr>
                <w:rFonts w:ascii="Calibri" w:hAnsi="Calibri"/>
                <w:b w:val="0"/>
                <w:i w:val="0"/>
                <w:color w:val="6B1B1B"/>
                <w:sz w:val="16"/>
              </w:rPr>
              <w:t xml:space="preserve">▸  </w:t>
            </w:r>
            <w:r>
              <w:rPr>
                <w:rFonts w:ascii="Calibri" w:hAnsi="Calibri"/>
                <w:b w:val="0"/>
                <w:i w:val="0"/>
                <w:color w:val="111111"/>
                <w:sz w:val="15"/>
              </w:rPr>
              <w:t>Local business community (for projects affecting access or commerce)</w:t>
            </w:r>
          </w:p>
          <w:p>
            <w:pPr>
              <w:spacing w:before="0" w:after="28"/>
              <w:ind w:left="280" w:hanging="180"/>
            </w:pPr>
            <w:r>
              <w:rPr>
                <w:rFonts w:ascii="Calibri" w:hAnsi="Calibri"/>
                <w:b w:val="0"/>
                <w:i w:val="0"/>
                <w:color w:val="6B1B1B"/>
                <w:sz w:val="16"/>
              </w:rPr>
              <w:t xml:space="preserve">▸  </w:t>
            </w:r>
            <w:r>
              <w:rPr>
                <w:rFonts w:ascii="Calibri" w:hAnsi="Calibri"/>
                <w:b w:val="0"/>
                <w:i w:val="0"/>
                <w:color w:val="111111"/>
                <w:sz w:val="15"/>
              </w:rPr>
              <w:t>Media — for high-visibility or controversial projects</w:t>
            </w:r>
          </w:p>
          <w:p>
            <w:pPr>
              <w:spacing w:before="0" w:after="0"/>
            </w:pPr>
          </w:p>
        </w:tc>
      </w:tr>
    </w:tbl>
    <w:p>
      <w:pPr>
        <w:spacing w:before="10" w:after="0"/>
      </w:pPr>
    </w:p>
    <w:tbl>
      <w:tblPr>
        <w:tblStyle w:val="TableGrid"/>
        <w:tblW w:type="auto" w:w="0"/>
        <w:tblLook w:firstColumn="1" w:firstRow="1" w:lastColumn="0" w:lastRow="0" w:noHBand="0" w:noVBand="1" w:val="04A0"/>
      </w:tblPr>
      <w:tblGrid>
        <w:gridCol w:w="10080"/>
      </w:tblGrid>
      <w:tr>
        <w:tc>
          <w:tcPr>
            <w:tcW w:type="dxa" w:w="10080"/>
            <w:tcBorders>
              <w:top w:val="single" w:sz="6" w:space="0" w:color="2C3E6B"/>
              <w:bottom w:val="single" w:sz="6" w:space="0" w:color="2C3E6B"/>
              <w:left w:val="single" w:sz="6" w:space="0" w:color="2C3E6B"/>
              <w:right w:val="single" w:sz="6" w:space="0" w:color="2C3E6B"/>
            </w:tcBorders>
            <w:shd w:val="clear" w:color="auto" w:fill="F0F2F5"/>
          </w:tcPr>
          <w:p>
            <w:pPr>
              <w:spacing w:before="0" w:after="10"/>
            </w:pPr>
            <w:r>
              <w:rPr>
                <w:rFonts w:ascii="Calibri" w:hAnsi="Calibri"/>
                <w:b/>
                <w:i w:val="0"/>
                <w:color w:val="2C3E6B"/>
                <w:sz w:val="20"/>
              </w:rPr>
              <w:t xml:space="preserve">▌  </w:t>
            </w:r>
            <w:r>
              <w:rPr>
                <w:rFonts w:ascii="Calibri" w:hAnsi="Calibri"/>
                <w:b/>
                <w:i w:val="0"/>
                <w:color w:val="2C3E6B"/>
                <w:sz w:val="17"/>
              </w:rPr>
              <w:t>CONGRESSIONAL AND POLITICAL STAKEHOLDERS</w:t>
            </w:r>
          </w:p>
          <w:p>
            <w:pPr>
              <w:spacing w:before="6" w:after="10"/>
            </w:pPr>
            <w:r>
              <w:rPr>
                <w:rFonts w:ascii="Calibri" w:hAnsi="Calibri"/>
                <w:b w:val="0"/>
                <w:i w:val="0"/>
                <w:color w:val="111111"/>
                <w:sz w:val="15"/>
              </w:rPr>
              <w:t>Elected officials and their staff who have oversight, appropriations, or constituent interest in the project. For Military Construction, congressional notification requirements apply at specific thresholds. For Civil Works, project authorizations run through Congress. These stakeholders require careful, coordinated engagement — never unilateral.</w:t>
            </w:r>
          </w:p>
          <w:p>
            <w:pPr>
              <w:spacing w:before="0" w:after="28"/>
              <w:ind w:left="280" w:hanging="180"/>
            </w:pPr>
            <w:r>
              <w:rPr>
                <w:rFonts w:ascii="Calibri" w:hAnsi="Calibri"/>
                <w:b w:val="0"/>
                <w:i w:val="0"/>
                <w:color w:val="2C3E6B"/>
                <w:sz w:val="16"/>
              </w:rPr>
              <w:t xml:space="preserve">▸  </w:t>
            </w:r>
            <w:r>
              <w:rPr>
                <w:rFonts w:ascii="Calibri" w:hAnsi="Calibri"/>
                <w:b w:val="0"/>
                <w:i w:val="0"/>
                <w:color w:val="111111"/>
                <w:sz w:val="15"/>
              </w:rPr>
              <w:t>Congressional members representing the installation or project area</w:t>
            </w:r>
          </w:p>
          <w:p>
            <w:pPr>
              <w:spacing w:before="0" w:after="28"/>
              <w:ind w:left="280" w:hanging="180"/>
            </w:pPr>
            <w:r>
              <w:rPr>
                <w:rFonts w:ascii="Calibri" w:hAnsi="Calibri"/>
                <w:b w:val="0"/>
                <w:i w:val="0"/>
                <w:color w:val="2C3E6B"/>
                <w:sz w:val="16"/>
              </w:rPr>
              <w:t xml:space="preserve">▸  </w:t>
            </w:r>
            <w:r>
              <w:rPr>
                <w:rFonts w:ascii="Calibri" w:hAnsi="Calibri"/>
                <w:b w:val="0"/>
                <w:i w:val="0"/>
                <w:color w:val="111111"/>
                <w:sz w:val="15"/>
              </w:rPr>
              <w:t>Congressional staff (Armed Services Committees, Appropriations Committees)</w:t>
            </w:r>
          </w:p>
          <w:p>
            <w:pPr>
              <w:spacing w:before="0" w:after="28"/>
              <w:ind w:left="280" w:hanging="180"/>
            </w:pPr>
            <w:r>
              <w:rPr>
                <w:rFonts w:ascii="Calibri" w:hAnsi="Calibri"/>
                <w:b w:val="0"/>
                <w:i w:val="0"/>
                <w:color w:val="2C3E6B"/>
                <w:sz w:val="16"/>
              </w:rPr>
              <w:t xml:space="preserve">▸  </w:t>
            </w:r>
            <w:r>
              <w:rPr>
                <w:rFonts w:ascii="Calibri" w:hAnsi="Calibri"/>
                <w:b w:val="0"/>
                <w:i w:val="0"/>
                <w:color w:val="111111"/>
                <w:sz w:val="15"/>
              </w:rPr>
              <w:t>State and local elected officials (for high-visibility projects)</w:t>
            </w:r>
          </w:p>
          <w:p>
            <w:pPr>
              <w:spacing w:before="0" w:after="28"/>
              <w:ind w:left="280" w:hanging="180"/>
            </w:pPr>
            <w:r>
              <w:rPr>
                <w:rFonts w:ascii="Calibri" w:hAnsi="Calibri"/>
                <w:b w:val="0"/>
                <w:i w:val="0"/>
                <w:color w:val="2C3E6B"/>
                <w:sz w:val="16"/>
              </w:rPr>
              <w:t xml:space="preserve">▸  </w:t>
            </w:r>
            <w:r>
              <w:rPr>
                <w:rFonts w:ascii="Calibri" w:hAnsi="Calibri"/>
                <w:b w:val="0"/>
                <w:i w:val="0"/>
                <w:color w:val="111111"/>
                <w:sz w:val="15"/>
              </w:rPr>
              <w:t>Congressional liaison offices within USACE and the parent service</w:t>
            </w:r>
          </w:p>
          <w:p>
            <w:pPr>
              <w:spacing w:before="0" w:after="28"/>
              <w:ind w:left="280" w:hanging="180"/>
            </w:pPr>
            <w:r>
              <w:rPr>
                <w:rFonts w:ascii="Calibri" w:hAnsi="Calibri"/>
                <w:b w:val="0"/>
                <w:i w:val="0"/>
                <w:color w:val="2C3E6B"/>
                <w:sz w:val="16"/>
              </w:rPr>
              <w:t xml:space="preserve">▸  </w:t>
            </w:r>
            <w:r>
              <w:rPr>
                <w:rFonts w:ascii="Calibri" w:hAnsi="Calibri"/>
                <w:b w:val="0"/>
                <w:i w:val="0"/>
                <w:color w:val="111111"/>
                <w:sz w:val="15"/>
              </w:rPr>
              <w:t>Note: All congressional engagement must be coordinated through the appropriate USACE public affairs and legislative liaison channels</w:t>
            </w:r>
          </w:p>
          <w:p>
            <w:pPr>
              <w:spacing w:before="0" w:after="0"/>
            </w:pPr>
          </w:p>
        </w:tc>
      </w:tr>
    </w:tbl>
    <w:p>
      <w:pPr>
        <w:spacing w:before="10" w:after="0"/>
      </w:pPr>
    </w:p>
    <w:tbl>
      <w:tblPr>
        <w:tblStyle w:val="TableGrid"/>
        <w:tblW w:type="auto" w:w="0"/>
        <w:tblLook w:firstColumn="1" w:firstRow="1" w:lastColumn="0" w:lastRow="0" w:noHBand="0" w:noVBand="1" w:val="04A0"/>
      </w:tblPr>
      <w:tblGrid>
        <w:gridCol w:w="10080"/>
      </w:tblGrid>
      <w:tr>
        <w:tc>
          <w:tcPr>
            <w:tcW w:type="dxa" w:w="10080"/>
            <w:tcBorders>
              <w:top w:val="single" w:sz="6" w:space="0" w:color="6B7280"/>
              <w:bottom w:val="single" w:sz="6" w:space="0" w:color="6B7280"/>
              <w:left w:val="single" w:sz="6" w:space="0" w:color="6B7280"/>
              <w:right w:val="single" w:sz="6" w:space="0" w:color="6B7280"/>
            </w:tcBorders>
            <w:shd w:val="clear" w:color="auto" w:fill="F0F2F5"/>
          </w:tcPr>
          <w:p>
            <w:pPr>
              <w:spacing w:before="0" w:after="10"/>
            </w:pPr>
            <w:r>
              <w:rPr>
                <w:rFonts w:ascii="Calibri" w:hAnsi="Calibri"/>
                <w:b/>
                <w:i w:val="0"/>
                <w:color w:val="6B7280"/>
                <w:sz w:val="20"/>
              </w:rPr>
              <w:t xml:space="preserve">▌  </w:t>
            </w:r>
            <w:r>
              <w:rPr>
                <w:rFonts w:ascii="Calibri" w:hAnsi="Calibri"/>
                <w:b/>
                <w:i w:val="0"/>
                <w:color w:val="6B7280"/>
                <w:sz w:val="17"/>
              </w:rPr>
              <w:t>MEDIA AND PUBLIC</w:t>
            </w:r>
          </w:p>
          <w:p>
            <w:pPr>
              <w:spacing w:before="6" w:after="10"/>
            </w:pPr>
            <w:r>
              <w:rPr>
                <w:rFonts w:ascii="Calibri" w:hAnsi="Calibri"/>
                <w:b w:val="0"/>
                <w:i w:val="0"/>
                <w:color w:val="111111"/>
                <w:sz w:val="15"/>
              </w:rPr>
              <w:t>For most USACE projects, media and public engagement is minimal. However, projects with environmental controversy, community impact, or significant cost can attract public attention that affects the project timeline and political environment. Know the threshold before you reach it.</w:t>
            </w:r>
          </w:p>
          <w:p>
            <w:pPr>
              <w:spacing w:before="0" w:after="28"/>
              <w:ind w:left="280" w:hanging="180"/>
            </w:pPr>
            <w:r>
              <w:rPr>
                <w:rFonts w:ascii="Calibri" w:hAnsi="Calibri"/>
                <w:b w:val="0"/>
                <w:i w:val="0"/>
                <w:color w:val="6B7280"/>
                <w:sz w:val="16"/>
              </w:rPr>
              <w:t xml:space="preserve">▸  </w:t>
            </w:r>
            <w:r>
              <w:rPr>
                <w:rFonts w:ascii="Calibri" w:hAnsi="Calibri"/>
                <w:b w:val="0"/>
                <w:i w:val="0"/>
                <w:color w:val="111111"/>
                <w:sz w:val="15"/>
              </w:rPr>
              <w:t>USACE public affairs officer — primary interface for all media inquiries</w:t>
            </w:r>
          </w:p>
          <w:p>
            <w:pPr>
              <w:spacing w:before="0" w:after="28"/>
              <w:ind w:left="280" w:hanging="180"/>
            </w:pPr>
            <w:r>
              <w:rPr>
                <w:rFonts w:ascii="Calibri" w:hAnsi="Calibri"/>
                <w:b w:val="0"/>
                <w:i w:val="0"/>
                <w:color w:val="6B7280"/>
                <w:sz w:val="16"/>
              </w:rPr>
              <w:t xml:space="preserve">▸  </w:t>
            </w:r>
            <w:r>
              <w:rPr>
                <w:rFonts w:ascii="Calibri" w:hAnsi="Calibri"/>
                <w:b w:val="0"/>
                <w:i w:val="0"/>
                <w:color w:val="111111"/>
                <w:sz w:val="15"/>
              </w:rPr>
              <w:t>Project website or public notices (required for certain permit activities)</w:t>
            </w:r>
          </w:p>
          <w:p>
            <w:pPr>
              <w:spacing w:before="0" w:after="28"/>
              <w:ind w:left="280" w:hanging="180"/>
            </w:pPr>
            <w:r>
              <w:rPr>
                <w:rFonts w:ascii="Calibri" w:hAnsi="Calibri"/>
                <w:b w:val="0"/>
                <w:i w:val="0"/>
                <w:color w:val="6B7280"/>
                <w:sz w:val="16"/>
              </w:rPr>
              <w:t xml:space="preserve">▸  </w:t>
            </w:r>
            <w:r>
              <w:rPr>
                <w:rFonts w:ascii="Calibri" w:hAnsi="Calibri"/>
                <w:b w:val="0"/>
                <w:i w:val="0"/>
                <w:color w:val="111111"/>
                <w:sz w:val="15"/>
              </w:rPr>
              <w:t>Public meetings (required for Environmental Impact Statements and some Civil Works projects)</w:t>
            </w:r>
          </w:p>
          <w:p>
            <w:pPr>
              <w:spacing w:before="0" w:after="28"/>
              <w:ind w:left="280" w:hanging="180"/>
            </w:pPr>
            <w:r>
              <w:rPr>
                <w:rFonts w:ascii="Calibri" w:hAnsi="Calibri"/>
                <w:b w:val="0"/>
                <w:i w:val="0"/>
                <w:color w:val="6B7280"/>
                <w:sz w:val="16"/>
              </w:rPr>
              <w:t xml:space="preserve">▸  </w:t>
            </w:r>
            <w:r>
              <w:rPr>
                <w:rFonts w:ascii="Calibri" w:hAnsi="Calibri"/>
                <w:b w:val="0"/>
                <w:i w:val="0"/>
                <w:color w:val="111111"/>
                <w:sz w:val="15"/>
              </w:rPr>
              <w:t>Social media — primarily a monitoring function; responses coordinated through public affairs</w:t>
            </w:r>
          </w:p>
          <w:p>
            <w:pPr>
              <w:spacing w:before="0" w:after="28"/>
              <w:ind w:left="280" w:hanging="180"/>
            </w:pPr>
            <w:r>
              <w:rPr>
                <w:rFonts w:ascii="Calibri" w:hAnsi="Calibri"/>
                <w:b w:val="0"/>
                <w:i w:val="0"/>
                <w:color w:val="6B7280"/>
                <w:sz w:val="16"/>
              </w:rPr>
              <w:t xml:space="preserve">▸  </w:t>
            </w:r>
            <w:r>
              <w:rPr>
                <w:rFonts w:ascii="Calibri" w:hAnsi="Calibri"/>
                <w:b w:val="0"/>
                <w:i w:val="0"/>
                <w:color w:val="111111"/>
                <w:sz w:val="15"/>
              </w:rPr>
              <w:t>Note: Direct media engagement by the PM without public affairs coordination is not authorized</w:t>
            </w:r>
          </w:p>
          <w:p>
            <w:pPr>
              <w:spacing w:before="0" w:after="0"/>
            </w:pPr>
          </w:p>
        </w:tc>
      </w:tr>
    </w:tbl>
    <w:p>
      <w:pPr>
        <w:spacing w:before="10" w:after="0"/>
      </w:pPr>
    </w:p>
    <w:p>
      <w:pPr>
        <w:spacing w:before="18" w:after="0"/>
      </w:pPr>
    </w:p>
    <w:p>
      <w:pPr>
        <w:spacing w:before="110" w:after="44"/>
        <w:pBdr>
          <w:bottom w:val="single" w:sz="8" w:space="1" w:color="2C3E6B"/>
        </w:pBdr>
      </w:pPr>
      <w:r>
        <w:rPr>
          <w:rFonts w:ascii="Calibri" w:hAnsi="Calibri"/>
          <w:b/>
          <w:i w:val="0"/>
          <w:color w:val="2C3E6B"/>
          <w:sz w:val="21"/>
        </w:rPr>
        <w:t>ENGAGEMENT STRATEGY — THE FOUR APPROACHES</w:t>
      </w:r>
    </w:p>
    <w:p>
      <w:pPr>
        <w:spacing w:before="10" w:after="0"/>
      </w:pPr>
    </w:p>
    <w:p>
      <w:pPr>
        <w:spacing w:before="0" w:after="20"/>
      </w:pPr>
      <w:r>
        <w:rPr>
          <w:rFonts w:ascii="Calibri" w:hAnsi="Calibri"/>
          <w:b w:val="0"/>
          <w:i/>
          <w:color w:val="6B7280"/>
          <w:sz w:val="15"/>
        </w:rPr>
        <w:t>For each stakeholder, assign one of these four engagement strategies. The strategy should reflect both the stakeholder's current stance and the level of influence they have over the project. Strategies are not permanent — review and update at each phase gate.</w:t>
      </w:r>
    </w:p>
    <w:p>
      <w:pPr>
        <w:spacing w:before="14" w:after="0"/>
      </w:pPr>
    </w:p>
    <w:tbl>
      <w:tblPr>
        <w:tblStyle w:val="TableGrid"/>
        <w:tblW w:type="auto" w:w="0"/>
        <w:tblLook w:firstColumn="1" w:firstRow="1" w:lastColumn="0" w:lastRow="0" w:noHBand="0" w:noVBand="1" w:val="04A0"/>
      </w:tblPr>
      <w:tblGrid>
        <w:gridCol w:w="1400"/>
        <w:gridCol w:w="2000"/>
        <w:gridCol w:w="3600"/>
        <w:gridCol w:w="3800"/>
      </w:tblGrid>
      <w:tr>
        <w:tc>
          <w:tcPr>
            <w:tcW w:type="dxa" w:w="1400"/>
            <w:shd w:val="clear" w:color="auto" w:fill="1A1A2E"/>
          </w:tcPr>
          <w:p>
            <w:pPr>
              <w:spacing w:before="52" w:after="52"/>
            </w:pPr>
            <w:r>
              <w:rPr>
                <w:rFonts w:ascii="Calibri" w:hAnsi="Calibri"/>
                <w:b/>
                <w:i w:val="0"/>
                <w:color w:val="F5F2EB"/>
                <w:sz w:val="15"/>
              </w:rPr>
              <w:t>Strategy</w:t>
            </w:r>
          </w:p>
        </w:tc>
        <w:tc>
          <w:tcPr>
            <w:tcW w:type="dxa" w:w="2000"/>
            <w:shd w:val="clear" w:color="auto" w:fill="1A1A2E"/>
          </w:tcPr>
          <w:p>
            <w:pPr>
              <w:spacing w:before="52" w:after="52"/>
            </w:pPr>
            <w:r>
              <w:rPr>
                <w:rFonts w:ascii="Calibri" w:hAnsi="Calibri"/>
                <w:b/>
                <w:i w:val="0"/>
                <w:color w:val="F5F2EB"/>
                <w:sz w:val="15"/>
              </w:rPr>
              <w:t>Typical Stakeholders</w:t>
            </w:r>
          </w:p>
        </w:tc>
        <w:tc>
          <w:tcPr>
            <w:tcW w:type="dxa" w:w="3600"/>
            <w:shd w:val="clear" w:color="auto" w:fill="1A1A2E"/>
          </w:tcPr>
          <w:p>
            <w:pPr>
              <w:spacing w:before="52" w:after="52"/>
            </w:pPr>
            <w:r>
              <w:rPr>
                <w:rFonts w:ascii="Calibri" w:hAnsi="Calibri"/>
                <w:b/>
                <w:i w:val="0"/>
                <w:color w:val="F5F2EB"/>
                <w:sz w:val="15"/>
              </w:rPr>
              <w:t>What It Means</w:t>
            </w:r>
          </w:p>
        </w:tc>
        <w:tc>
          <w:tcPr>
            <w:tcW w:type="dxa" w:w="3800"/>
            <w:shd w:val="clear" w:color="auto" w:fill="1A1A2E"/>
          </w:tcPr>
          <w:p>
            <w:pPr>
              <w:spacing w:before="52" w:after="52"/>
            </w:pPr>
            <w:r>
              <w:rPr>
                <w:rFonts w:ascii="Calibri" w:hAnsi="Calibri"/>
                <w:b/>
                <w:i w:val="0"/>
                <w:color w:val="F5F2EB"/>
                <w:sz w:val="15"/>
              </w:rPr>
              <w:t>What You Do</w:t>
            </w:r>
          </w:p>
        </w:tc>
      </w:tr>
      <w:tr>
        <w:tc>
          <w:tcPr>
            <w:tcW w:type="dxa" w:w="1400"/>
            <w:tcBorders>
              <w:top w:val="single" w:sz="4" w:space="0" w:color="DDDDDD"/>
              <w:bottom w:val="single" w:sz="4" w:space="0" w:color="DDDDDD"/>
              <w:left w:val="single" w:sz="4" w:space="0" w:color="DDDDDD"/>
              <w:right w:val="single" w:sz="4" w:space="0" w:color="DDDDDD"/>
            </w:tcBorders>
            <w:vAlign w:val="top"/>
            <w:shd w:val="clear" w:color="auto" w:fill="6B7280"/>
          </w:tcPr>
          <w:p>
            <w:pPr>
              <w:spacing w:before="50" w:after="50"/>
            </w:pPr>
            <w:r>
              <w:rPr>
                <w:rFonts w:ascii="Calibri" w:hAnsi="Calibri"/>
                <w:b/>
                <w:i w:val="0"/>
                <w:color w:val="F5F2EB"/>
                <w:sz w:val="15"/>
              </w:rPr>
              <w:t>MONITOR</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50" w:after="50"/>
            </w:pPr>
            <w:r>
              <w:rPr>
                <w:rFonts w:ascii="Calibri" w:hAnsi="Calibri"/>
                <w:b/>
                <w:i/>
                <w:color w:val="6B7280"/>
                <w:sz w:val="14"/>
              </w:rPr>
              <w:t>Low influence, low interest</w:t>
            </w:r>
          </w:p>
        </w:tc>
        <w:tc>
          <w:tcPr>
            <w:tcW w:type="dxa" w:w="36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50" w:after="50"/>
            </w:pPr>
            <w:r>
              <w:rPr>
                <w:rFonts w:ascii="Calibri" w:hAnsi="Calibri"/>
                <w:b w:val="0"/>
                <w:i w:val="0"/>
                <w:color w:val="111111"/>
                <w:sz w:val="14"/>
              </w:rPr>
              <w:t>Aware of the project; not actively engaged; unlikely to affect outcomes.</w:t>
            </w:r>
          </w:p>
        </w:tc>
        <w:tc>
          <w:tcPr>
            <w:tcW w:type="dxa" w:w="38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50" w:after="50"/>
            </w:pPr>
            <w:r>
              <w:rPr>
                <w:rFonts w:ascii="Calibri" w:hAnsi="Calibri"/>
                <w:b w:val="0"/>
                <w:i w:val="0"/>
                <w:color w:val="111111"/>
                <w:sz w:val="14"/>
              </w:rPr>
              <w:t>Track periodically. Notify when project milestones affect them. Do not over-invest resources here.</w:t>
            </w:r>
          </w:p>
        </w:tc>
      </w:tr>
      <w:tr>
        <w:tc>
          <w:tcPr>
            <w:tcW w:type="dxa" w:w="1400"/>
            <w:tcBorders>
              <w:top w:val="single" w:sz="4" w:space="0" w:color="DDDDDD"/>
              <w:bottom w:val="single" w:sz="4" w:space="0" w:color="DDDDDD"/>
              <w:left w:val="single" w:sz="4" w:space="0" w:color="DDDDDD"/>
              <w:right w:val="single" w:sz="4" w:space="0" w:color="DDDDDD"/>
            </w:tcBorders>
            <w:vAlign w:val="top"/>
            <w:shd w:val="clear" w:color="auto" w:fill="1B5B6B"/>
          </w:tcPr>
          <w:p>
            <w:pPr>
              <w:spacing w:before="50" w:after="50"/>
            </w:pPr>
            <w:r>
              <w:rPr>
                <w:rFonts w:ascii="Calibri" w:hAnsi="Calibri"/>
                <w:b/>
                <w:i w:val="0"/>
                <w:color w:val="F5F2EB"/>
                <w:sz w:val="15"/>
              </w:rPr>
              <w:t>INFORM</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50" w:after="50"/>
            </w:pPr>
            <w:r>
              <w:rPr>
                <w:rFonts w:ascii="Calibri" w:hAnsi="Calibri"/>
                <w:b/>
                <w:i/>
                <w:color w:val="1B5B6B"/>
                <w:sz w:val="14"/>
              </w:rPr>
              <w:t>Low influence, high interest OR high influence, low interest — needs timely updates</w:t>
            </w:r>
          </w:p>
        </w:tc>
        <w:tc>
          <w:tcPr>
            <w:tcW w:type="dxa" w:w="36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50" w:after="50"/>
            </w:pPr>
            <w:r>
              <w:rPr>
                <w:rFonts w:ascii="Calibri" w:hAnsi="Calibri"/>
                <w:b w:val="0"/>
                <w:i w:val="0"/>
                <w:color w:val="111111"/>
                <w:sz w:val="14"/>
              </w:rPr>
              <w:t>Needs to know what is happening but does not need to be consulted before decisions are made.</w:t>
            </w:r>
          </w:p>
        </w:tc>
        <w:tc>
          <w:tcPr>
            <w:tcW w:type="dxa" w:w="38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50" w:after="50"/>
            </w:pPr>
            <w:r>
              <w:rPr>
                <w:rFonts w:ascii="Calibri" w:hAnsi="Calibri"/>
                <w:b w:val="0"/>
                <w:i w:val="0"/>
                <w:color w:val="111111"/>
                <w:sz w:val="14"/>
              </w:rPr>
              <w:t>Regular one-way communication. Status updates, meeting summaries, milestone notifications. Do not ask for input you will not use.</w:t>
            </w:r>
          </w:p>
        </w:tc>
      </w:tr>
      <w:tr>
        <w:tc>
          <w:tcPr>
            <w:tcW w:type="dxa" w:w="14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50" w:after="50"/>
            </w:pPr>
            <w:r>
              <w:rPr>
                <w:rFonts w:ascii="Calibri" w:hAnsi="Calibri"/>
                <w:b/>
                <w:i w:val="0"/>
                <w:color w:val="F5F2EB"/>
                <w:sz w:val="15"/>
              </w:rPr>
              <w:t>CONSULT</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50" w:after="50"/>
            </w:pPr>
            <w:r>
              <w:rPr>
                <w:rFonts w:ascii="Calibri" w:hAnsi="Calibri"/>
                <w:b/>
                <w:i/>
                <w:color w:val="2C3E6B"/>
                <w:sz w:val="14"/>
              </w:rPr>
              <w:t>High influence, high interest — provides input before decisions</w:t>
            </w:r>
          </w:p>
        </w:tc>
        <w:tc>
          <w:tcPr>
            <w:tcW w:type="dxa" w:w="36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50" w:after="50"/>
            </w:pPr>
            <w:r>
              <w:rPr>
                <w:rFonts w:ascii="Calibri" w:hAnsi="Calibri"/>
                <w:b w:val="0"/>
                <w:i w:val="0"/>
                <w:color w:val="111111"/>
                <w:sz w:val="14"/>
              </w:rPr>
              <w:t>Has meaningful knowledge or authority that should shape decisions. Must be heard before significant choices are made.</w:t>
            </w:r>
          </w:p>
        </w:tc>
        <w:tc>
          <w:tcPr>
            <w:tcW w:type="dxa" w:w="38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50" w:after="50"/>
            </w:pPr>
            <w:r>
              <w:rPr>
                <w:rFonts w:ascii="Calibri" w:hAnsi="Calibri"/>
                <w:b w:val="0"/>
                <w:i w:val="0"/>
                <w:color w:val="111111"/>
                <w:sz w:val="14"/>
              </w:rPr>
              <w:t>Structured input opportunities. Meetings before decisions, not after. Document what they said and how it was considered.</w:t>
            </w:r>
          </w:p>
        </w:tc>
      </w:tr>
      <w:tr>
        <w:tc>
          <w:tcPr>
            <w:tcW w:type="dxa" w:w="1400"/>
            <w:tcBorders>
              <w:top w:val="single" w:sz="4" w:space="0" w:color="DDDDDD"/>
              <w:bottom w:val="single" w:sz="4" w:space="0" w:color="DDDDDD"/>
              <w:left w:val="single" w:sz="4" w:space="0" w:color="DDDDDD"/>
              <w:right w:val="single" w:sz="4" w:space="0" w:color="DDDDDD"/>
            </w:tcBorders>
            <w:vAlign w:val="top"/>
            <w:shd w:val="clear" w:color="auto" w:fill="1B6B3A"/>
          </w:tcPr>
          <w:p>
            <w:pPr>
              <w:spacing w:before="50" w:after="50"/>
            </w:pPr>
            <w:r>
              <w:rPr>
                <w:rFonts w:ascii="Calibri" w:hAnsi="Calibri"/>
                <w:b/>
                <w:i w:val="0"/>
                <w:color w:val="F5F2EB"/>
                <w:sz w:val="15"/>
              </w:rPr>
              <w:t>COLLABORATE</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50" w:after="50"/>
            </w:pPr>
            <w:r>
              <w:rPr>
                <w:rFonts w:ascii="Calibri" w:hAnsi="Calibri"/>
                <w:b/>
                <w:i/>
                <w:color w:val="1B6B3A"/>
                <w:sz w:val="14"/>
              </w:rPr>
              <w:t>Critical influence — co-creates solutions, joint decision-making</w:t>
            </w:r>
          </w:p>
        </w:tc>
        <w:tc>
          <w:tcPr>
            <w:tcW w:type="dxa" w:w="36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50" w:after="50"/>
            </w:pPr>
            <w:r>
              <w:rPr>
                <w:rFonts w:ascii="Calibri" w:hAnsi="Calibri"/>
                <w:b w:val="0"/>
                <w:i w:val="0"/>
                <w:color w:val="111111"/>
                <w:sz w:val="14"/>
              </w:rPr>
              <w:t>The project cannot succeed without their active partnership. Their buy-in is not sufficient — their engagement is essential.</w:t>
            </w:r>
          </w:p>
        </w:tc>
        <w:tc>
          <w:tcPr>
            <w:tcW w:type="dxa" w:w="38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50" w:after="50"/>
            </w:pPr>
            <w:r>
              <w:rPr>
                <w:rFonts w:ascii="Calibri" w:hAnsi="Calibri"/>
                <w:b w:val="0"/>
                <w:i w:val="0"/>
                <w:color w:val="111111"/>
                <w:sz w:val="14"/>
              </w:rPr>
              <w:t>Joint working sessions. Shared ownership of key decisions. Regular direct access to the PM. Treat their constraints as your constraints.</w:t>
            </w:r>
          </w:p>
        </w:tc>
      </w:tr>
    </w:tbl>
    <w:p>
      <w:pPr>
        <w:spacing w:before="24" w:after="0"/>
      </w:pPr>
    </w:p>
    <w:p>
      <w:pPr>
        <w:spacing w:before="110" w:after="44"/>
        <w:pBdr>
          <w:bottom w:val="single" w:sz="8" w:space="1" w:color="2C3E6B"/>
        </w:pBdr>
      </w:pPr>
      <w:r>
        <w:rPr>
          <w:rFonts w:ascii="Calibri" w:hAnsi="Calibri"/>
          <w:b/>
          <w:i w:val="0"/>
          <w:color w:val="2C3E6B"/>
          <w:sz w:val="21"/>
        </w:rPr>
        <w:t>BUILDING YOUR SEP — FIVE STEPS</w:t>
      </w:r>
    </w:p>
    <w:p>
      <w:pPr>
        <w:spacing w:before="10" w:after="0"/>
      </w:pPr>
    </w:p>
    <w:tbl>
      <w:tblPr>
        <w:tblStyle w:val="TableGrid"/>
        <w:tblW w:type="auto" w:w="0"/>
        <w:tblLook w:firstColumn="1" w:firstRow="1" w:lastColumn="0" w:lastRow="0" w:noHBand="0" w:noVBand="1" w:val="04A0"/>
      </w:tblPr>
      <w:tblGrid>
        <w:gridCol w:w="680"/>
        <w:gridCol w:w="10120"/>
      </w:tblGrid>
      <w:tr>
        <w:tc>
          <w:tcPr>
            <w:tcW w:type="dxa" w:w="5040"/>
            <w:tcBorders>
              <w:top w:val="single" w:sz="4" w:space="0" w:color="DDDDDD"/>
              <w:bottom w:val="single" w:sz="4" w:space="0" w:color="DDDDDD"/>
              <w:left w:val="single" w:sz="4" w:space="0" w:color="DDDDDD"/>
              <w:right w:val="single" w:sz="4" w:space="0" w:color="DDDDDD"/>
            </w:tcBorders>
            <w:shd w:val="clear" w:color="auto" w:fill="1B6B3A"/>
            <w:vAlign w:val="center"/>
          </w:tcPr>
          <w:p>
            <w:pPr>
              <w:spacing w:before="60" w:after="60"/>
              <w:jc w:val="center"/>
            </w:pPr>
            <w:r>
              <w:rPr>
                <w:rFonts w:ascii="Cambria" w:hAnsi="Cambria"/>
                <w:b/>
                <w:i w:val="0"/>
                <w:color w:val="F5F2EB"/>
                <w:sz w:val="28"/>
              </w:rPr>
              <w:t>1</w:t>
            </w:r>
          </w:p>
        </w:tc>
        <w:tc>
          <w:tcPr>
            <w:tcW w:type="dxa" w:w="5040"/>
            <w:tcBorders>
              <w:top w:val="single" w:sz="4" w:space="0" w:color="DDDDDD"/>
              <w:bottom w:val="single" w:sz="4" w:space="0" w:color="DDDDDD"/>
              <w:left w:val="single" w:sz="4" w:space="0" w:color="DDDDDD"/>
              <w:right w:val="single" w:sz="4" w:space="0" w:color="DDDDDD"/>
            </w:tcBorders>
            <w:shd w:val="clear" w:color="auto" w:fill="F0F2F5"/>
          </w:tcPr>
          <w:p>
            <w:pPr>
              <w:spacing w:before="60" w:after="14"/>
            </w:pPr>
            <w:r>
              <w:rPr>
                <w:rFonts w:ascii="Calibri" w:hAnsi="Calibri"/>
                <w:b/>
                <w:i w:val="0"/>
                <w:color w:val="1B6B3A"/>
                <w:sz w:val="17"/>
              </w:rPr>
              <w:t>IDENTIFY — Who has a stake?</w:t>
            </w:r>
          </w:p>
          <w:p>
            <w:pPr>
              <w:spacing w:before="0" w:after="60"/>
            </w:pPr>
            <w:r>
              <w:rPr>
                <w:rFonts w:ascii="Calibri" w:hAnsi="Calibri"/>
                <w:b w:val="0"/>
                <w:i w:val="0"/>
                <w:color w:val="111111"/>
                <w:sz w:val="16"/>
              </w:rPr>
              <w:t>Start broad. List every person or organization that could affect or be affected by the project. Check all seven categories. Do not filter at this stage — add everyone and reduce later.</w:t>
            </w:r>
          </w:p>
        </w:tc>
      </w:tr>
    </w:tbl>
    <w:p>
      <w:pPr>
        <w:spacing w:before="10" w:after="0"/>
      </w:pPr>
    </w:p>
    <w:tbl>
      <w:tblPr>
        <w:tblStyle w:val="TableGrid"/>
        <w:tblW w:type="auto" w:w="0"/>
        <w:tblLook w:firstColumn="1" w:firstRow="1" w:lastColumn="0" w:lastRow="0" w:noHBand="0" w:noVBand="1" w:val="04A0"/>
      </w:tblPr>
      <w:tblGrid>
        <w:gridCol w:w="680"/>
        <w:gridCol w:w="10120"/>
      </w:tblGrid>
      <w:tr>
        <w:tc>
          <w:tcPr>
            <w:tcW w:type="dxa" w:w="5040"/>
            <w:tcBorders>
              <w:top w:val="single" w:sz="4" w:space="0" w:color="DDDDDD"/>
              <w:bottom w:val="single" w:sz="4" w:space="0" w:color="DDDDDD"/>
              <w:left w:val="single" w:sz="4" w:space="0" w:color="DDDDDD"/>
              <w:right w:val="single" w:sz="4" w:space="0" w:color="DDDDDD"/>
            </w:tcBorders>
            <w:shd w:val="clear" w:color="auto" w:fill="2C3E6B"/>
            <w:vAlign w:val="center"/>
          </w:tcPr>
          <w:p>
            <w:pPr>
              <w:spacing w:before="60" w:after="60"/>
              <w:jc w:val="center"/>
            </w:pPr>
            <w:r>
              <w:rPr>
                <w:rFonts w:ascii="Cambria" w:hAnsi="Cambria"/>
                <w:b/>
                <w:i w:val="0"/>
                <w:color w:val="F5F2EB"/>
                <w:sz w:val="28"/>
              </w:rPr>
              <w:t>2</w:t>
            </w:r>
          </w:p>
        </w:tc>
        <w:tc>
          <w:tcPr>
            <w:tcW w:type="dxa" w:w="5040"/>
            <w:tcBorders>
              <w:top w:val="single" w:sz="4" w:space="0" w:color="DDDDDD"/>
              <w:bottom w:val="single" w:sz="4" w:space="0" w:color="DDDDDD"/>
              <w:left w:val="single" w:sz="4" w:space="0" w:color="DDDDDD"/>
              <w:right w:val="single" w:sz="4" w:space="0" w:color="DDDDDD"/>
            </w:tcBorders>
            <w:shd w:val="clear" w:color="auto" w:fill="F0F2F5"/>
          </w:tcPr>
          <w:p>
            <w:pPr>
              <w:spacing w:before="60" w:after="14"/>
            </w:pPr>
            <w:r>
              <w:rPr>
                <w:rFonts w:ascii="Calibri" w:hAnsi="Calibri"/>
                <w:b/>
                <w:i w:val="0"/>
                <w:color w:val="2C3E6B"/>
                <w:sz w:val="17"/>
              </w:rPr>
              <w:t>ANALYZE — What do they need and how much influence do they have?</w:t>
            </w:r>
          </w:p>
          <w:p>
            <w:pPr>
              <w:spacing w:before="0" w:after="60"/>
            </w:pPr>
            <w:r>
              <w:rPr>
                <w:rFonts w:ascii="Calibri" w:hAnsi="Calibri"/>
                <w:b w:val="0"/>
                <w:i w:val="0"/>
                <w:color w:val="111111"/>
                <w:sz w:val="16"/>
              </w:rPr>
              <w:t>For each stakeholder: What is their primary interest in the project? What is their current stance (supportive, neutral, resistant, unknown)? What is their level of influence over the project? What do they fear? What do they need to stay supportive?</w:t>
            </w:r>
          </w:p>
        </w:tc>
      </w:tr>
    </w:tbl>
    <w:p>
      <w:pPr>
        <w:spacing w:before="10" w:after="0"/>
      </w:pPr>
    </w:p>
    <w:tbl>
      <w:tblPr>
        <w:tblStyle w:val="TableGrid"/>
        <w:tblW w:type="auto" w:w="0"/>
        <w:tblLook w:firstColumn="1" w:firstRow="1" w:lastColumn="0" w:lastRow="0" w:noHBand="0" w:noVBand="1" w:val="04A0"/>
      </w:tblPr>
      <w:tblGrid>
        <w:gridCol w:w="680"/>
        <w:gridCol w:w="10120"/>
      </w:tblGrid>
      <w:tr>
        <w:tc>
          <w:tcPr>
            <w:tcW w:type="dxa" w:w="5040"/>
            <w:tcBorders>
              <w:top w:val="single" w:sz="4" w:space="0" w:color="DDDDDD"/>
              <w:bottom w:val="single" w:sz="4" w:space="0" w:color="DDDDDD"/>
              <w:left w:val="single" w:sz="4" w:space="0" w:color="DDDDDD"/>
              <w:right w:val="single" w:sz="4" w:space="0" w:color="DDDDDD"/>
            </w:tcBorders>
            <w:shd w:val="clear" w:color="auto" w:fill="1B5B6B"/>
            <w:vAlign w:val="center"/>
          </w:tcPr>
          <w:p>
            <w:pPr>
              <w:spacing w:before="60" w:after="60"/>
              <w:jc w:val="center"/>
            </w:pPr>
            <w:r>
              <w:rPr>
                <w:rFonts w:ascii="Cambria" w:hAnsi="Cambria"/>
                <w:b/>
                <w:i w:val="0"/>
                <w:color w:val="F5F2EB"/>
                <w:sz w:val="28"/>
              </w:rPr>
              <w:t>3</w:t>
            </w:r>
          </w:p>
        </w:tc>
        <w:tc>
          <w:tcPr>
            <w:tcW w:type="dxa" w:w="5040"/>
            <w:tcBorders>
              <w:top w:val="single" w:sz="4" w:space="0" w:color="DDDDDD"/>
              <w:bottom w:val="single" w:sz="4" w:space="0" w:color="DDDDDD"/>
              <w:left w:val="single" w:sz="4" w:space="0" w:color="DDDDDD"/>
              <w:right w:val="single" w:sz="4" w:space="0" w:color="DDDDDD"/>
            </w:tcBorders>
            <w:shd w:val="clear" w:color="auto" w:fill="F0F2F5"/>
          </w:tcPr>
          <w:p>
            <w:pPr>
              <w:spacing w:before="60" w:after="14"/>
            </w:pPr>
            <w:r>
              <w:rPr>
                <w:rFonts w:ascii="Calibri" w:hAnsi="Calibri"/>
                <w:b/>
                <w:i w:val="0"/>
                <w:color w:val="1B5B6B"/>
                <w:sz w:val="17"/>
              </w:rPr>
              <w:t>PRIORITIZE — Where should you invest your energy?</w:t>
            </w:r>
          </w:p>
          <w:p>
            <w:pPr>
              <w:spacing w:before="0" w:after="60"/>
            </w:pPr>
            <w:r>
              <w:rPr>
                <w:rFonts w:ascii="Calibri" w:hAnsi="Calibri"/>
                <w:b w:val="0"/>
                <w:i w:val="0"/>
                <w:color w:val="111111"/>
                <w:sz w:val="16"/>
              </w:rPr>
              <w:t>High influence + high interest = top priority. Use the four engagement strategies to categorize. Do not treat all stakeholders equally — that is a resource allocation failure. The sponsor and DPM are always Collaborate. Unknown-stance, high-influence stakeholders need immediate assessment.</w:t>
            </w:r>
          </w:p>
        </w:tc>
      </w:tr>
    </w:tbl>
    <w:p>
      <w:pPr>
        <w:spacing w:before="10" w:after="0"/>
      </w:pPr>
    </w:p>
    <w:tbl>
      <w:tblPr>
        <w:tblStyle w:val="TableGrid"/>
        <w:tblW w:type="auto" w:w="0"/>
        <w:tblLook w:firstColumn="1" w:firstRow="1" w:lastColumn="0" w:lastRow="0" w:noHBand="0" w:noVBand="1" w:val="04A0"/>
      </w:tblPr>
      <w:tblGrid>
        <w:gridCol w:w="680"/>
        <w:gridCol w:w="10120"/>
      </w:tblGrid>
      <w:tr>
        <w:tc>
          <w:tcPr>
            <w:tcW w:type="dxa" w:w="5040"/>
            <w:tcBorders>
              <w:top w:val="single" w:sz="4" w:space="0" w:color="DDDDDD"/>
              <w:bottom w:val="single" w:sz="4" w:space="0" w:color="DDDDDD"/>
              <w:left w:val="single" w:sz="4" w:space="0" w:color="DDDDDD"/>
              <w:right w:val="single" w:sz="4" w:space="0" w:color="DDDDDD"/>
            </w:tcBorders>
            <w:shd w:val="clear" w:color="auto" w:fill="8B6914"/>
            <w:vAlign w:val="center"/>
          </w:tcPr>
          <w:p>
            <w:pPr>
              <w:spacing w:before="60" w:after="60"/>
              <w:jc w:val="center"/>
            </w:pPr>
            <w:r>
              <w:rPr>
                <w:rFonts w:ascii="Cambria" w:hAnsi="Cambria"/>
                <w:b/>
                <w:i w:val="0"/>
                <w:color w:val="F5F2EB"/>
                <w:sz w:val="28"/>
              </w:rPr>
              <w:t>4</w:t>
            </w:r>
          </w:p>
        </w:tc>
        <w:tc>
          <w:tcPr>
            <w:tcW w:type="dxa" w:w="5040"/>
            <w:tcBorders>
              <w:top w:val="single" w:sz="4" w:space="0" w:color="DDDDDD"/>
              <w:bottom w:val="single" w:sz="4" w:space="0" w:color="DDDDDD"/>
              <w:left w:val="single" w:sz="4" w:space="0" w:color="DDDDDD"/>
              <w:right w:val="single" w:sz="4" w:space="0" w:color="DDDDDD"/>
            </w:tcBorders>
            <w:shd w:val="clear" w:color="auto" w:fill="F0F2F5"/>
          </w:tcPr>
          <w:p>
            <w:pPr>
              <w:spacing w:before="60" w:after="14"/>
            </w:pPr>
            <w:r>
              <w:rPr>
                <w:rFonts w:ascii="Calibri" w:hAnsi="Calibri"/>
                <w:b/>
                <w:i w:val="0"/>
                <w:color w:val="8B6914"/>
                <w:sz w:val="17"/>
              </w:rPr>
              <w:t>PLAN — How and when will you engage?</w:t>
            </w:r>
          </w:p>
          <w:p>
            <w:pPr>
              <w:spacing w:before="0" w:after="60"/>
            </w:pPr>
            <w:r>
              <w:rPr>
                <w:rFonts w:ascii="Calibri" w:hAnsi="Calibri"/>
                <w:b w:val="0"/>
                <w:i w:val="0"/>
                <w:color w:val="111111"/>
                <w:sz w:val="16"/>
              </w:rPr>
              <w:t>For each stakeholder (or category): What is the engagement method (meeting, report, site visit, call)? What is the frequency? Who is the USACE point of contact? What is the key message? What are the trigger events that require immediate outreach?</w:t>
            </w:r>
          </w:p>
        </w:tc>
      </w:tr>
    </w:tbl>
    <w:p>
      <w:pPr>
        <w:spacing w:before="10" w:after="0"/>
      </w:pPr>
    </w:p>
    <w:tbl>
      <w:tblPr>
        <w:tblStyle w:val="TableGrid"/>
        <w:tblW w:type="auto" w:w="0"/>
        <w:tblLook w:firstColumn="1" w:firstRow="1" w:lastColumn="0" w:lastRow="0" w:noHBand="0" w:noVBand="1" w:val="04A0"/>
      </w:tblPr>
      <w:tblGrid>
        <w:gridCol w:w="680"/>
        <w:gridCol w:w="10120"/>
      </w:tblGrid>
      <w:tr>
        <w:tc>
          <w:tcPr>
            <w:tcW w:type="dxa" w:w="5040"/>
            <w:tcBorders>
              <w:top w:val="single" w:sz="4" w:space="0" w:color="DDDDDD"/>
              <w:bottom w:val="single" w:sz="4" w:space="0" w:color="DDDDDD"/>
              <w:left w:val="single" w:sz="4" w:space="0" w:color="DDDDDD"/>
              <w:right w:val="single" w:sz="4" w:space="0" w:color="DDDDDD"/>
            </w:tcBorders>
            <w:shd w:val="clear" w:color="auto" w:fill="6B1B1B"/>
            <w:vAlign w:val="center"/>
          </w:tcPr>
          <w:p>
            <w:pPr>
              <w:spacing w:before="60" w:after="60"/>
              <w:jc w:val="center"/>
            </w:pPr>
            <w:r>
              <w:rPr>
                <w:rFonts w:ascii="Cambria" w:hAnsi="Cambria"/>
                <w:b/>
                <w:i w:val="0"/>
                <w:color w:val="F5F2EB"/>
                <w:sz w:val="28"/>
              </w:rPr>
              <w:t>5</w:t>
            </w:r>
          </w:p>
        </w:tc>
        <w:tc>
          <w:tcPr>
            <w:tcW w:type="dxa" w:w="5040"/>
            <w:tcBorders>
              <w:top w:val="single" w:sz="4" w:space="0" w:color="DDDDDD"/>
              <w:bottom w:val="single" w:sz="4" w:space="0" w:color="DDDDDD"/>
              <w:left w:val="single" w:sz="4" w:space="0" w:color="DDDDDD"/>
              <w:right w:val="single" w:sz="4" w:space="0" w:color="DDDDDD"/>
            </w:tcBorders>
            <w:shd w:val="clear" w:color="auto" w:fill="F0F2F5"/>
          </w:tcPr>
          <w:p>
            <w:pPr>
              <w:spacing w:before="60" w:after="14"/>
            </w:pPr>
            <w:r>
              <w:rPr>
                <w:rFonts w:ascii="Calibri" w:hAnsi="Calibri"/>
                <w:b/>
                <w:i w:val="0"/>
                <w:color w:val="6B1B1B"/>
                <w:sz w:val="17"/>
              </w:rPr>
              <w:t>EXECUTE AND UPDATE — Do the work, then revise the plan</w:t>
            </w:r>
          </w:p>
          <w:p>
            <w:pPr>
              <w:spacing w:before="0" w:after="60"/>
            </w:pPr>
            <w:r>
              <w:rPr>
                <w:rFonts w:ascii="Calibri" w:hAnsi="Calibri"/>
                <w:b w:val="0"/>
                <w:i w:val="0"/>
                <w:color w:val="111111"/>
                <w:sz w:val="16"/>
              </w:rPr>
              <w:t>Engagement is not a checkbox — it is an ongoing activity. Log each significant engagement. Update the SEP at each phase gate, when stakeholder circumstances change, and whenever a stakeholder who was Inform or Monitor starts exhibiting Consult-level concerns.</w:t>
            </w:r>
          </w:p>
        </w:tc>
      </w:tr>
    </w:tbl>
    <w:p>
      <w:pPr>
        <w:spacing w:before="10" w:after="0"/>
      </w:pPr>
    </w:p>
    <w:p>
      <w:pPr>
        <w:spacing w:before="18" w:after="0"/>
      </w:pPr>
    </w:p>
    <w:p>
      <w:pPr>
        <w:spacing w:before="110" w:after="44"/>
        <w:pBdr>
          <w:bottom w:val="single" w:sz="8" w:space="1" w:color="2C3E6B"/>
        </w:pBdr>
      </w:pPr>
      <w:r>
        <w:rPr>
          <w:rFonts w:ascii="Calibri" w:hAnsi="Calibri"/>
          <w:b/>
          <w:i w:val="0"/>
          <w:color w:val="2C3E6B"/>
          <w:sz w:val="21"/>
        </w:rPr>
        <w:t>FOUR SEP FAILURES THAT CREATE PROBLEMS ON USACE PROJECTS</w:t>
      </w:r>
    </w:p>
    <w:p>
      <w:pPr>
        <w:spacing w:before="10" w:after="0"/>
      </w:pPr>
    </w:p>
    <w:tbl>
      <w:tblPr>
        <w:tblStyle w:val="TableGrid"/>
        <w:tblW w:type="auto" w:w="0"/>
        <w:tblLook w:firstColumn="1" w:firstRow="1" w:lastColumn="0" w:lastRow="0" w:noHBand="0" w:noVBand="1" w:val="04A0"/>
      </w:tblPr>
      <w:tblGrid>
        <w:gridCol w:w="480"/>
        <w:gridCol w:w="10320"/>
      </w:tblGrid>
      <w:tr>
        <w:tc>
          <w:tcPr>
            <w:tcW w:type="dxa" w:w="5040"/>
            <w:tcBorders>
              <w:top w:val="single" w:sz="4" w:space="0" w:color="DDDDDD"/>
              <w:bottom w:val="single" w:sz="4" w:space="0" w:color="DDDDDD"/>
              <w:left w:val="single" w:sz="4" w:space="0" w:color="DDDDDD"/>
              <w:right w:val="single" w:sz="4" w:space="0" w:color="DDDDDD"/>
            </w:tcBorders>
            <w:shd w:val="clear" w:color="auto" w:fill="6B1B1B"/>
            <w:vAlign w:val="center"/>
          </w:tcPr>
          <w:p>
            <w:pPr>
              <w:spacing w:before="60" w:after="60"/>
              <w:jc w:val="center"/>
            </w:pPr>
            <w:r>
              <w:rPr>
                <w:rFonts w:ascii="Cambria" w:hAnsi="Cambria"/>
                <w:b/>
                <w:i w:val="0"/>
                <w:color w:val="F5F2EB"/>
                <w:sz w:val="26"/>
              </w:rPr>
              <w:t>1</w:t>
            </w:r>
          </w:p>
        </w:tc>
        <w:tc>
          <w:tcPr>
            <w:tcW w:type="dxa" w:w="5040"/>
            <w:tcBorders>
              <w:top w:val="single" w:sz="4" w:space="0" w:color="DDDDDD"/>
              <w:bottom w:val="single" w:sz="4" w:space="0" w:color="DDDDDD"/>
              <w:left w:val="single" w:sz="4" w:space="0" w:color="DDDDDD"/>
              <w:right w:val="single" w:sz="4" w:space="0" w:color="DDDDDD"/>
            </w:tcBorders>
            <w:shd w:val="clear" w:color="auto" w:fill="F0F2F5"/>
          </w:tcPr>
          <w:p>
            <w:pPr>
              <w:spacing w:before="60" w:after="14"/>
            </w:pPr>
            <w:r>
              <w:rPr>
                <w:rFonts w:ascii="Calibri" w:hAnsi="Calibri"/>
                <w:b/>
                <w:i w:val="0"/>
                <w:color w:val="6B1B1B"/>
                <w:sz w:val="17"/>
              </w:rPr>
              <w:t>The sponsor is treated as a given, not a stakeholder</w:t>
            </w:r>
          </w:p>
          <w:p>
            <w:pPr>
              <w:spacing w:before="0" w:after="60"/>
            </w:pPr>
            <w:r>
              <w:rPr>
                <w:rFonts w:ascii="Calibri" w:hAnsi="Calibri"/>
                <w:b w:val="0"/>
                <w:i w:val="0"/>
                <w:color w:val="111111"/>
                <w:sz w:val="16"/>
              </w:rPr>
              <w:t>The sponsor signed the PPA or the DD 1391. That does not mean their expectations are understood. CF02 and CF03 in this course demonstrate exactly what happens when sponsor expectations are not surfaced, documented, and managed. Ask the three sponsor alignment questions. Write down the answers.</w:t>
            </w:r>
          </w:p>
        </w:tc>
      </w:tr>
    </w:tbl>
    <w:p>
      <w:pPr>
        <w:spacing w:before="10" w:after="0"/>
      </w:pPr>
    </w:p>
    <w:tbl>
      <w:tblPr>
        <w:tblStyle w:val="TableGrid"/>
        <w:tblW w:type="auto" w:w="0"/>
        <w:tblLook w:firstColumn="1" w:firstRow="1" w:lastColumn="0" w:lastRow="0" w:noHBand="0" w:noVBand="1" w:val="04A0"/>
      </w:tblPr>
      <w:tblGrid>
        <w:gridCol w:w="480"/>
        <w:gridCol w:w="10320"/>
      </w:tblGrid>
      <w:tr>
        <w:tc>
          <w:tcPr>
            <w:tcW w:type="dxa" w:w="5040"/>
            <w:tcBorders>
              <w:top w:val="single" w:sz="4" w:space="0" w:color="DDDDDD"/>
              <w:bottom w:val="single" w:sz="4" w:space="0" w:color="DDDDDD"/>
              <w:left w:val="single" w:sz="4" w:space="0" w:color="DDDDDD"/>
              <w:right w:val="single" w:sz="4" w:space="0" w:color="DDDDDD"/>
            </w:tcBorders>
            <w:shd w:val="clear" w:color="auto" w:fill="2C3E6B"/>
            <w:vAlign w:val="center"/>
          </w:tcPr>
          <w:p>
            <w:pPr>
              <w:spacing w:before="60" w:after="60"/>
              <w:jc w:val="center"/>
            </w:pPr>
            <w:r>
              <w:rPr>
                <w:rFonts w:ascii="Cambria" w:hAnsi="Cambria"/>
                <w:b/>
                <w:i w:val="0"/>
                <w:color w:val="F5F2EB"/>
                <w:sz w:val="26"/>
              </w:rPr>
              <w:t>2</w:t>
            </w:r>
          </w:p>
        </w:tc>
        <w:tc>
          <w:tcPr>
            <w:tcW w:type="dxa" w:w="5040"/>
            <w:tcBorders>
              <w:top w:val="single" w:sz="4" w:space="0" w:color="DDDDDD"/>
              <w:bottom w:val="single" w:sz="4" w:space="0" w:color="DDDDDD"/>
              <w:left w:val="single" w:sz="4" w:space="0" w:color="DDDDDD"/>
              <w:right w:val="single" w:sz="4" w:space="0" w:color="DDDDDD"/>
            </w:tcBorders>
            <w:shd w:val="clear" w:color="auto" w:fill="F0F2F5"/>
          </w:tcPr>
          <w:p>
            <w:pPr>
              <w:spacing w:before="60" w:after="14"/>
            </w:pPr>
            <w:r>
              <w:rPr>
                <w:rFonts w:ascii="Calibri" w:hAnsi="Calibri"/>
                <w:b/>
                <w:i w:val="0"/>
                <w:color w:val="2C3E6B"/>
                <w:sz w:val="17"/>
              </w:rPr>
              <w:t>Internal USACE stakeholders are assumed to be aligned</w:t>
            </w:r>
          </w:p>
          <w:p>
            <w:pPr>
              <w:spacing w:before="0" w:after="60"/>
            </w:pPr>
            <w:r>
              <w:rPr>
                <w:rFonts w:ascii="Calibri" w:hAnsi="Calibri"/>
                <w:b w:val="0"/>
                <w:i w:val="0"/>
                <w:color w:val="111111"/>
                <w:sz w:val="16"/>
              </w:rPr>
              <w:t>Engineering wants the best technical solution. Contracting wants the cleanest solicitation. Operations wants minimal disruption. Real Estate wants time to clear encumbrances. These are not the same priority as the PM's schedule. Internal stakeholder management is not optional.</w:t>
            </w:r>
          </w:p>
        </w:tc>
      </w:tr>
    </w:tbl>
    <w:p>
      <w:pPr>
        <w:spacing w:before="10" w:after="0"/>
      </w:pPr>
    </w:p>
    <w:tbl>
      <w:tblPr>
        <w:tblStyle w:val="TableGrid"/>
        <w:tblW w:type="auto" w:w="0"/>
        <w:tblLook w:firstColumn="1" w:firstRow="1" w:lastColumn="0" w:lastRow="0" w:noHBand="0" w:noVBand="1" w:val="04A0"/>
      </w:tblPr>
      <w:tblGrid>
        <w:gridCol w:w="480"/>
        <w:gridCol w:w="10320"/>
      </w:tblGrid>
      <w:tr>
        <w:tc>
          <w:tcPr>
            <w:tcW w:type="dxa" w:w="5040"/>
            <w:tcBorders>
              <w:top w:val="single" w:sz="4" w:space="0" w:color="DDDDDD"/>
              <w:bottom w:val="single" w:sz="4" w:space="0" w:color="DDDDDD"/>
              <w:left w:val="single" w:sz="4" w:space="0" w:color="DDDDDD"/>
              <w:right w:val="single" w:sz="4" w:space="0" w:color="DDDDDD"/>
            </w:tcBorders>
            <w:shd w:val="clear" w:color="auto" w:fill="1B5B6B"/>
            <w:vAlign w:val="center"/>
          </w:tcPr>
          <w:p>
            <w:pPr>
              <w:spacing w:before="60" w:after="60"/>
              <w:jc w:val="center"/>
            </w:pPr>
            <w:r>
              <w:rPr>
                <w:rFonts w:ascii="Cambria" w:hAnsi="Cambria"/>
                <w:b/>
                <w:i w:val="0"/>
                <w:color w:val="F5F2EB"/>
                <w:sz w:val="26"/>
              </w:rPr>
              <w:t>3</w:t>
            </w:r>
          </w:p>
        </w:tc>
        <w:tc>
          <w:tcPr>
            <w:tcW w:type="dxa" w:w="5040"/>
            <w:tcBorders>
              <w:top w:val="single" w:sz="4" w:space="0" w:color="DDDDDD"/>
              <w:bottom w:val="single" w:sz="4" w:space="0" w:color="DDDDDD"/>
              <w:left w:val="single" w:sz="4" w:space="0" w:color="DDDDDD"/>
              <w:right w:val="single" w:sz="4" w:space="0" w:color="DDDDDD"/>
            </w:tcBorders>
            <w:shd w:val="clear" w:color="auto" w:fill="F0F2F5"/>
          </w:tcPr>
          <w:p>
            <w:pPr>
              <w:spacing w:before="60" w:after="14"/>
            </w:pPr>
            <w:r>
              <w:rPr>
                <w:rFonts w:ascii="Calibri" w:hAnsi="Calibri"/>
                <w:b/>
                <w:i w:val="0"/>
                <w:color w:val="1B5B6B"/>
                <w:sz w:val="17"/>
              </w:rPr>
              <w:t>Regulatory agencies are treated as a permitting checklist, not relationships</w:t>
            </w:r>
          </w:p>
          <w:p>
            <w:pPr>
              <w:spacing w:before="0" w:after="60"/>
            </w:pPr>
            <w:r>
              <w:rPr>
                <w:rFonts w:ascii="Calibri" w:hAnsi="Calibri"/>
                <w:b w:val="0"/>
                <w:i w:val="0"/>
                <w:color w:val="111111"/>
                <w:sz w:val="16"/>
              </w:rPr>
              <w:t>A permit application is a transaction. A relationship with the reviewing agency is a risk mitigation strategy. Agencies that know and trust the USACE team process permits differently than agencies encountering the project for the first time at submission.</w:t>
            </w:r>
          </w:p>
        </w:tc>
      </w:tr>
    </w:tbl>
    <w:p>
      <w:pPr>
        <w:spacing w:before="10" w:after="0"/>
      </w:pPr>
    </w:p>
    <w:tbl>
      <w:tblPr>
        <w:tblStyle w:val="TableGrid"/>
        <w:tblW w:type="auto" w:w="0"/>
        <w:tblLook w:firstColumn="1" w:firstRow="1" w:lastColumn="0" w:lastRow="0" w:noHBand="0" w:noVBand="1" w:val="04A0"/>
      </w:tblPr>
      <w:tblGrid>
        <w:gridCol w:w="480"/>
        <w:gridCol w:w="10320"/>
      </w:tblGrid>
      <w:tr>
        <w:tc>
          <w:tcPr>
            <w:tcW w:type="dxa" w:w="5040"/>
            <w:tcBorders>
              <w:top w:val="single" w:sz="4" w:space="0" w:color="DDDDDD"/>
              <w:bottom w:val="single" w:sz="4" w:space="0" w:color="DDDDDD"/>
              <w:left w:val="single" w:sz="4" w:space="0" w:color="DDDDDD"/>
              <w:right w:val="single" w:sz="4" w:space="0" w:color="DDDDDD"/>
            </w:tcBorders>
            <w:shd w:val="clear" w:color="auto" w:fill="8B6914"/>
            <w:vAlign w:val="center"/>
          </w:tcPr>
          <w:p>
            <w:pPr>
              <w:spacing w:before="60" w:after="60"/>
              <w:jc w:val="center"/>
            </w:pPr>
            <w:r>
              <w:rPr>
                <w:rFonts w:ascii="Cambria" w:hAnsi="Cambria"/>
                <w:b/>
                <w:i w:val="0"/>
                <w:color w:val="F5F2EB"/>
                <w:sz w:val="26"/>
              </w:rPr>
              <w:t>4</w:t>
            </w:r>
          </w:p>
        </w:tc>
        <w:tc>
          <w:tcPr>
            <w:tcW w:type="dxa" w:w="5040"/>
            <w:tcBorders>
              <w:top w:val="single" w:sz="4" w:space="0" w:color="DDDDDD"/>
              <w:bottom w:val="single" w:sz="4" w:space="0" w:color="DDDDDD"/>
              <w:left w:val="single" w:sz="4" w:space="0" w:color="DDDDDD"/>
              <w:right w:val="single" w:sz="4" w:space="0" w:color="DDDDDD"/>
            </w:tcBorders>
            <w:shd w:val="clear" w:color="auto" w:fill="F0F2F5"/>
          </w:tcPr>
          <w:p>
            <w:pPr>
              <w:spacing w:before="60" w:after="14"/>
            </w:pPr>
            <w:r>
              <w:rPr>
                <w:rFonts w:ascii="Calibri" w:hAnsi="Calibri"/>
                <w:b/>
                <w:i w:val="0"/>
                <w:color w:val="8B6914"/>
                <w:sz w:val="17"/>
              </w:rPr>
              <w:t>The SEP is built once and filed</w:t>
            </w:r>
          </w:p>
          <w:p>
            <w:pPr>
              <w:spacing w:before="0" w:after="60"/>
            </w:pPr>
            <w:r>
              <w:rPr>
                <w:rFonts w:ascii="Calibri" w:hAnsi="Calibri"/>
                <w:b w:val="0"/>
                <w:i w:val="0"/>
                <w:color w:val="111111"/>
                <w:sz w:val="16"/>
              </w:rPr>
              <w:t>Stakeholder circumstances change. A supportive installation commander retires. A neutral community organization becomes engaged. A resistant functional chief gets a new boss. The SEP that was accurate at initiation is rarely accurate at execution. Update it at every phase gate.</w:t>
            </w:r>
          </w:p>
        </w:tc>
      </w:tr>
    </w:tbl>
    <w:p>
      <w:pPr>
        <w:spacing w:before="10" w:after="0"/>
      </w:pPr>
    </w:p>
    <w:p>
      <w:pPr>
        <w:spacing w:before="18" w:after="0"/>
      </w:pPr>
    </w:p>
    <w:tbl>
      <w:tblPr>
        <w:tblStyle w:val="TableGrid"/>
        <w:tblW w:type="auto" w:w="0"/>
        <w:tblLook w:firstColumn="1" w:firstRow="1" w:lastColumn="0" w:lastRow="0" w:noHBand="0" w:noVBand="1" w:val="04A0"/>
      </w:tblPr>
      <w:tblGrid>
        <w:gridCol w:w="10080"/>
      </w:tblGrid>
      <w:tr>
        <w:tc>
          <w:tcPr>
            <w:tcW w:type="dxa" w:w="10080"/>
            <w:shd w:val="clear" w:color="auto" w:fill="FDF6E3"/>
            <w:tcBorders>
              <w:top w:val="single" w:sz="6" w:space="0" w:color="8B6914"/>
              <w:bottom w:val="single" w:sz="6" w:space="0" w:color="8B6914"/>
              <w:left w:val="single" w:sz="6" w:space="0" w:color="8B6914"/>
              <w:right w:val="single" w:sz="6" w:space="0" w:color="8B6914"/>
            </w:tcBorders>
          </w:tcPr>
          <w:p>
            <w:pPr>
              <w:spacing w:before="70" w:after="70"/>
            </w:pPr>
            <w:r>
              <w:rPr>
                <w:rFonts w:ascii="Calibri" w:hAnsi="Calibri"/>
                <w:b/>
                <w:i w:val="0"/>
                <w:color w:val="8B6914"/>
                <w:sz w:val="16"/>
              </w:rPr>
              <w:t xml:space="preserve">THE PM'S STAKEHOLDER RULE  </w:t>
            </w:r>
            <w:r>
              <w:rPr>
                <w:rFonts w:ascii="Calibri" w:hAnsi="Calibri"/>
                <w:b w:val="0"/>
                <w:i/>
                <w:color w:val="111111"/>
                <w:sz w:val="16"/>
              </w:rPr>
              <w:t>A stakeholder relationship that is not actively managed will manage itself — usually at the worst possible moment.</w:t>
            </w:r>
          </w:p>
        </w:tc>
      </w:tr>
    </w:tbl>
    <w:p>
      <w:pPr>
        <w:spacing w:before="24" w:after="0"/>
      </w:pPr>
    </w:p>
    <w:p>
      <w:pPr>
        <w:spacing w:before="0" w:after="0"/>
        <w:jc w:val="center"/>
      </w:pPr>
      <w:r>
        <w:rPr>
          <w:rFonts w:ascii="Calibri" w:hAnsi="Calibri"/>
          <w:b w:val="0"/>
          <w:i/>
          <w:color w:val="6B7280"/>
          <w:sz w:val="13"/>
        </w:rPr>
        <w:t>USACE KMP-PPM  |  Stakeholder Engagement Plan Guide  |  Reference: PROC2020 / EM 5-1-11  |  For Official Training Use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