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val="clear" w:color="auto" w:fill="2C3E6B"/>
            <w:tcBorders>
              <w:top w:val="single" w:sz="8" w:space="0" w:color="8B6914"/>
              <w:bottom w:val="single" w:sz="8" w:space="0" w:color="8B6914"/>
              <w:left w:val="single" w:sz="8" w:space="0" w:color="8B6914"/>
              <w:right w:val="single" w:sz="8" w:space="0" w:color="8B6914"/>
            </w:tcBorders>
          </w:tcPr>
          <w:p>
            <w:pPr>
              <w:spacing w:before="60" w:after="8"/>
            </w:pPr>
            <w:r>
              <w:rPr>
                <w:rFonts w:ascii="Calibri" w:hAnsi="Calibri"/>
                <w:b/>
                <w:i w:val="0"/>
                <w:color w:val="C49A2A"/>
                <w:sz w:val="16"/>
              </w:rPr>
              <w:t xml:space="preserve">SAMPLE SEP — PUBLIC VERSION  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F5F2EB"/>
                <w:sz w:val="14"/>
              </w:rPr>
              <w:t>Engagement plan without stance or influence assessments. Suitable for sharing with stakeholders or filing in accessible project records. See the Sensitive Annex (held separately) for full stakeholder analysis.</w:t>
            </w:r>
          </w:p>
        </w:tc>
      </w:tr>
    </w:tbl>
    <w:p>
      <w:pPr>
        <w:spacing w:before="18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val="clear" w:color="auto" w:fill="1A1A2E"/>
            <w:tcBorders>
              <w:top w:val="single" w:sz="4" w:space="0" w:color="1A1A2E"/>
              <w:bottom w:val="single" w:sz="4" w:space="0" w:color="1A1A2E"/>
              <w:left w:val="single" w:sz="4" w:space="0" w:color="1A1A2E"/>
              <w:right w:val="single" w:sz="4" w:space="0" w:color="1A1A2E"/>
            </w:tcBorders>
          </w:tcPr>
          <w:p>
            <w:pPr>
              <w:spacing w:before="90" w:after="8"/>
            </w:pPr>
            <w:r>
              <w:rPr>
                <w:rFonts w:ascii="Calibri" w:hAnsi="Calibri"/>
                <w:b/>
                <w:i w:val="0"/>
                <w:color w:val="F5F2EB"/>
                <w:sz w:val="24"/>
              </w:rPr>
              <w:t>STAKEHOLDER ENGAGEMENT PLAN — ENGAGEMENT REGISTER</w:t>
            </w:r>
          </w:p>
          <w:p>
            <w:pPr>
              <w:spacing w:before="0" w:after="8"/>
            </w:pPr>
            <w:r>
              <w:rPr>
                <w:rFonts w:ascii="Calibri" w:hAnsi="Calibri"/>
                <w:b w:val="0"/>
                <w:i/>
                <w:color w:val="C49A2A"/>
                <w:sz w:val="15"/>
              </w:rPr>
              <w:t>Building 4521 Renovation  |  Fort Beaumont Military Installation  |  PUBLIC VERSION</w:t>
            </w:r>
          </w:p>
          <w:p>
            <w:pPr>
              <w:spacing w:before="0" w:after="90"/>
            </w:pPr>
            <w:r>
              <w:rPr>
                <w:rFonts w:ascii="Calibri" w:hAnsi="Calibri"/>
                <w:b w:val="0"/>
                <w:i w:val="0"/>
                <w:color w:val="6B7280"/>
                <w:sz w:val="13"/>
              </w:rPr>
              <w:t>P2-123456  |  PM: Project Manager, Military Programs Branch  |  Phase: Initiation  |  Effective: 15 January 2026</w:t>
            </w:r>
          </w:p>
        </w:tc>
      </w:tr>
    </w:tbl>
    <w:p>
      <w:pPr>
        <w:spacing w:before="20" w:after="0"/>
      </w:pPr>
    </w:p>
    <w:p>
      <w:pPr>
        <w:spacing w:before="40" w:after="40"/>
        <w:pBdr>
          <w:bottom w:val="single" w:sz="8" w:space="1" w:color="2C3E6B"/>
        </w:pBdr>
      </w:pPr>
      <w:r>
        <w:rPr>
          <w:rFonts w:ascii="Calibri" w:hAnsi="Calibri"/>
          <w:b/>
          <w:i w:val="0"/>
          <w:color w:val="2C3E6B"/>
          <w:sz w:val="19"/>
        </w:rPr>
        <w:t>STAKEHOLDER ENGAGEMENT REGISTER</w:t>
      </w:r>
    </w:p>
    <w:p>
      <w:pPr>
        <w:spacing w:before="6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2000"/>
        <w:gridCol w:w="2800"/>
        <w:gridCol w:w="1100"/>
        <w:gridCol w:w="2200"/>
        <w:gridCol w:w="1100"/>
        <w:gridCol w:w="1600"/>
        <w:gridCol w:w="3600"/>
      </w:tblGrid>
      <w:tr>
        <w:tc>
          <w:tcPr>
            <w:tcW w:type="dxa" w:w="1200"/>
            <w:shd w:val="clear" w:color="auto" w:fill="1A1A2E"/>
          </w:tcPr>
          <w:p>
            <w:pPr>
              <w:spacing w:before="46" w:after="46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Code</w:t>
            </w:r>
          </w:p>
        </w:tc>
        <w:tc>
          <w:tcPr>
            <w:tcW w:type="dxa" w:w="2000"/>
            <w:shd w:val="clear" w:color="auto" w:fill="1A1A2E"/>
          </w:tcPr>
          <w:p>
            <w:pPr>
              <w:spacing w:before="46" w:after="46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Category</w:t>
            </w:r>
          </w:p>
        </w:tc>
        <w:tc>
          <w:tcPr>
            <w:tcW w:type="dxa" w:w="2800"/>
            <w:shd w:val="clear" w:color="auto" w:fill="1A1A2E"/>
          </w:tcPr>
          <w:p>
            <w:pPr>
              <w:spacing w:before="46" w:after="46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Role / Stakeholder Group</w:t>
            </w:r>
          </w:p>
        </w:tc>
        <w:tc>
          <w:tcPr>
            <w:tcW w:type="dxa" w:w="1100"/>
            <w:shd w:val="clear" w:color="auto" w:fill="1A1A2E"/>
          </w:tcPr>
          <w:p>
            <w:pPr>
              <w:spacing w:before="46" w:after="46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Strategy</w:t>
            </w:r>
          </w:p>
        </w:tc>
        <w:tc>
          <w:tcPr>
            <w:tcW w:type="dxa" w:w="2200"/>
            <w:shd w:val="clear" w:color="auto" w:fill="1A1A2E"/>
          </w:tcPr>
          <w:p>
            <w:pPr>
              <w:spacing w:before="46" w:after="46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Engagement Method</w:t>
            </w:r>
          </w:p>
        </w:tc>
        <w:tc>
          <w:tcPr>
            <w:tcW w:type="dxa" w:w="1100"/>
            <w:shd w:val="clear" w:color="auto" w:fill="1A1A2E"/>
          </w:tcPr>
          <w:p>
            <w:pPr>
              <w:spacing w:before="46" w:after="46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Frequency</w:t>
            </w:r>
          </w:p>
        </w:tc>
        <w:tc>
          <w:tcPr>
            <w:tcW w:type="dxa" w:w="1600"/>
            <w:shd w:val="clear" w:color="auto" w:fill="1A1A2E"/>
          </w:tcPr>
          <w:p>
            <w:pPr>
              <w:spacing w:before="46" w:after="46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USACE POC</w:t>
            </w:r>
          </w:p>
        </w:tc>
        <w:tc>
          <w:tcPr>
            <w:tcW w:type="dxa" w:w="3600"/>
            <w:shd w:val="clear" w:color="auto" w:fill="1A1A2E"/>
          </w:tcPr>
          <w:p>
            <w:pPr>
              <w:spacing w:before="46" w:after="46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Key Message / Approach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S-01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3E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Internal USACE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Deputy Program Manager (DPM)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1B6B3A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Col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Direct — weekly check-in; monthly written status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Weekly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PM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Data-first communication. Surface bad news early. Never surprise. Responds well to structured status.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S-02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3E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Internal USACE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District Commander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1B5B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I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Monthly status through DPM; briefed at major milestones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Monthly via DPM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DPM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On schedule, on budget, no surprises. Brief at milestones only — not day-to-day.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S-03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3E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Internal USACE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FC — Civil / Structural Engineering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3E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C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Bi-weekly PDT meeting; direct coordination on design issues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Bi-weekly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PM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Schedule is the constraint. Needs advance notice of any scope changes affecting structural drawings.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S-04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3E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Internal USACE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Contracting Officer (KO)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3E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C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Pre-award: weekly. Post-award: as needed; all mods through KO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Pre-award: weekly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PM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PM identifies and documents; KO acts. Do not route around KO — it creates liability.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S-05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3E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Internal USACE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Real Estate Specialist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3E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C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Monthly until access confirmed; as-needed thereafter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Monthly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PM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Long queue — engage early. Identify access or easement issues before construction award.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S-06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3E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Internal USACE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Resource Management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1B5B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I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Monthly financial report; notifications at obligation milestones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Monthly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PM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Keep obligation forecasts current. RM flags projects behind obligation targets.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S-07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3E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Internal USACE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HQ Program Office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6B7280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M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Triggered only if scope/cost change triggers HQ notification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As triggered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DPM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Not triggered at current scope. Monitor for scope changes crossing threshold. DPM manages HQ relationship.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S-08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5282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Project Sponsor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Primary Sponsor POC — DPW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1B6B3A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Col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Monthly briefing (PM leads); direct access for urgent issues; written confirmation of scope decisions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Monthly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PM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Three alignment questions answered and documented. Definition of done may differ from scope statement. Verify at design milestones.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S-09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5282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Project Sponsor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Installation Commander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1B5B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I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Briefed at major milestones; not day-to-day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Milestone-based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DPM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Protect occupancy date (01 March 2027). If schedule is at risk, brief before it becomes a public issue.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S-10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5282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Project Sponsor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End Users — Building Occupants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3E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C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Pre-design workshop; design review at 35% and 65%; occupancy coordination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At design milestones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PM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End users often have expectations not in the DD 1391. Surface them at the pre-design workshop. Document in writing.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S-11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5282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Project Sponsor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IMCOM / Installation Management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1B5B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I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Quarterly coordination; notifications for access restrictions or construction impacts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Quarterly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PM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Keep aware of construction schedule and access impacts. Surprises here escalate to installation commander level.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S-12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1B6B3A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Contractor / A-E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A-E Firm (prime)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3E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C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Weekly design progress meetings (pre-award); review at 35%, 65%, 95%; RFI response tracking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Weekly pre-award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PM / FC Civil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A-E schedule is on the critical path. Track deliverables weekly. RFI response time is a PM responsibility.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S-13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1B6B3A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Contractor / A-E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Construction Contractor (post-award)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3E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C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Weekly construction progress meeting; monthly EVM report; daily COR contact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Weekly post-award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PM / QA Rep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Establish relationship before the first problem. CF07 shows what happens when the PM is reactive. Stay ahead of data.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S-14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1B6B3A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Contractor / A-E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Small Business Office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1B5B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I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Pre-award coordination; semi-annual subcontracting report review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Semi-annual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KO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SB goals are a contracting requirement — KO leads. PM monitors for issues affecting contractor performance.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S-15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1B5B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Regulatory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State Historic Preservation Office (SHPO)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3E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C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Pre-submission coordination; formal Section 106 submission; response tracking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Per process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Env. Spec.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Do not submit Section 106 without pre-coordination. Pre-submission inquiry complete — no adverse finding expected but formal response required.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S-16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1B5B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Regulatory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EPA (Region 6)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6B7280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M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Triggered only if environmental clearance findings change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As triggered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Env. Spec.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Phase I ESA complete — no remediation required. Monitor for subsurface discoveries during construction.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S-17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1B5B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Regulatory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Installation Safety Office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3E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C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Pre-construction safety plan review; quarterly site visit coordination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Pre-construction + quarterly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Safety Officer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Safety plan submitted 30 days before construction start. Engage proactively — partner, not inspector.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S-18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1B5B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Regulatory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Utility Companies (3)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3E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C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Pre-construction utility coordination meeting; outage scheduling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Pre-construction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PM / A-E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Three utility crossings identified. Outage coordination must be scheduled 90 days in advance per utility agreements.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S-19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8B6914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Community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Adjacent Unit Commanders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1B5B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I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Construction schedule notifications; access restriction alerts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At construction milestones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PM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Service road shared with two adjacent units. Notify before road closures. Keep communication brief and operational.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S-20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8B6914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Community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Tribal Government (one identified)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2C3E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C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Section 106 tribal consultation letter sent; response tracking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Per Section 106 process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Env. Spec.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Tribe notified per Section 106 requirements. No response received — send follow-up at 30 days. Do not proceed without documented consultation.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S-21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4B0082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Congressional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Congressional Representative (District)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1B5B6B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I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Standard congressional notifications per MILCON thresholds; no direct PM engagement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Per MILCON requirements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DPM / PAO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5F2EB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Congressional notifications handled through DPM and District PAO. PM does not engage congressional staff directly.</w:t>
            </w:r>
          </w:p>
        </w:tc>
      </w:tr>
      <w:tr>
        <w:tc>
          <w:tcPr>
            <w:tcW w:type="dxa" w:w="1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2C3E6B"/>
                <w:sz w:val="13"/>
              </w:rPr>
              <w:t>S-22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4B0082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2"/>
              </w:rPr>
              <w:t>Congressional</w:t>
            </w:r>
          </w:p>
        </w:tc>
        <w:tc>
          <w:tcPr>
            <w:tcW w:type="dxa" w:w="2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Armed Services Committee Staff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6B7280"/>
          </w:tcPr>
          <w:p>
            <w:pPr>
              <w:spacing w:before="44" w:after="44"/>
            </w:pPr>
            <w:r>
              <w:rPr>
                <w:rFonts w:ascii="Calibri" w:hAnsi="Calibri"/>
                <w:b/>
                <w:i w:val="0"/>
                <w:color w:val="F5F2EB"/>
                <w:sz w:val="13"/>
              </w:rPr>
              <w:t>M</w:t>
            </w:r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Standard threshold notifications only</w:t>
            </w:r>
          </w:p>
        </w:tc>
        <w:tc>
          <w:tcPr>
            <w:tcW w:type="dxa" w:w="11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Per threshold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DPM</w:t>
            </w:r>
          </w:p>
        </w:tc>
        <w:tc>
          <w:tcPr>
            <w:tcW w:type="dxa" w:w="3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top"/>
            <w:shd w:val="clear" w:color="auto" w:fill="F0F2F5"/>
          </w:tcPr>
          <w:p>
            <w:pPr>
              <w:spacing w:before="44" w:after="44"/>
            </w:pPr>
            <w:r>
              <w:rPr>
                <w:rFonts w:ascii="Calibri" w:hAnsi="Calibri"/>
                <w:b w:val="0"/>
                <w:i w:val="0"/>
                <w:color w:val="111111"/>
                <w:sz w:val="13"/>
              </w:rPr>
              <w:t>No committee-level engagement required at current scope. Monitor for scope changes triggering additional notifications.</w:t>
            </w:r>
          </w:p>
        </w:tc>
      </w:tr>
    </w:tbl>
    <w:p>
      <w:pPr>
        <w:spacing w:before="20" w:after="0"/>
      </w:pP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6B7280"/>
          <w:sz w:val="12"/>
        </w:rPr>
        <w:t>SAMPLE SEP — PUBLIC VERSION  |  For Official Training Use  |  USACE KMP-PPM  |  Reference: PROC2020 / EM 5-1-11</w:t>
      </w:r>
    </w:p>
    <w:sectPr w:rsidR="00FC693F" w:rsidRPr="0006063C" w:rsidSect="00034616">
      <w:pgSz w:w="15840" w:h="122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