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3968"/>
      </w:tblGrid>
      <w:tr>
        <w:tc>
          <w:tcPr>
            <w:tcW w:type="dxa" w:w="13968"/>
            <w:shd w:val="clear" w:color="auto" w:fill="6B1B1B"/>
            <w:tcBorders>
              <w:top w:val="single" w:sz="8" w:space="0" w:color="8B6914"/>
              <w:bottom w:val="single" w:sz="8" w:space="0" w:color="8B6914"/>
              <w:left w:val="single" w:sz="8" w:space="0" w:color="8B6914"/>
              <w:right w:val="single" w:sz="8" w:space="0" w:color="8B6914"/>
            </w:tcBorders>
          </w:tcPr>
          <w:p>
            <w:pPr>
              <w:spacing w:before="60" w:after="8"/>
            </w:pPr>
            <w:r>
              <w:rPr>
                <w:rFonts w:ascii="Calibri" w:hAnsi="Calibri"/>
                <w:b/>
                <w:i w:val="0"/>
                <w:color w:val="F5F2EB"/>
                <w:sz w:val="16"/>
              </w:rPr>
              <w:t xml:space="preserve">SENSITIVE ANNEX — NOT FOR GENERAL DISTRIBUTION  </w:t>
            </w:r>
          </w:p>
          <w:p>
            <w:pPr>
              <w:spacing w:before="0" w:after="60"/>
            </w:pPr>
            <w:r>
              <w:rPr>
                <w:rFonts w:ascii="Calibri" w:hAnsi="Calibri"/>
                <w:b w:val="0"/>
                <w:i w:val="0"/>
                <w:color w:val="F5F2EB"/>
                <w:sz w:val="14"/>
              </w:rPr>
              <w:t>Contains stakeholder influence and stance assessments. Held separately from the public engagement register. Access restricted to PM and DPM. Do not attach to project record or share with stakeholders. Identities mapped to codes in the PM's Code Key (held by PM only).</w:t>
            </w:r>
          </w:p>
        </w:tc>
      </w:tr>
    </w:tbl>
    <w:p>
      <w:pPr>
        <w:spacing w:before="18" w:after="0"/>
      </w:pPr>
    </w:p>
    <w:tbl>
      <w:tblPr>
        <w:tblStyle w:val="TableGrid"/>
        <w:tblW w:type="auto" w:w="0"/>
        <w:tblLook w:firstColumn="1" w:firstRow="1" w:lastColumn="0" w:lastRow="0" w:noHBand="0" w:noVBand="1" w:val="04A0"/>
      </w:tblPr>
      <w:tblGrid>
        <w:gridCol w:w="13968"/>
      </w:tblGrid>
      <w:tr>
        <w:tc>
          <w:tcPr>
            <w:tcW w:type="dxa" w:w="13968"/>
            <w:shd w:val="clear" w:color="auto" w:fill="1A1A2E"/>
            <w:tcBorders>
              <w:top w:val="single" w:sz="4" w:space="0" w:color="1A1A2E"/>
              <w:bottom w:val="single" w:sz="4" w:space="0" w:color="1A1A2E"/>
              <w:left w:val="single" w:sz="4" w:space="0" w:color="1A1A2E"/>
              <w:right w:val="single" w:sz="4" w:space="0" w:color="1A1A2E"/>
            </w:tcBorders>
          </w:tcPr>
          <w:p>
            <w:pPr>
              <w:spacing w:before="90" w:after="8"/>
            </w:pPr>
            <w:r>
              <w:rPr>
                <w:rFonts w:ascii="Calibri" w:hAnsi="Calibri"/>
                <w:b/>
                <w:i w:val="0"/>
                <w:color w:val="F5F2EB"/>
                <w:sz w:val="24"/>
              </w:rPr>
              <w:t>STAKEHOLDER ENGAGEMENT PLAN — SENSITIVE ANNEX</w:t>
            </w:r>
          </w:p>
          <w:p>
            <w:pPr>
              <w:spacing w:before="0" w:after="8"/>
            </w:pPr>
            <w:r>
              <w:rPr>
                <w:rFonts w:ascii="Calibri" w:hAnsi="Calibri"/>
                <w:b w:val="0"/>
                <w:i/>
                <w:color w:val="C49A2A"/>
                <w:sz w:val="15"/>
              </w:rPr>
              <w:t>Building 4521 Renovation  |  Fort Beaumont Military Installation  |  SENSITIVE — PM/DPM ONLY</w:t>
            </w:r>
          </w:p>
          <w:p>
            <w:pPr>
              <w:spacing w:before="0" w:after="90"/>
            </w:pPr>
            <w:r>
              <w:rPr>
                <w:rFonts w:ascii="Calibri" w:hAnsi="Calibri"/>
                <w:b w:val="0"/>
                <w:i w:val="0"/>
                <w:color w:val="6B7280"/>
                <w:sz w:val="13"/>
              </w:rPr>
              <w:t>P2-123456  |  Codes only — no names. Code Key held separately by PM.</w:t>
            </w:r>
          </w:p>
        </w:tc>
      </w:tr>
    </w:tbl>
    <w:p>
      <w:pPr>
        <w:spacing w:before="20" w:after="0"/>
      </w:pPr>
    </w:p>
    <w:p>
      <w:pPr>
        <w:spacing w:before="40" w:after="40"/>
        <w:pBdr>
          <w:bottom w:val="single" w:sz="8" w:space="1" w:color="2C3E6B"/>
        </w:pBdr>
      </w:pPr>
      <w:r>
        <w:rPr>
          <w:rFonts w:ascii="Calibri" w:hAnsi="Calibri"/>
          <w:b/>
          <w:i w:val="0"/>
          <w:color w:val="2C3E6B"/>
          <w:sz w:val="19"/>
        </w:rPr>
        <w:t>FULL STAKEHOLDER ASSESSMENT REGISTER — CODED</w:t>
      </w:r>
    </w:p>
    <w:p>
      <w:pPr>
        <w:spacing w:before="6" w:after="0"/>
      </w:pPr>
    </w:p>
    <w:tbl>
      <w:tblPr>
        <w:tblStyle w:val="TableGrid"/>
        <w:tblW w:type="auto" w:w="0"/>
        <w:tblLook w:firstColumn="1" w:firstRow="1" w:lastColumn="0" w:lastRow="0" w:noHBand="0" w:noVBand="1" w:val="04A0"/>
      </w:tblPr>
      <w:tblGrid>
        <w:gridCol w:w="1100"/>
        <w:gridCol w:w="1800"/>
        <w:gridCol w:w="2000"/>
        <w:gridCol w:w="1000"/>
        <w:gridCol w:w="1100"/>
        <w:gridCol w:w="1100"/>
        <w:gridCol w:w="1800"/>
        <w:gridCol w:w="1100"/>
        <w:gridCol w:w="1500"/>
        <w:gridCol w:w="3100"/>
      </w:tblGrid>
      <w:tr>
        <w:tc>
          <w:tcPr>
            <w:tcW w:type="dxa" w:w="1100"/>
            <w:shd w:val="clear" w:color="auto" w:fill="1A1A2E"/>
          </w:tcPr>
          <w:p>
            <w:pPr>
              <w:spacing w:before="46" w:after="46"/>
            </w:pPr>
            <w:r>
              <w:rPr>
                <w:rFonts w:ascii="Calibri" w:hAnsi="Calibri"/>
                <w:b/>
                <w:i w:val="0"/>
                <w:color w:val="F5F2EB"/>
                <w:sz w:val="13"/>
              </w:rPr>
              <w:t>Code</w:t>
            </w:r>
          </w:p>
        </w:tc>
        <w:tc>
          <w:tcPr>
            <w:tcW w:type="dxa" w:w="1800"/>
            <w:shd w:val="clear" w:color="auto" w:fill="1A1A2E"/>
          </w:tcPr>
          <w:p>
            <w:pPr>
              <w:spacing w:before="46" w:after="46"/>
            </w:pPr>
            <w:r>
              <w:rPr>
                <w:rFonts w:ascii="Calibri" w:hAnsi="Calibri"/>
                <w:b/>
                <w:i w:val="0"/>
                <w:color w:val="F5F2EB"/>
                <w:sz w:val="13"/>
              </w:rPr>
              <w:t>Category</w:t>
            </w:r>
          </w:p>
        </w:tc>
        <w:tc>
          <w:tcPr>
            <w:tcW w:type="dxa" w:w="2000"/>
            <w:shd w:val="clear" w:color="auto" w:fill="1A1A2E"/>
          </w:tcPr>
          <w:p>
            <w:pPr>
              <w:spacing w:before="46" w:after="46"/>
            </w:pPr>
            <w:r>
              <w:rPr>
                <w:rFonts w:ascii="Calibri" w:hAnsi="Calibri"/>
                <w:b/>
                <w:i w:val="0"/>
                <w:color w:val="F5F2EB"/>
                <w:sz w:val="13"/>
              </w:rPr>
              <w:t>Interest / Stake</w:t>
            </w:r>
          </w:p>
        </w:tc>
        <w:tc>
          <w:tcPr>
            <w:tcW w:type="dxa" w:w="1000"/>
            <w:shd w:val="clear" w:color="auto" w:fill="1A1A2E"/>
          </w:tcPr>
          <w:p>
            <w:pPr>
              <w:spacing w:before="46" w:after="46"/>
            </w:pPr>
            <w:r>
              <w:rPr>
                <w:rFonts w:ascii="Calibri" w:hAnsi="Calibri"/>
                <w:b/>
                <w:i w:val="0"/>
                <w:color w:val="F5F2EB"/>
                <w:sz w:val="13"/>
              </w:rPr>
              <w:t>Influence</w:t>
            </w:r>
          </w:p>
        </w:tc>
        <w:tc>
          <w:tcPr>
            <w:tcW w:type="dxa" w:w="1100"/>
            <w:shd w:val="clear" w:color="auto" w:fill="1A1A2E"/>
          </w:tcPr>
          <w:p>
            <w:pPr>
              <w:spacing w:before="46" w:after="46"/>
            </w:pPr>
            <w:r>
              <w:rPr>
                <w:rFonts w:ascii="Calibri" w:hAnsi="Calibri"/>
                <w:b/>
                <w:i w:val="0"/>
                <w:color w:val="F5F2EB"/>
                <w:sz w:val="13"/>
              </w:rPr>
              <w:t>Current Stance</w:t>
            </w:r>
          </w:p>
        </w:tc>
        <w:tc>
          <w:tcPr>
            <w:tcW w:type="dxa" w:w="1100"/>
            <w:shd w:val="clear" w:color="auto" w:fill="1A1A2E"/>
          </w:tcPr>
          <w:p>
            <w:pPr>
              <w:spacing w:before="46" w:after="46"/>
            </w:pPr>
            <w:r>
              <w:rPr>
                <w:rFonts w:ascii="Calibri" w:hAnsi="Calibri"/>
                <w:b/>
                <w:i w:val="0"/>
                <w:color w:val="F5F2EB"/>
                <w:sz w:val="13"/>
              </w:rPr>
              <w:t>Strategy</w:t>
            </w:r>
          </w:p>
        </w:tc>
        <w:tc>
          <w:tcPr>
            <w:tcW w:type="dxa" w:w="1800"/>
            <w:shd w:val="clear" w:color="auto" w:fill="1A1A2E"/>
          </w:tcPr>
          <w:p>
            <w:pPr>
              <w:spacing w:before="46" w:after="46"/>
            </w:pPr>
            <w:r>
              <w:rPr>
                <w:rFonts w:ascii="Calibri" w:hAnsi="Calibri"/>
                <w:b/>
                <w:i w:val="0"/>
                <w:color w:val="F5F2EB"/>
                <w:sz w:val="13"/>
              </w:rPr>
              <w:t>Engagement Method</w:t>
            </w:r>
          </w:p>
        </w:tc>
        <w:tc>
          <w:tcPr>
            <w:tcW w:type="dxa" w:w="1100"/>
            <w:shd w:val="clear" w:color="auto" w:fill="1A1A2E"/>
          </w:tcPr>
          <w:p>
            <w:pPr>
              <w:spacing w:before="46" w:after="46"/>
            </w:pPr>
            <w:r>
              <w:rPr>
                <w:rFonts w:ascii="Calibri" w:hAnsi="Calibri"/>
                <w:b/>
                <w:i w:val="0"/>
                <w:color w:val="F5F2EB"/>
                <w:sz w:val="13"/>
              </w:rPr>
              <w:t>Frequency</w:t>
            </w:r>
          </w:p>
        </w:tc>
        <w:tc>
          <w:tcPr>
            <w:tcW w:type="dxa" w:w="1500"/>
            <w:shd w:val="clear" w:color="auto" w:fill="1A1A2E"/>
          </w:tcPr>
          <w:p>
            <w:pPr>
              <w:spacing w:before="46" w:after="46"/>
            </w:pPr>
            <w:r>
              <w:rPr>
                <w:rFonts w:ascii="Calibri" w:hAnsi="Calibri"/>
                <w:b/>
                <w:i w:val="0"/>
                <w:color w:val="F5F2EB"/>
                <w:sz w:val="13"/>
              </w:rPr>
              <w:t>USACE POC</w:t>
            </w:r>
          </w:p>
        </w:tc>
        <w:tc>
          <w:tcPr>
            <w:tcW w:type="dxa" w:w="3100"/>
            <w:shd w:val="clear" w:color="auto" w:fill="1A1A2E"/>
          </w:tcPr>
          <w:p>
            <w:pPr>
              <w:spacing w:before="46" w:after="46"/>
            </w:pPr>
            <w:r>
              <w:rPr>
                <w:rFonts w:ascii="Calibri" w:hAnsi="Calibri"/>
                <w:b/>
                <w:i w:val="0"/>
                <w:color w:val="F5F2EB"/>
                <w:sz w:val="13"/>
              </w:rPr>
              <w:t>Watch For / Risk Notes</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S-01</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2"/>
              </w:rPr>
              <w:t>Internal USACE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Portfolio oversight; escalation authority; signs off on scope/cost changes above PM threshold</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6B3A"/>
          </w:tcPr>
          <w:p>
            <w:pPr>
              <w:spacing w:before="44" w:after="44"/>
            </w:pPr>
            <w:r>
              <w:rPr>
                <w:rFonts w:ascii="Calibri" w:hAnsi="Calibri"/>
                <w:b/>
                <w:i w:val="0"/>
                <w:color w:val="F5F2EB"/>
                <w:sz w:val="13"/>
              </w:rPr>
              <w:t>Col</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Direct — weekly check-in; monthly written status</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Weekly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Data-first communication. Surface bad news early. Never surprise. Responds well to structured status.</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S-02</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2"/>
              </w:rPr>
              <w:t>Internal USACE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Visible project; reputational interest in on-time delivery</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3"/>
              </w:rPr>
              <w:t>I</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Monthly status through DPM; briefed at major milestones</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Monthly via DPM</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DPM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On schedule, on budget, no surprises. Brief at milestones only — not day-to-day.</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S-03</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2"/>
              </w:rPr>
              <w:t>Internal USACE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Design authority for structural scope; schedule dependency for construction award</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Bi-weekly PDT meeting; direct coordination on design issues</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Bi-weekly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Schedule is the constraint. Needs advance notice of any scope changes affecting structural drawings.</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S-04</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2"/>
              </w:rPr>
              <w:t>Internal USACE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Contract award and modification authority; independent of PM on contracting decisions</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Pre-award: weekly. Post-award: as needed; all mods through KO</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Pre-award: weekly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PM identifies and documents; KO acts. Do not route around KO — it creates liability.</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S-05</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2"/>
              </w:rPr>
              <w:t>Internal USACE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Easements and access rights; potential schedule impact if not cleared early</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Monthly until access confirmed; as-needed thereafter</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Monthly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Long queue — engage early. Identify access or easement issues before construction award.</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S-06</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2"/>
              </w:rPr>
              <w:t>Internal USACE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Budget execution, obligation tracking, financial reporting</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3"/>
              </w:rPr>
              <w:t>I</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Monthly financial report; notifications at obligation milestones</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Monthly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Keep obligation forecasts current. RM flags projects behind obligation targets.</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S-07</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2"/>
              </w:rPr>
              <w:t>Internal USACE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Oversight for projects above division review thresholds; not engaged unless triggered</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6B7280"/>
                <w:sz w:val="13"/>
              </w:rPr>
              <w:t>Low</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6B7280"/>
          </w:tcPr>
          <w:p>
            <w:pPr>
              <w:spacing w:before="44" w:after="44"/>
            </w:pPr>
            <w:r>
              <w:rPr>
                <w:rFonts w:ascii="Calibri" w:hAnsi="Calibri"/>
                <w:b/>
                <w:i w:val="0"/>
                <w:color w:val="F5F2EB"/>
                <w:sz w:val="13"/>
              </w:rPr>
              <w:t>M</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Triggered only if scope/cost change triggers HQ notification</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As triggered</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DPM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Not triggered at current scope. Monitor for scope changes crossing threshold. DPM manages HQ relationship.</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S-08</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5282"/>
          </w:tcPr>
          <w:p>
            <w:pPr>
              <w:spacing w:before="44" w:after="44"/>
            </w:pPr>
            <w:r>
              <w:rPr>
                <w:rFonts w:ascii="Calibri" w:hAnsi="Calibri"/>
                <w:b/>
                <w:i w:val="0"/>
                <w:color w:val="F5F2EB"/>
                <w:sz w:val="12"/>
              </w:rPr>
              <w:t>Project Sponsor</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Owns operational requirements; will occupy facility. Scope expectation risk — see CF02/CF03.</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6B3A"/>
          </w:tcPr>
          <w:p>
            <w:pPr>
              <w:spacing w:before="44" w:after="44"/>
            </w:pPr>
            <w:r>
              <w:rPr>
                <w:rFonts w:ascii="Calibri" w:hAnsi="Calibri"/>
                <w:b/>
                <w:i w:val="0"/>
                <w:color w:val="F5F2EB"/>
                <w:sz w:val="13"/>
              </w:rPr>
              <w:t>Col</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Monthly briefing (PM leads); direct access for urgent issues; written confirmation of scope decisions</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Monthly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Three alignment questions answered and documented. Definition of done may differ from scope statement. Verify at design milestones.</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S-09</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5282"/>
          </w:tcPr>
          <w:p>
            <w:pPr>
              <w:spacing w:before="44" w:after="44"/>
            </w:pPr>
            <w:r>
              <w:rPr>
                <w:rFonts w:ascii="Calibri" w:hAnsi="Calibri"/>
                <w:b/>
                <w:i w:val="0"/>
                <w:color w:val="F5F2EB"/>
                <w:sz w:val="12"/>
              </w:rPr>
              <w:t>Project Sponsor</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Visible project; reputational stake in occupancy date</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3"/>
              </w:rPr>
              <w:t>I</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Briefed at major milestones; not day-to-day</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Milestone-based</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DPM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Protect occupancy date (01 March 2027). If schedule is at risk, brief before it becomes a public issue.</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S-10</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5282"/>
          </w:tcPr>
          <w:p>
            <w:pPr>
              <w:spacing w:before="44" w:after="44"/>
            </w:pPr>
            <w:r>
              <w:rPr>
                <w:rFonts w:ascii="Calibri" w:hAnsi="Calibri"/>
                <w:b/>
                <w:i w:val="0"/>
                <w:color w:val="F5F2EB"/>
                <w:sz w:val="12"/>
              </w:rPr>
              <w:t>Project Sponsor</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Will use the renovated space; have preferences about configuration and timing</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Pre-design workshop; design review at 35% and 65%; occupancy coordination</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At design milestones</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End users often have expectations not in the DD 1391. Surface them at the pre-design workshop. Document in writing.</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S-11</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2C5282"/>
          </w:tcPr>
          <w:p>
            <w:pPr>
              <w:spacing w:before="44" w:after="44"/>
            </w:pPr>
            <w:r>
              <w:rPr>
                <w:rFonts w:ascii="Calibri" w:hAnsi="Calibri"/>
                <w:b/>
                <w:i w:val="0"/>
                <w:color w:val="F5F2EB"/>
                <w:sz w:val="12"/>
              </w:rPr>
              <w:t>Project Sponsor</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Installation management oversight; access and construction coordination</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3"/>
              </w:rPr>
              <w:t>I</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Quarterly coordination; notifications for access restrictions or construction impacts</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Quarterly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Keep aware of construction schedule and access impacts. Surprises here escalate to installation commander level.</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S-12</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1B6B3A"/>
          </w:tcPr>
          <w:p>
            <w:pPr>
              <w:spacing w:before="44" w:after="44"/>
            </w:pPr>
            <w:r>
              <w:rPr>
                <w:rFonts w:ascii="Calibri" w:hAnsi="Calibri"/>
                <w:b/>
                <w:i w:val="0"/>
                <w:color w:val="F5F2EB"/>
                <w:sz w:val="12"/>
              </w:rPr>
              <w:t>Contractor / A-E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Design production; schedule driver for construction award</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Weekly design progress meetings (pre-award); review at 35%, 65%, 95%; RFI response tracking</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Weekly pre-award</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PM / FC Civil</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A-E schedule is on the critical path. Track deliverables weekly. RFI response time is a PM responsibility.</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S-13</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1B6B3A"/>
          </w:tcPr>
          <w:p>
            <w:pPr>
              <w:spacing w:before="44" w:after="44"/>
            </w:pPr>
            <w:r>
              <w:rPr>
                <w:rFonts w:ascii="Calibri" w:hAnsi="Calibri"/>
                <w:b/>
                <w:i w:val="0"/>
                <w:color w:val="F5F2EB"/>
                <w:sz w:val="12"/>
              </w:rPr>
              <w:t>Contractor / A-E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Project execution; schedule and cost performance; quality of work</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8B6914"/>
                <w:sz w:val="13"/>
              </w:rPr>
              <w:t>Unknown</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Weekly construction progress meeting; monthly EVM report; daily COR contact</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Weekly post-award</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PM / QA Rep</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Establish relationship before the first problem. CF07 shows what happens when the PM is reactive. Stay ahead of data.</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S-14</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1B6B3A"/>
          </w:tcPr>
          <w:p>
            <w:pPr>
              <w:spacing w:before="44" w:after="44"/>
            </w:pPr>
            <w:r>
              <w:rPr>
                <w:rFonts w:ascii="Calibri" w:hAnsi="Calibri"/>
                <w:b/>
                <w:i w:val="0"/>
                <w:color w:val="F5F2EB"/>
                <w:sz w:val="12"/>
              </w:rPr>
              <w:t>Contractor / A-E</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Small business goal compliance; subcontracting plan monitoring</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3"/>
              </w:rPr>
              <w:t>I</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Pre-award coordination; semi-annual subcontracting report review</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Semi-annual</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KO</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SB goals are a contracting requirement — KO leads. PM monitors for issues affecting contractor performance.</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S-15</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2"/>
              </w:rPr>
              <w:t>Regulatory</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Section 106 consultation; building vintage flagged for review</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Pre-submission coordination; formal Section 106 submission; response tracking</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Per process</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Env. Spec.</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Do not submit Section 106 without pre-coordination. Pre-submission inquiry complete — no adverse finding expected but formal response required.</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S-16</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2"/>
              </w:rPr>
              <w:t>Regulatory</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Environmental oversight; no known action required but notification protocol applies</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6B7280"/>
          </w:tcPr>
          <w:p>
            <w:pPr>
              <w:spacing w:before="44" w:after="44"/>
            </w:pPr>
            <w:r>
              <w:rPr>
                <w:rFonts w:ascii="Calibri" w:hAnsi="Calibri"/>
                <w:b/>
                <w:i w:val="0"/>
                <w:color w:val="F5F2EB"/>
                <w:sz w:val="13"/>
              </w:rPr>
              <w:t>M</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Triggered only if environmental clearance findings change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As triggered</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Env. Spec.</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Phase I ESA complete — no remediation required. Monitor for subsurface discoveries during construction.</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S-17</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2"/>
              </w:rPr>
              <w:t>Regulatory</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Construction safety plan review and approval; periodic site inspections</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Pre-construction safety plan review; quarterly site visit coordination</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Pre-construction + quarterly</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Safety Officer</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Safety plan submitted 30 days before construction start. Engage proactively — partner, not inspector.</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S-18</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2"/>
              </w:rPr>
              <w:t>Regulatory</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Underground utilities in project area; outage coordination during construction</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Pre-construction utility coordination meeting; outage scheduling</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Pre-construction</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PM / A-E</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Three utility crossings identified. Outage coordination must be scheduled 90 days in advance per utility agreements.</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S-19</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8B6914"/>
          </w:tcPr>
          <w:p>
            <w:pPr>
              <w:spacing w:before="44" w:after="44"/>
            </w:pPr>
            <w:r>
              <w:rPr>
                <w:rFonts w:ascii="Calibri" w:hAnsi="Calibri"/>
                <w:b/>
                <w:i w:val="0"/>
                <w:color w:val="F5F2EB"/>
                <w:sz w:val="12"/>
              </w:rPr>
              <w:t>Community</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Construction noise and access impacts on adjacent operations</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3"/>
              </w:rPr>
              <w:t>I</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Construction schedule notifications; access restriction alerts</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At construction milestones</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Service road shared with two adjacent units. Notify before road closures. Keep communication brief and operational.</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S-20</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8B6914"/>
          </w:tcPr>
          <w:p>
            <w:pPr>
              <w:spacing w:before="44" w:after="44"/>
            </w:pPr>
            <w:r>
              <w:rPr>
                <w:rFonts w:ascii="Calibri" w:hAnsi="Calibri"/>
                <w:b/>
                <w:i w:val="0"/>
                <w:color w:val="F5F2EB"/>
                <w:sz w:val="12"/>
              </w:rPr>
              <w:t>Community</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Tribal Cultural Properties review; potential interest in subsurface disturbance</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8B6914"/>
                <w:sz w:val="13"/>
              </w:rPr>
              <w:t>Unknown</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2C3E6B"/>
          </w:tcPr>
          <w:p>
            <w:pPr>
              <w:spacing w:before="44" w:after="44"/>
            </w:pPr>
            <w:r>
              <w:rPr>
                <w:rFonts w:ascii="Calibri" w:hAnsi="Calibri"/>
                <w:b/>
                <w:i w:val="0"/>
                <w:color w:val="F5F2EB"/>
                <w:sz w:val="13"/>
              </w:rPr>
              <w:t>C</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Section 106 tribal consultation letter sent; response tracking</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Per Section 106 process</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Env. Spec.</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Tribe notified per Section 106 requirements. No response received — send follow-up at 30 days. Do not proceed without documented consultation.</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2C3E6B"/>
                <w:sz w:val="13"/>
              </w:rPr>
              <w:t>S-21</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4B0082"/>
          </w:tcPr>
          <w:p>
            <w:pPr>
              <w:spacing w:before="44" w:after="44"/>
            </w:pPr>
            <w:r>
              <w:rPr>
                <w:rFonts w:ascii="Calibri" w:hAnsi="Calibri"/>
                <w:b/>
                <w:i w:val="0"/>
                <w:color w:val="F5F2EB"/>
                <w:sz w:val="12"/>
              </w:rPr>
              <w:t>Congressional</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MILCON authorization and appropriations oversight; constituent interest</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i w:val="0"/>
                <w:color w:val="6B1B1B"/>
                <w:sz w:val="13"/>
              </w:rPr>
              <w:t>High</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B6B3A"/>
                <w:sz w:val="13"/>
              </w:rPr>
              <w:t>Supportive</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1B5B6B"/>
          </w:tcPr>
          <w:p>
            <w:pPr>
              <w:spacing w:before="44" w:after="44"/>
            </w:pPr>
            <w:r>
              <w:rPr>
                <w:rFonts w:ascii="Calibri" w:hAnsi="Calibri"/>
                <w:b/>
                <w:i w:val="0"/>
                <w:color w:val="F5F2EB"/>
                <w:sz w:val="13"/>
              </w:rPr>
              <w:t>I</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Standard congressional notifications per MILCON thresholds; no direct PM engagement</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Per MILCON requirements</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DPM / PAO</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5F2EB"/>
          </w:tcPr>
          <w:p>
            <w:pPr>
              <w:spacing w:before="44" w:after="44"/>
            </w:pPr>
            <w:r>
              <w:rPr>
                <w:rFonts w:ascii="Calibri" w:hAnsi="Calibri"/>
                <w:b w:val="0"/>
                <w:i w:val="0"/>
                <w:color w:val="111111"/>
                <w:sz w:val="13"/>
              </w:rPr>
              <w:t>Congressional notifications handled through DPM and District PAO. PM does not engage congressional staff directly.</w:t>
            </w:r>
          </w:p>
        </w:tc>
      </w:tr>
      <w:tr>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2C3E6B"/>
                <w:sz w:val="13"/>
              </w:rPr>
              <w:t>S-22</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4B0082"/>
          </w:tcPr>
          <w:p>
            <w:pPr>
              <w:spacing w:before="44" w:after="44"/>
            </w:pPr>
            <w:r>
              <w:rPr>
                <w:rFonts w:ascii="Calibri" w:hAnsi="Calibri"/>
                <w:b/>
                <w:i w:val="0"/>
                <w:color w:val="F5F2EB"/>
                <w:sz w:val="12"/>
              </w:rPr>
              <w:t>Congressional</w:t>
            </w:r>
          </w:p>
        </w:tc>
        <w:tc>
          <w:tcPr>
            <w:tcW w:type="dxa" w:w="2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MILCON authorization oversight; project within standard notification threshold</w:t>
            </w:r>
          </w:p>
        </w:tc>
        <w:tc>
          <w:tcPr>
            <w:tcW w:type="dxa" w:w="10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i w:val="0"/>
                <w:color w:val="8B6914"/>
                <w:sz w:val="13"/>
              </w:rPr>
              <w:t>Med</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B5B6B"/>
                <w:sz w:val="13"/>
              </w:rPr>
              <w:t>Neutral</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6B7280"/>
          </w:tcPr>
          <w:p>
            <w:pPr>
              <w:spacing w:before="44" w:after="44"/>
            </w:pPr>
            <w:r>
              <w:rPr>
                <w:rFonts w:ascii="Calibri" w:hAnsi="Calibri"/>
                <w:b/>
                <w:i w:val="0"/>
                <w:color w:val="F5F2EB"/>
                <w:sz w:val="13"/>
              </w:rPr>
              <w:t>M</w:t>
            </w:r>
          </w:p>
        </w:tc>
        <w:tc>
          <w:tcPr>
            <w:tcW w:type="dxa" w:w="18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Standard threshold notifications only</w:t>
            </w:r>
          </w:p>
        </w:tc>
        <w:tc>
          <w:tcPr>
            <w:tcW w:type="dxa" w:w="1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Per threshold</w:t>
            </w:r>
          </w:p>
        </w:tc>
        <w:tc>
          <w:tcPr>
            <w:tcW w:type="dxa" w:w="15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DPM</w:t>
            </w:r>
          </w:p>
        </w:tc>
        <w:tc>
          <w:tcPr>
            <w:tcW w:type="dxa" w:w="3100"/>
            <w:tcBorders>
              <w:top w:val="single" w:sz="4" w:space="0" w:color="DDDDDD"/>
              <w:bottom w:val="single" w:sz="4" w:space="0" w:color="DDDDDD"/>
              <w:left w:val="single" w:sz="4" w:space="0" w:color="DDDDDD"/>
              <w:right w:val="single" w:sz="4" w:space="0" w:color="DDDDDD"/>
            </w:tcBorders>
            <w:vAlign w:val="top"/>
            <w:shd w:val="clear" w:color="auto" w:fill="F0F2F5"/>
          </w:tcPr>
          <w:p>
            <w:pPr>
              <w:spacing w:before="44" w:after="44"/>
            </w:pPr>
            <w:r>
              <w:rPr>
                <w:rFonts w:ascii="Calibri" w:hAnsi="Calibri"/>
                <w:b w:val="0"/>
                <w:i w:val="0"/>
                <w:color w:val="111111"/>
                <w:sz w:val="13"/>
              </w:rPr>
              <w:t>No committee-level engagement required at current scope. Monitor for scope changes triggering additional notifications.</w:t>
            </w:r>
          </w:p>
        </w:tc>
      </w:tr>
    </w:tbl>
    <w:p>
      <w:pPr>
        <w:spacing w:before="24" w:after="0"/>
      </w:pPr>
    </w:p>
    <w:p>
      <w:pPr>
        <w:spacing w:before="40" w:after="40"/>
        <w:pBdr>
          <w:bottom w:val="single" w:sz="8" w:space="1" w:color="6B1B1B"/>
        </w:pBdr>
      </w:pPr>
      <w:r>
        <w:rPr>
          <w:rFonts w:ascii="Calibri" w:hAnsi="Calibri"/>
          <w:b/>
          <w:i w:val="0"/>
          <w:color w:val="6B1B1B"/>
          <w:sz w:val="19"/>
        </w:rPr>
        <w:t>CODE KEY — HELD BY PM ONLY</w:t>
      </w:r>
    </w:p>
    <w:p>
      <w:pPr>
        <w:spacing w:before="10" w:after="16"/>
      </w:pPr>
      <w:r>
        <w:rPr>
          <w:rFonts w:ascii="Calibri" w:hAnsi="Calibri"/>
          <w:b w:val="0"/>
          <w:i w:val="0"/>
          <w:color w:val="111111"/>
          <w:sz w:val="15"/>
        </w:rPr>
        <w:t>The table below maps stakeholder codes to actual identities. This page is held by the PM and DPM only — it is never filed in the project record, never shared with stakeholders, and never attached to the public engagement register. If the PM transitions, the incoming PM receives this key directly from the outgoing PM.</w:t>
      </w:r>
    </w:p>
    <w:tbl>
      <w:tblPr>
        <w:tblStyle w:val="TableGrid"/>
        <w:tblW w:type="auto" w:w="0"/>
        <w:tblLook w:firstColumn="1" w:firstRow="1" w:lastColumn="0" w:lastRow="0" w:noHBand="0" w:noVBand="1" w:val="04A0"/>
      </w:tblPr>
      <w:tblGrid>
        <w:gridCol w:w="1200"/>
        <w:gridCol w:w="2400"/>
        <w:gridCol w:w="2400"/>
        <w:gridCol w:w="4800"/>
      </w:tblGrid>
      <w:tr>
        <w:tc>
          <w:tcPr>
            <w:tcW w:type="dxa" w:w="1200"/>
            <w:shd w:val="clear" w:color="auto" w:fill="6B1B1B"/>
          </w:tcPr>
          <w:p>
            <w:pPr>
              <w:spacing w:before="46" w:after="46"/>
            </w:pPr>
            <w:r>
              <w:rPr>
                <w:rFonts w:ascii="Calibri" w:hAnsi="Calibri"/>
                <w:b/>
                <w:i w:val="0"/>
                <w:color w:val="F5F2EB"/>
                <w:sz w:val="13"/>
              </w:rPr>
              <w:t>Code</w:t>
            </w:r>
          </w:p>
        </w:tc>
        <w:tc>
          <w:tcPr>
            <w:tcW w:type="dxa" w:w="2400"/>
            <w:shd w:val="clear" w:color="auto" w:fill="6B1B1B"/>
          </w:tcPr>
          <w:p>
            <w:pPr>
              <w:spacing w:before="46" w:after="46"/>
            </w:pPr>
            <w:r>
              <w:rPr>
                <w:rFonts w:ascii="Calibri" w:hAnsi="Calibri"/>
                <w:b/>
                <w:i w:val="0"/>
                <w:color w:val="F5F2EB"/>
                <w:sz w:val="13"/>
              </w:rPr>
              <w:t>Role / Category</w:t>
            </w:r>
          </w:p>
        </w:tc>
        <w:tc>
          <w:tcPr>
            <w:tcW w:type="dxa" w:w="2400"/>
            <w:shd w:val="clear" w:color="auto" w:fill="6B1B1B"/>
          </w:tcPr>
          <w:p>
            <w:pPr>
              <w:spacing w:before="46" w:after="46"/>
            </w:pPr>
            <w:r>
              <w:rPr>
                <w:rFonts w:ascii="Calibri" w:hAnsi="Calibri"/>
                <w:b/>
                <w:i w:val="0"/>
                <w:color w:val="F5F2EB"/>
                <w:sz w:val="13"/>
              </w:rPr>
              <w:t>Actual Identity (name / organization)</w:t>
            </w:r>
          </w:p>
        </w:tc>
        <w:tc>
          <w:tcPr>
            <w:tcW w:type="dxa" w:w="4800"/>
            <w:shd w:val="clear" w:color="auto" w:fill="6B1B1B"/>
          </w:tcPr>
          <w:p>
            <w:pPr>
              <w:spacing w:before="46" w:after="46"/>
            </w:pPr>
            <w:r>
              <w:rPr>
                <w:rFonts w:ascii="Calibri" w:hAnsi="Calibri"/>
                <w:b/>
                <w:i w:val="0"/>
                <w:color w:val="F5F2EB"/>
                <w:sz w:val="13"/>
              </w:rPr>
              <w:t>Notes</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S-01</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DPM — Internal USACE</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Col. (Ret.) Patricia Ashford</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Primary escalation path; data-first communicator</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S-02</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District Commander — Internal USACE</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[Title only — name omitted from this sample]</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Brief at milestones via DPM</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S-03</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FC Civil/Structural — Internal USACE</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Dr. Priya Nair, PE</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Schedule-sensitive; advance notice required for scope changes</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S-04</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Contracting Officer — Internal USACE</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Margaret C. Torres</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Independent contracting authority; route all mods through KO</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S-05</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Real Estate Specialist — Internal USACE</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Frank O. Nguyen</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Long queue; engage early on access and easements</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S-06</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Resource Management — Internal USACE</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[Office — no named individual]</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Monitor obligation tracking</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S-07</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HQ Program Office — Internal USACE</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[Office — not triggered at current scope]</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DPM manages if triggered</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S-08</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Primary Sponsor POC — Project Sponsor</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Maj. Kevin O'Brien, Fort Beaumont DPW</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CF02/CF03 risk: scope expectations; three questions documented</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S-09</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Installation Commander — Project Sponsor</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[Title only — name omitted from this sample]</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Milestone briefing via DPM</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S-10</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End Users — Project Sponsor</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Building 4521 Occupants (collective)</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Pre-design workshop critical</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S-11</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IMCOM — Project Sponsor</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Fort Beaumont IMCOM (office)</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Quarterly coordination</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S-12</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A-E Firm — Contractor/A-E</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[Prime firm name — not yet awarded]</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Weekly design tracking</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S-13</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Construction Contractor — Contractor/A-E</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[Prime contractor — not yet awarded]</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Post-award relationship critical</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S-14</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Small Business Office — Contractor/A-E</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[Office]</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KO leads; PM monitors</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S-15</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SHPO — Regulatory</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[State agency — not named in training sample]</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Section 106 pre-coordination complete</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S-16</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EPA Region 6 — Regulatory</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[Federal agency]</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Monitor only</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S-17</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Installation Safety Office — Regulatory</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Ingrid S. Petrov, Safety Officer</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Proactive partner</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S-18</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Utility Companies — Regulatory</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[Three companies — list in project file]</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90-day outage coordination lead time</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S-19</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Adjacent Unit Commanders — Community</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[Titles only]</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Service road coordination</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S-20</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Tribal Government — Community</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[Tribe name — in Section 106 file]</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Follow-up at 30 days if no response</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2C3E6B"/>
                <w:sz w:val="13"/>
              </w:rPr>
              <w:t>S-21</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Congressional Representative — Congressional</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[Representative — PAO/DPM manages]</w:t>
            </w:r>
          </w:p>
        </w:tc>
        <w:tc>
          <w:tcPr>
            <w:tcW w:type="dxa" w:w="48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3"/>
              </w:rPr>
              <w:t>No direct PM contact</w:t>
            </w:r>
          </w:p>
        </w:tc>
      </w:tr>
      <w:tr>
        <w:tc>
          <w:tcPr>
            <w:tcW w:type="dxa" w:w="1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2C3E6B"/>
                <w:sz w:val="13"/>
              </w:rPr>
              <w:t>S-22</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HASC Staff — Congressional</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[Staff — PAO/DPM manages]</w:t>
            </w:r>
          </w:p>
        </w:tc>
        <w:tc>
          <w:tcPr>
            <w:tcW w:type="dxa" w:w="48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3"/>
              </w:rPr>
              <w:t>Monitor only</w:t>
            </w:r>
          </w:p>
        </w:tc>
      </w:tr>
    </w:tbl>
    <w:p>
      <w:pPr>
        <w:spacing w:before="20" w:after="0"/>
      </w:pPr>
    </w:p>
    <w:p>
      <w:pPr>
        <w:spacing w:before="0" w:after="0"/>
        <w:jc w:val="center"/>
      </w:pPr>
      <w:r>
        <w:rPr>
          <w:rFonts w:ascii="Calibri" w:hAnsi="Calibri"/>
          <w:b/>
          <w:i/>
          <w:color w:val="6B1B1B"/>
          <w:sz w:val="12"/>
        </w:rPr>
        <w:t>SENSITIVE ANNEX — NOT FOR GENERAL DISTRIBUTION  |  PM/DPM ONLY  |  USACE KMP-PPM  |  For Official Training Use</w:t>
      </w:r>
    </w:p>
    <w:sectPr w:rsidR="00FC693F" w:rsidRPr="0006063C" w:rsidSect="00034616">
      <w:pgSz w:w="15840" w:h="122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