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9465FD8" w14:textId="77777777">
      <w:pPr>
        <w:pBdr/>
        <w:spacing w:before="600"/>
        <w:ind/>
        <w:jc w:val="center"/>
        <w:rPr/>
      </w:pPr>
      <w:r>
        <w:rPr>
          <w:b/>
          <w:bCs/>
          <w:color w:val="52606d"/>
          <w:sz w:val="22"/>
          <w:szCs w:val="22"/>
        </w:rPr>
        <w:t xml:space="preserve">UNIVERSIDAD TECNOLÓGICA NACIONAL</w:t>
      </w:r>
      <w:r/>
    </w:p>
    <w:p w14:paraId="3BD7AFB2" w14:textId="77777777">
      <w:pPr>
        <w:pBdr/>
        <w:spacing w:after="360"/>
        <w:ind/>
        <w:jc w:val="center"/>
        <w:rPr/>
      </w:pPr>
      <w:r>
        <w:rPr>
          <w:b/>
          <w:bCs/>
          <w:color w:val="52606d"/>
          <w:sz w:val="22"/>
          <w:szCs w:val="22"/>
        </w:rPr>
        <w:t xml:space="preserve">FACULTAD REGIONAL BUENOS AIRES</w:t>
      </w:r>
      <w:r/>
    </w:p>
    <w:p w14:paraId="5C7C0B6A" w14:textId="77777777">
      <w:pPr>
        <w:pBdr/>
        <w:spacing w:after="120"/>
        <w:ind/>
        <w:jc w:val="center"/>
        <w:rPr/>
      </w:pPr>
      <w:r>
        <w:rPr>
          <w:b/>
          <w:sz w:val="20"/>
        </w:rPr>
        <w:t xml:space="preserve">PROPUESTA PARA EVALUACIÓN DOCENTE · VERSIÓN 2.4</w:t>
      </w:r>
      <w:r/>
    </w:p>
    <w:p w14:paraId="1DCED3DA" w14:textId="77777777">
      <w:pPr>
        <w:pBdr/>
        <w:spacing w:after="120"/>
        <w:ind/>
        <w:jc w:val="center"/>
        <w:rPr/>
      </w:pPr>
      <w:r>
        <w:rPr>
          <w:b/>
          <w:bCs/>
          <w:color w:val="164e4a"/>
          <w:sz w:val="44"/>
          <w:szCs w:val="44"/>
        </w:rPr>
        <w:t xml:space="preserve">Proyecto de inversión: plantines injertados y sanidad radicular del suelo</w:t>
      </w:r>
      <w:r/>
    </w:p>
    <w:p w14:paraId="22A20CB7" w14:textId="77777777">
      <w:pPr>
        <w:pBdr>
          <w:bottom w:val="single" w:color="1f6f63" w:sz="8" w:space="8"/>
        </w:pBdr>
        <w:spacing w:after="240"/>
        <w:ind/>
        <w:jc w:val="center"/>
        <w:rPr/>
      </w:pPr>
      <w:r>
        <w:rPr>
          <w:b/>
          <w:bCs/>
          <w:color w:val="1f6f63"/>
          <w:sz w:val="24"/>
          <w:szCs w:val="24"/>
        </w:rPr>
        <w:t xml:space="preserve">VFW · Alto Valle de Río Negro y Neuquén</w:t>
      </w:r>
      <w:r/>
    </w:p>
    <w:p w14:paraId="3DCE9D00" w14:textId="77777777">
      <w:pPr>
        <w:pBdr/>
        <w:spacing/>
        <w:ind/>
        <w:jc w:val="center"/>
        <w:rPr/>
      </w:pPr>
      <w:r>
        <w:rPr>
          <w:color w:val="52606d"/>
          <w:sz w:val="20"/>
          <w:szCs w:val="20"/>
        </w:rPr>
        <w:t xml:space="preserve">Sistemas de Gestión · Proyecto de inversión</w:t>
      </w:r>
      <w:r/>
    </w:p>
    <w:p w14:paraId="3A69DEA5" w14:textId="77777777">
      <w:pPr>
        <w:pBdr/>
        <w:spacing w:after="360"/>
        <w:ind/>
        <w:jc w:val="center"/>
        <w:rPr/>
      </w:pPr>
      <w:r>
        <w:rPr>
          <w:i/>
          <w:sz w:val="18"/>
        </w:rPr>
        <w:t xml:space="preserve">Corte de investigación: 05/10/2026</w:t>
      </w:r>
      <w:r/>
    </w:p>
    <w:tbl>
      <w:tblPr>
        <w:tblStyle w:val="808"/>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52"/>
      </w:tblGrid>
      <w:tr>
        <w:trPr>
          <w:cantSplit/>
          <w:tblHeader/>
        </w:trPr>
        <w:tc>
          <w:tcPr>
            <w:shd w:val="clear" w:color="auto" w:fill="e8f3ef"/>
            <w:tcBorders>
              <w:top w:val="none" w:color="000000" w:sz="4" w:space="0"/>
              <w:left w:val="single" w:color="1f6f63" w:sz="24" w:space="0"/>
              <w:bottom w:val="none" w:color="000000" w:sz="4" w:space="0"/>
              <w:right w:val="none" w:color="000000" w:sz="4" w:space="0"/>
            </w:tcBorders>
            <w:tcMar>
              <w:left w:w="200" w:type="dxa"/>
              <w:top w:w="140" w:type="dxa"/>
              <w:right w:w="200" w:type="dxa"/>
              <w:bottom w:w="140" w:type="dxa"/>
            </w:tcMar>
            <w:tcW w:w="9752" w:type="dxa"/>
          </w:tcPr>
          <w:p w14:paraId="0A8F2B06" w14:textId="6A4DA442">
            <w:pPr>
              <w:pBdr/>
              <w:spacing/>
              <w:ind/>
              <w:rPr/>
            </w:pPr>
            <w:r>
              <w:rPr>
                <w:b/>
                <w:bCs/>
                <w:i/>
                <w:sz w:val="19"/>
              </w:rPr>
              <w:t xml:space="preserve">Propuesta:</w:t>
            </w:r>
            <w:r>
              <w:rPr>
                <w:i/>
                <w:sz w:val="19"/>
              </w:rPr>
              <w:t xml:space="preserve"> incorporar dentro de VFW una línea de plan</w:t>
            </w:r>
            <w:r>
              <w:rPr>
                <w:i/>
                <w:sz w:val="19"/>
              </w:rPr>
              <w:t xml:space="preserve">tines hortícolas injertados para productores bajo cubierta de Patagonia Norte, desarrollada en dos fases. En la Fase 1, VFW produce y vende plantines injertados contra pedido. En la Fase 2, VFW diagnostica el suelo y lo trata antes del trasplante mediante </w:t>
            </w:r>
            <w:r>
              <w:rPr>
                <w:i/>
                <w:sz w:val="19"/>
              </w:rPr>
              <w:t xml:space="preserve">biosolarización</w:t>
            </w:r>
            <w:r>
              <w:rPr>
                <w:i/>
                <w:sz w:val="19"/>
              </w:rPr>
              <w:t xml:space="preserve"> con orujo ensilado de manzana y uva</w:t>
            </w:r>
            <w:r>
              <w:rPr>
                <w:i/>
                <w:sz w:val="19"/>
              </w:rPr>
              <w:t xml:space="preserve">, tomando en cuenta los </w:t>
            </w:r>
            <w:r>
              <w:rPr>
                <w:i/>
                <w:sz w:val="19"/>
              </w:rPr>
              <w:t xml:space="preserve">costos unitarios desglosada por planta vendible, el presupuesto de inversión inicial, el cálculo del punto de equilibrio operativo y el modelo de conservación del orujo regional.</w:t>
            </w:r>
            <w:r/>
          </w:p>
        </w:tc>
      </w:tr>
    </w:tbl>
    <w:p w14:paraId="05FA1673" w14:textId="77777777">
      <w:pPr>
        <w:pBdr/>
        <w:spacing w:after="60"/>
        <w:ind/>
        <w:rPr/>
      </w:pPr>
      <w:r/>
      <w:r/>
    </w:p>
    <w:p w14:paraId="663BE48F" w14:textId="77777777">
      <w:pPr>
        <w:pBdr/>
        <w:spacing/>
        <w:ind/>
        <w:rPr/>
      </w:pPr>
      <w:r>
        <w:br w:type="page" w:clear="all"/>
      </w:r>
      <w:r/>
    </w:p>
    <w:p w14:paraId="22BC374A" w14:textId="77777777">
      <w:pPr>
        <w:pStyle w:val="796"/>
        <w:keepNext w:val="true"/>
        <w:pBdr/>
        <w:spacing/>
        <w:ind/>
        <w:rPr/>
      </w:pPr>
      <w:r>
        <w:t xml:space="preserve">1. Resumen ejecutivo</w:t>
      </w:r>
      <w:r/>
    </w:p>
    <w:p w14:paraId="29A1D698" w14:textId="77777777">
      <w:pPr>
        <w:pBdr/>
        <w:spacing w:after="120" w:line="276" w:lineRule="auto"/>
        <w:ind/>
        <w:jc w:val="both"/>
        <w:rPr/>
      </w:pPr>
      <w:r>
        <w:rPr>
          <w:sz w:val="20"/>
        </w:rPr>
        <w:t xml:space="preserve">El proyecto propone una nueva línea de negocio dentro de VFW, vivero familiar</w:t>
      </w:r>
      <w:r>
        <w:rPr>
          <w:sz w:val="20"/>
        </w:rPr>
        <w:t xml:space="preserve"> de Allen con trayectoria regional en plantines hortícolas [S3][S4]. La oferta comercial se organiza en tres alternativas que pueden contratarse de forma independiente: plantines hortícolas injertados listos para trasplante, diagnóstico y manejo sanitario </w:t>
      </w:r>
      <w:r>
        <w:rPr>
          <w:sz w:val="20"/>
        </w:rPr>
        <w:t xml:space="preserve">pretrasplante</w:t>
      </w:r>
      <w:r>
        <w:rPr>
          <w:sz w:val="20"/>
        </w:rPr>
        <w:t xml:space="preserve"> del suelo, y un programa integral que combina suelo, plantín y seguimiento. El producto tractor es tomate injertado; morrón y berenjena se incorporan de manera gradual contra demanda validada.</w:t>
      </w:r>
      <w:r/>
    </w:p>
    <w:p w14:paraId="40B24E59" w14:textId="77777777">
      <w:pPr>
        <w:pBdr/>
        <w:spacing w:after="120" w:line="276" w:lineRule="auto"/>
        <w:ind/>
        <w:jc w:val="both"/>
        <w:rPr/>
      </w:pPr>
      <w:r>
        <w:t xml:space="preserve">La base productiva regional está comprobada: Río Negro informó en 2026 10.892 hectáreas hortícolas, más de 800 productores</w:t>
      </w:r>
      <w:r>
        <w:t xml:space="preserve"> y más de 100 hectáreas bajo cubierta destinadas a tomate, pimiento, berenjena y hojas [S1]. En Neuquén, Centenario y Vista Alegre —uno de los principales polos hortícolas provinciales— registran 51.200 m² bajo cubierta y concentran alrededor del 54 % de l</w:t>
      </w:r>
      <w:r>
        <w:t xml:space="preserve">a producción hortícola provincial [S29]. No existe, sin embargo, un censo público que indique qué proporción de esa superficie utiliza injertos ni cuántos productores comprarían el servicio; por eso el proyecto separa datos observados de metas comerciales.</w:t>
      </w:r>
      <w:r/>
    </w:p>
    <w:p w14:paraId="137490F7" w14:textId="77777777">
      <w:pPr>
        <w:pBdr/>
        <w:spacing w:after="120" w:line="276" w:lineRule="auto"/>
        <w:ind/>
        <w:jc w:val="both"/>
        <w:rPr/>
      </w:pPr>
      <w:r>
        <w:rPr>
          <w:sz w:val="20"/>
        </w:rPr>
        <w:t xml:space="preserve">El problema sanitario está documentado: en diciembre de 2025 Río Negro confirmó nematodos </w:t>
      </w:r>
      <w:r>
        <w:rPr>
          <w:sz w:val="20"/>
        </w:rPr>
        <w:t xml:space="preserve">Meloidogyne</w:t>
      </w:r>
      <w:r>
        <w:rPr>
          <w:sz w:val="20"/>
        </w:rPr>
        <w:t xml:space="preserve"> en invernaderos, especialmente en tomate y morrón [S2]. El injerto mejora el </w:t>
      </w:r>
      <w:r>
        <w:rPr>
          <w:sz w:val="20"/>
        </w:rPr>
        <w:t xml:space="preserve">vigor</w:t>
      </w:r>
      <w:r>
        <w:rPr>
          <w:sz w:val="20"/>
        </w:rPr>
        <w:t xml:space="preserve"> pero no elimina el inóculo del suelo; INTA recomienda combinar diagnóstico, material resistente y manejo sanitario [S12]. La Fase 2 utiliza </w:t>
      </w:r>
      <w:r>
        <w:rPr>
          <w:sz w:val="20"/>
        </w:rPr>
        <w:t xml:space="preserve">biosolarización</w:t>
      </w:r>
      <w:r>
        <w:rPr>
          <w:sz w:val="20"/>
        </w:rPr>
        <w:t xml:space="preserve"> como tecnología base y emplea orujo de manzana y uva conservado mediante ensilado anaeróbico, ensayando mezclas regionales solo si el piloto demuestra conveniencia técnica y económica.</w:t>
      </w:r>
      <w:r/>
    </w:p>
    <w:p w14:paraId="79EA0508" w14:textId="77777777">
      <w:pPr>
        <w:pBdr/>
        <w:spacing w:after="120" w:line="276" w:lineRule="auto"/>
        <w:ind/>
        <w:jc w:val="both"/>
        <w:rPr/>
      </w:pPr>
      <w:r>
        <w:rPr>
          <w:sz w:val="20"/>
        </w:rPr>
        <w:t xml:space="preserve">La entrada comercial se dimensiona de forma prudente: la meta del primer año es comprometer hasta 20.000 plantines mediante preventa, con una regla de gestión que exige cubrir al menos el 60 % en reservas antes de iniciar la siemb</w:t>
      </w:r>
      <w:r>
        <w:rPr>
          <w:sz w:val="20"/>
        </w:rPr>
        <w:t xml:space="preserve">ra. El costo variable unitario es de $ 750 por plantín vendible frente a un precio de $ 2.000, generando un margen de contribución de $ 1.250 por unidad. La inversión inicial total asciende a $ 14.000.000 para habilitar la cámara de cicatrización climatiza</w:t>
      </w:r>
      <w:r>
        <w:rPr>
          <w:sz w:val="20"/>
        </w:rPr>
        <w:t xml:space="preserve">da de 18 m², el instrumental y el lote piloto. Los costos fijos anuales se estiman en $ 8.800.000, lo que sitúa el punto de equilibrio operativo en 7.040 plantines al año, un umbral cubierto ampliamente por las 12.000 unidades de preventa mínima requerida.</w:t>
      </w:r>
      <w:r/>
    </w:p>
    <w:p w14:paraId="21CFF1AE" w14:textId="77777777">
      <w:pPr>
        <w:pBdr/>
        <w:spacing w:after="120" w:line="276" w:lineRule="auto"/>
        <w:ind/>
        <w:jc w:val="both"/>
        <w:rPr/>
      </w:pPr>
      <w:r>
        <w:t xml:space="preserve">La monetización combina cobro por plantín, diagnóstico por lote o establecimiento, tratamiento por m² y seguimiento. Para modelizar la entrada se proponen precios de lanzamiento, no precios de me</w:t>
      </w:r>
      <w:r>
        <w:t xml:space="preserve">rcado comprobados: deben reemplazarse por cotizaciones B2B y costos reales antes de decidir la inversión. El criterio de escala es simple: no ampliar capacidad hasta demostrar reservas, margen de contribución suficiente y resultados agronómicos repetibles.</w:t>
      </w:r>
      <w:r/>
    </w:p>
    <w:tbl>
      <w:tblPr>
        <w:tblStyle w:val="809"/>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52"/>
      </w:tblGrid>
      <w:tr>
        <w:trPr>
          <w:cantSplit/>
          <w:tblHeader/>
        </w:trPr>
        <w:tc>
          <w:tcPr>
            <w:shd w:val="clear" w:color="auto" w:fill="fff4d6"/>
            <w:tcBorders>
              <w:top w:val="none" w:color="000000" w:sz="4" w:space="0"/>
              <w:left w:val="single" w:color="1f6f63" w:sz="24" w:space="0"/>
              <w:bottom w:val="none" w:color="000000" w:sz="4" w:space="0"/>
              <w:right w:val="none" w:color="000000" w:sz="4" w:space="0"/>
            </w:tcBorders>
            <w:tcMar>
              <w:left w:w="200" w:type="dxa"/>
              <w:top w:w="140" w:type="dxa"/>
              <w:right w:w="200" w:type="dxa"/>
              <w:bottom w:w="140" w:type="dxa"/>
            </w:tcMar>
            <w:tcW w:w="9752" w:type="dxa"/>
          </w:tcPr>
          <w:p w14:paraId="417757BC" w14:textId="77777777">
            <w:pPr>
              <w:pBdr/>
              <w:spacing/>
              <w:ind/>
              <w:rPr/>
            </w:pPr>
            <w:r>
              <w:rPr>
                <w:b/>
                <w:bCs/>
                <w:color w:val="1f2a26"/>
              </w:rPr>
              <w:t xml:space="preserve">Estado: oportunidad técnicamente razonable y comercialmente investigable. La Fase 1 parte de un producto existente y de una base productiva regional comprobada; la demanda </w:t>
            </w:r>
            <w:r>
              <w:rPr>
                <w:b/>
                <w:bCs/>
                <w:color w:val="1f2a26"/>
              </w:rPr>
              <w:t xml:space="preserve">específica, los precios y la capacidad disponible se validan mediante reservas, cotizaciones y auditoría de VFW. La Fase 2 parte de una tecnología con antecedentes, pero la mezcla óptima de orujo para Patagonia Norte debe determinarse con un piloto propio.</w:t>
            </w:r>
            <w:r/>
          </w:p>
        </w:tc>
      </w:tr>
    </w:tbl>
    <w:p w14:paraId="78788827" w14:textId="77777777">
      <w:pPr>
        <w:pStyle w:val="796"/>
        <w:keepNext w:val="true"/>
        <w:pBdr/>
        <w:spacing/>
        <w:ind/>
        <w:rPr/>
      </w:pPr>
      <w:r>
        <w:t xml:space="preserve">2. Por qué este proyecto y por qué VFW</w:t>
      </w:r>
      <w:r/>
    </w:p>
    <w:tbl>
      <w:tblPr>
        <w:tblStyle w:val="810"/>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500"/>
        <w:gridCol w:w="3126"/>
        <w:gridCol w:w="3126"/>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500" w:type="dxa"/>
          </w:tcPr>
          <w:p w14:paraId="430C48FD" w14:textId="77777777">
            <w:pPr>
              <w:pBdr/>
              <w:spacing w:line="252" w:lineRule="auto"/>
              <w:ind/>
              <w:rPr/>
            </w:pPr>
            <w:r>
              <w:rPr>
                <w:b/>
                <w:bCs/>
                <w:color w:val="ffffff"/>
                <w:sz w:val="18"/>
                <w:szCs w:val="18"/>
              </w:rPr>
              <w:t xml:space="preserve">Evidencia</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4958DF76" w14:textId="77777777">
            <w:pPr>
              <w:pBdr/>
              <w:spacing w:line="252" w:lineRule="auto"/>
              <w:ind/>
              <w:rPr/>
            </w:pPr>
            <w:r>
              <w:rPr>
                <w:b/>
                <w:bCs/>
                <w:color w:val="ffffff"/>
                <w:sz w:val="18"/>
                <w:szCs w:val="18"/>
              </w:rPr>
              <w:t xml:space="preserve">Qué aporta</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71818BA1" w14:textId="77777777">
            <w:pPr>
              <w:pBdr/>
              <w:spacing w:line="252" w:lineRule="auto"/>
              <w:ind/>
              <w:rPr/>
            </w:pPr>
            <w:r>
              <w:rPr>
                <w:b/>
                <w:bCs/>
                <w:color w:val="ffffff"/>
                <w:sz w:val="18"/>
                <w:szCs w:val="18"/>
              </w:rPr>
              <w:t xml:space="preserve">Límite</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500" w:type="dxa"/>
          </w:tcPr>
          <w:p w14:paraId="6F74752B" w14:textId="77777777">
            <w:pPr>
              <w:pBdr/>
              <w:spacing w:line="252" w:lineRule="auto"/>
              <w:ind/>
              <w:rPr/>
            </w:pPr>
            <w:r>
              <w:rPr>
                <w:sz w:val="18"/>
                <w:szCs w:val="18"/>
              </w:rPr>
              <w:t xml:space="preserve">Río Negro: 10.892 ha hortícolas, &gt;800 productores y &gt;100 ha bajo cubierta [S1]</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61BFEDCD" w14:textId="77777777">
            <w:pPr>
              <w:pBdr/>
              <w:spacing w:line="252" w:lineRule="auto"/>
              <w:ind/>
              <w:rPr/>
            </w:pPr>
            <w:r>
              <w:rPr>
                <w:sz w:val="18"/>
                <w:szCs w:val="18"/>
              </w:rPr>
              <w:t xml:space="preserve">Base productiva para prospectar.</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1B12C2FE" w14:textId="77777777">
            <w:pPr>
              <w:pBdr/>
              <w:spacing w:line="252" w:lineRule="auto"/>
              <w:ind/>
              <w:rPr/>
            </w:pPr>
            <w:r>
              <w:rPr>
                <w:sz w:val="18"/>
                <w:szCs w:val="18"/>
              </w:rPr>
              <w:t xml:space="preserve">No equivale a demanda de injertados.</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500" w:type="dxa"/>
          </w:tcPr>
          <w:p w14:paraId="5F91D422" w14:textId="77777777">
            <w:pPr>
              <w:pBdr/>
              <w:spacing w:line="252" w:lineRule="auto"/>
              <w:ind/>
              <w:rPr/>
            </w:pPr>
            <w:r>
              <w:rPr>
                <w:sz w:val="18"/>
                <w:szCs w:val="18"/>
              </w:rPr>
              <w:t xml:space="preserve">Río Negro confirmó </w:t>
            </w:r>
            <w:r>
              <w:rPr>
                <w:sz w:val="18"/>
                <w:szCs w:val="18"/>
              </w:rPr>
              <w:t xml:space="preserve">Meloidogyne</w:t>
            </w:r>
            <w:r>
              <w:rPr>
                <w:sz w:val="18"/>
                <w:szCs w:val="18"/>
              </w:rPr>
              <w:t xml:space="preserve"> en invernaderos y otra especie nueva en la zona [S2]</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7884143C" w14:textId="77777777">
            <w:pPr>
              <w:pBdr/>
              <w:spacing w:line="252" w:lineRule="auto"/>
              <w:ind/>
              <w:rPr/>
            </w:pPr>
            <w:r>
              <w:rPr>
                <w:sz w:val="18"/>
                <w:szCs w:val="18"/>
              </w:rPr>
              <w:t xml:space="preserve">Problema sanitario real que justifica injerto y cuidado del suelo.</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7E09339C" w14:textId="77777777">
            <w:pPr>
              <w:pBdr/>
              <w:spacing w:line="252" w:lineRule="auto"/>
              <w:ind/>
              <w:rPr/>
            </w:pPr>
            <w:r>
              <w:rPr>
                <w:sz w:val="18"/>
                <w:szCs w:val="18"/>
              </w:rPr>
              <w:t xml:space="preserve">Debe diagnosticarse invernadero por invernadero.</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500" w:type="dxa"/>
          </w:tcPr>
          <w:p w14:paraId="2A06D3D0" w14:textId="77777777">
            <w:pPr>
              <w:pBdr/>
              <w:spacing w:line="252" w:lineRule="auto"/>
              <w:ind/>
              <w:rPr/>
            </w:pPr>
            <w:r>
              <w:rPr>
                <w:sz w:val="18"/>
                <w:szCs w:val="18"/>
              </w:rPr>
              <w:t xml:space="preserve">INTA 2025: ningún método aislado logra control sostenido; se recomienda manejo integrado [S12]</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62F8A86E" w14:textId="77777777">
            <w:pPr>
              <w:pBdr/>
              <w:spacing w:line="252" w:lineRule="auto"/>
              <w:ind/>
              <w:rPr/>
            </w:pPr>
            <w:r>
              <w:rPr>
                <w:sz w:val="18"/>
                <w:szCs w:val="18"/>
              </w:rPr>
              <w:t xml:space="preserve">Justifica acompañar el plantín con el tratamiento del suelo.</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786263F1" w14:textId="77777777">
            <w:pPr>
              <w:pBdr/>
              <w:spacing w:line="252" w:lineRule="auto"/>
              <w:ind/>
              <w:rPr/>
            </w:pPr>
            <w:r>
              <w:rPr>
                <w:sz w:val="18"/>
                <w:szCs w:val="18"/>
              </w:rPr>
              <w:t xml:space="preserve">No define un protocolo único para Patagonia.</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500" w:type="dxa"/>
          </w:tcPr>
          <w:p w14:paraId="49D176DD" w14:textId="77777777">
            <w:pPr>
              <w:pBdr/>
              <w:spacing w:line="252" w:lineRule="auto"/>
              <w:ind/>
              <w:rPr/>
            </w:pPr>
            <w:r>
              <w:rPr>
                <w:sz w:val="18"/>
                <w:szCs w:val="18"/>
              </w:rPr>
              <w:t xml:space="preserve">VFW documentó 3 ha de invernaderos, siembra mecanizada, cámara de germinación y abastecimiento regional [S3]; continuidad en 2026 [S4]</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03C9E94F" w14:textId="77777777">
            <w:pPr>
              <w:pBdr/>
              <w:spacing w:line="252" w:lineRule="auto"/>
              <w:ind/>
              <w:rPr/>
            </w:pPr>
            <w:r>
              <w:rPr>
                <w:sz w:val="18"/>
                <w:szCs w:val="18"/>
              </w:rPr>
              <w:t xml:space="preserve">Reduce la barrera frente a una empresa nueva.</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74083A30" w14:textId="77777777">
            <w:pPr>
              <w:pBdr/>
              <w:spacing w:line="252" w:lineRule="auto"/>
              <w:ind/>
              <w:rPr/>
            </w:pPr>
            <w:r>
              <w:rPr>
                <w:sz w:val="18"/>
                <w:szCs w:val="18"/>
              </w:rPr>
              <w:t xml:space="preserve">La capacidad disponible actual debe auditarse.</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500" w:type="dxa"/>
          </w:tcPr>
          <w:p w14:paraId="61179E35" w14:textId="77777777">
            <w:pPr>
              <w:pBdr/>
              <w:spacing w:line="252" w:lineRule="auto"/>
              <w:ind/>
              <w:rPr/>
            </w:pPr>
            <w:r>
              <w:rPr>
                <w:sz w:val="18"/>
                <w:szCs w:val="18"/>
              </w:rPr>
              <w:t xml:space="preserve">Río Negro: &gt;115.000 t de orujo de manzana en 2024 [S16]; bodegas en Neuquén y Río Negro [S19]</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621D3D3B" w14:textId="77777777">
            <w:pPr>
              <w:pBdr/>
              <w:spacing w:line="252" w:lineRule="auto"/>
              <w:ind/>
              <w:rPr/>
            </w:pPr>
            <w:r>
              <w:rPr>
                <w:sz w:val="18"/>
                <w:szCs w:val="18"/>
              </w:rPr>
              <w:t xml:space="preserve">Insumos regionales abundantes para la enmienda.</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16C2E271" w14:textId="77777777">
            <w:pPr>
              <w:pBdr/>
              <w:spacing w:line="252" w:lineRule="auto"/>
              <w:ind/>
              <w:rPr/>
            </w:pPr>
            <w:r>
              <w:rPr>
                <w:sz w:val="18"/>
                <w:szCs w:val="18"/>
              </w:rPr>
              <w:t xml:space="preserve">No confirma volumen accesible, precio ni calidad.</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500" w:type="dxa"/>
          </w:tcPr>
          <w:p w14:paraId="3C2CB1EB" w14:textId="77777777">
            <w:pPr>
              <w:pBdr/>
              <w:spacing w:line="252" w:lineRule="auto"/>
              <w:ind/>
              <w:rPr/>
            </w:pPr>
            <w:r>
              <w:rPr>
                <w:sz w:val="18"/>
                <w:szCs w:val="18"/>
              </w:rPr>
              <w:t xml:space="preserve">INTA: tomate injertado con aumentos de hasta 58 % en Salta/Jujuy [S5]</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19B25512" w14:textId="77777777">
            <w:pPr>
              <w:pBdr/>
              <w:spacing w:line="252" w:lineRule="auto"/>
              <w:ind/>
              <w:rPr/>
            </w:pPr>
            <w:r>
              <w:rPr>
                <w:sz w:val="18"/>
                <w:szCs w:val="18"/>
              </w:rPr>
              <w:t xml:space="preserve">Justifica ensayo local.</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126" w:type="dxa"/>
          </w:tcPr>
          <w:p w14:paraId="69765F11" w14:textId="77777777">
            <w:pPr>
              <w:pBdr/>
              <w:spacing w:line="252" w:lineRule="auto"/>
              <w:ind/>
              <w:rPr/>
            </w:pPr>
            <w:r>
              <w:rPr>
                <w:sz w:val="18"/>
                <w:szCs w:val="18"/>
              </w:rPr>
              <w:t xml:space="preserve">No es extrapolable a Patagonia sin validar.</w:t>
            </w:r>
            <w:r/>
          </w:p>
        </w:tc>
      </w:tr>
    </w:tbl>
    <w:p w14:paraId="4C6709EB" w14:textId="77777777">
      <w:pPr>
        <w:pStyle w:val="796"/>
        <w:keepNext w:val="true"/>
        <w:pBdr/>
        <w:spacing/>
        <w:ind/>
        <w:rPr/>
      </w:pPr>
      <w:r>
        <w:t xml:space="preserve">3. El problema: enfermedades del suelo en invernaderos</w:t>
      </w:r>
      <w:r/>
    </w:p>
    <w:p w14:paraId="27F44FEB" w14:textId="77777777">
      <w:pPr>
        <w:pBdr/>
        <w:spacing w:after="120" w:line="276" w:lineRule="auto"/>
        <w:ind/>
        <w:jc w:val="both"/>
        <w:rPr/>
      </w:pPr>
      <w:r>
        <w:t xml:space="preserve">Los nematodos del género </w:t>
      </w:r>
      <w:r>
        <w:t xml:space="preserve">Meloidogyne</w:t>
      </w:r>
      <w:r>
        <w:t xml:space="preserve"> forman agallas en las raíces, reducen la absorción de agua y nutrientes y facilitan el ingreso de hongos del suelo [S15]. En los invernaderos se combinan dos factores que los favorecen: </w:t>
      </w:r>
      <w:r>
        <w:rPr>
          <w:b/>
          <w:bCs/>
        </w:rPr>
        <w:t xml:space="preserve">temperaturas de suelo más altas</w:t>
      </w:r>
      <w:r>
        <w:t xml:space="preserve">, que aceleran su ciclo y permiten más generaciones por campaña, y el </w:t>
      </w:r>
      <w:r>
        <w:rPr>
          <w:b/>
          <w:bCs/>
        </w:rPr>
        <w:t xml:space="preserve">uso repetido del mismo suelo</w:t>
      </w:r>
      <w:r>
        <w:t xml:space="preserve"> con cultivos susceptibles. El resultado es una caída de producción que se agrava año a año.</w:t>
      </w:r>
      <w:r/>
    </w:p>
    <w:p w14:paraId="62AAB227" w14:textId="77777777">
      <w:pPr>
        <w:pBdr/>
        <w:spacing w:after="120" w:line="276" w:lineRule="auto"/>
        <w:ind/>
        <w:jc w:val="both"/>
        <w:rPr/>
      </w:pPr>
      <w:r>
        <w:t xml:space="preserve">E</w:t>
      </w:r>
      <w:r>
        <w:t xml:space="preserve">l injerto es una herramienta eficaz pero parcial: un portainjerto resistente o tolerante mejora el vigor y reduce el daño, aunque no elimina los nematodos del suelo, puede seguir presentando agallas y su resistencia puede perder eficacia con alta presión o</w:t>
      </w:r>
      <w:r>
        <w:t xml:space="preserve"> temperatura [S12]. En otras palabras, un buen plantín trasplantado en un suelo enfermo no rinde todo lo que podría. Por eso INTA recomienda combinar análisis de suelo, reducción del inóculo, materia orgánica, control biológico y material resistente [S12].</w:t>
      </w:r>
      <w:r/>
    </w:p>
    <w:tbl>
      <w:tblPr>
        <w:tblStyle w:val="811"/>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000"/>
        <w:gridCol w:w="3376"/>
        <w:gridCol w:w="3376"/>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000" w:type="dxa"/>
          </w:tcPr>
          <w:p w14:paraId="49815C75" w14:textId="77777777">
            <w:pPr>
              <w:pBdr/>
              <w:spacing w:line="252" w:lineRule="auto"/>
              <w:ind/>
              <w:rPr/>
            </w:pPr>
            <w:r>
              <w:rPr>
                <w:b/>
                <w:bCs/>
                <w:color w:val="ffffff"/>
                <w:sz w:val="18"/>
                <w:szCs w:val="18"/>
              </w:rPr>
              <w:t xml:space="preserve">Evidencia</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376" w:type="dxa"/>
          </w:tcPr>
          <w:p w14:paraId="02C4C9A0" w14:textId="77777777">
            <w:pPr>
              <w:pBdr/>
              <w:spacing w:line="252" w:lineRule="auto"/>
              <w:ind/>
              <w:rPr/>
            </w:pPr>
            <w:r>
              <w:rPr>
                <w:b/>
                <w:bCs/>
                <w:color w:val="ffffff"/>
                <w:sz w:val="18"/>
                <w:szCs w:val="18"/>
              </w:rPr>
              <w:t xml:space="preserve">Qué permite afirmar</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376" w:type="dxa"/>
          </w:tcPr>
          <w:p w14:paraId="5277BFCA" w14:textId="77777777">
            <w:pPr>
              <w:pBdr/>
              <w:spacing w:line="252" w:lineRule="auto"/>
              <w:ind/>
              <w:rPr/>
            </w:pPr>
            <w:r>
              <w:rPr>
                <w:b/>
                <w:bCs/>
                <w:color w:val="ffffff"/>
                <w:sz w:val="18"/>
                <w:szCs w:val="18"/>
              </w:rPr>
              <w:t xml:space="preserve">Qué NO permite afirmar todavía</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000" w:type="dxa"/>
          </w:tcPr>
          <w:p w14:paraId="07FA5D8D" w14:textId="77777777">
            <w:pPr>
              <w:pBdr/>
              <w:spacing w:line="252" w:lineRule="auto"/>
              <w:ind/>
              <w:rPr/>
            </w:pPr>
            <w:r>
              <w:rPr>
                <w:sz w:val="18"/>
                <w:szCs w:val="18"/>
              </w:rPr>
              <w:t xml:space="preserve">Nematodos detectados en Río Negro [S2]</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376" w:type="dxa"/>
          </w:tcPr>
          <w:p w14:paraId="2AE3A498" w14:textId="77777777">
            <w:pPr>
              <w:pBdr/>
              <w:spacing w:line="252" w:lineRule="auto"/>
              <w:ind/>
              <w:rPr/>
            </w:pPr>
            <w:r>
              <w:rPr>
                <w:sz w:val="18"/>
                <w:szCs w:val="18"/>
              </w:rPr>
              <w:t xml:space="preserve">El problema existe en la región.</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376" w:type="dxa"/>
          </w:tcPr>
          <w:p w14:paraId="7A2E21CC" w14:textId="77777777">
            <w:pPr>
              <w:pBdr/>
              <w:spacing w:line="252" w:lineRule="auto"/>
              <w:ind/>
              <w:rPr/>
            </w:pPr>
            <w:r>
              <w:rPr>
                <w:sz w:val="18"/>
                <w:szCs w:val="18"/>
              </w:rPr>
              <w:t xml:space="preserve">Que todos los invernaderos estén infestados ni el daño económico total.</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000" w:type="dxa"/>
          </w:tcPr>
          <w:p w14:paraId="0DC8FAD4" w14:textId="77777777">
            <w:pPr>
              <w:pBdr/>
              <w:spacing w:line="252" w:lineRule="auto"/>
              <w:ind/>
              <w:rPr/>
            </w:pPr>
            <w:r>
              <w:rPr>
                <w:sz w:val="18"/>
                <w:szCs w:val="18"/>
              </w:rPr>
              <w:t xml:space="preserve">INTA: manejo integrado [S12]</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376" w:type="dxa"/>
          </w:tcPr>
          <w:p w14:paraId="724B58A6" w14:textId="77777777">
            <w:pPr>
              <w:pBdr/>
              <w:spacing w:line="252" w:lineRule="auto"/>
              <w:ind/>
              <w:rPr/>
            </w:pPr>
            <w:r>
              <w:rPr>
                <w:sz w:val="18"/>
                <w:szCs w:val="18"/>
              </w:rPr>
              <w:t xml:space="preserve">El plantín injertado debe complementarse con el cuidado del suelo.</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376" w:type="dxa"/>
          </w:tcPr>
          <w:p w14:paraId="4F94DD01" w14:textId="77777777">
            <w:pPr>
              <w:pBdr/>
              <w:spacing w:line="252" w:lineRule="auto"/>
              <w:ind/>
              <w:rPr/>
            </w:pPr>
            <w:r>
              <w:rPr>
                <w:sz w:val="18"/>
                <w:szCs w:val="18"/>
              </w:rPr>
              <w:t xml:space="preserve">Que exista una única solución universal.</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000" w:type="dxa"/>
          </w:tcPr>
          <w:p w14:paraId="210C3642" w14:textId="77777777">
            <w:pPr>
              <w:pBdr/>
              <w:spacing w:line="252" w:lineRule="auto"/>
              <w:ind/>
              <w:rPr/>
            </w:pPr>
            <w:r>
              <w:rPr>
                <w:sz w:val="18"/>
                <w:szCs w:val="18"/>
              </w:rPr>
              <w:t xml:space="preserve">Biosolarización</w:t>
            </w:r>
            <w:r>
              <w:rPr>
                <w:sz w:val="18"/>
                <w:szCs w:val="18"/>
              </w:rPr>
              <w:t xml:space="preserve"> en invernaderos argentinos [S13] y solarización en el Alto Valle [S14]</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376" w:type="dxa"/>
          </w:tcPr>
          <w:p w14:paraId="6C8A3C32" w14:textId="77777777">
            <w:pPr>
              <w:pBdr/>
              <w:spacing w:line="252" w:lineRule="auto"/>
              <w:ind/>
              <w:rPr/>
            </w:pPr>
            <w:r>
              <w:rPr>
                <w:sz w:val="18"/>
                <w:szCs w:val="18"/>
              </w:rPr>
              <w:t xml:space="preserve">Hay una tecnología base con antecedentes locales.</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376" w:type="dxa"/>
          </w:tcPr>
          <w:p w14:paraId="0E34292D" w14:textId="77777777">
            <w:pPr>
              <w:pBdr/>
              <w:spacing w:line="252" w:lineRule="auto"/>
              <w:ind/>
              <w:rPr/>
            </w:pPr>
            <w:r>
              <w:rPr>
                <w:sz w:val="18"/>
                <w:szCs w:val="18"/>
              </w:rPr>
              <w:t xml:space="preserve">Que una misma receta funcione igual en todos los suelos.</w:t>
            </w:r>
            <w:r/>
          </w:p>
        </w:tc>
      </w:tr>
    </w:tbl>
    <w:p w14:paraId="1613191E" w14:textId="77777777">
      <w:pPr>
        <w:pStyle w:val="796"/>
        <w:keepNext w:val="true"/>
        <w:pBdr/>
        <w:spacing/>
        <w:ind/>
        <w:rPr/>
      </w:pPr>
      <w:r>
        <w:t xml:space="preserve">4. La propuesta: plantines injertados en dos fases</w:t>
      </w:r>
      <w:r/>
    </w:p>
    <w:p w14:paraId="75B7559C" w14:textId="77777777">
      <w:pPr>
        <w:pStyle w:val="797"/>
        <w:keepNext w:val="true"/>
        <w:pBdr/>
        <w:spacing/>
        <w:ind/>
        <w:rPr/>
      </w:pPr>
      <w:r>
        <w:t xml:space="preserve">Fase 1 — Producción y venta de plantines injertados</w:t>
      </w:r>
      <w:r/>
    </w:p>
    <w:p w14:paraId="155C3DFB" w14:textId="77777777">
      <w:pPr>
        <w:pBdr/>
        <w:spacing w:after="120" w:line="276" w:lineRule="auto"/>
        <w:ind/>
        <w:jc w:val="both"/>
        <w:rPr/>
      </w:pPr>
      <w:r>
        <w:t xml:space="preserve">VFW vende un plantín injertado terminado y listo para trasplante: un portainjerto (pie) seleccionado por su sistema radicular y una variedad comercial (copa). El producto inicial es </w:t>
      </w:r>
      <w:r>
        <w:rPr>
          <w:b/>
          <w:bCs/>
        </w:rPr>
        <w:t xml:space="preserve">tomate injertado contra pedido</w:t>
      </w:r>
      <w:r>
        <w:t xml:space="preserve">, con pocas combinaciones patrón–</w:t>
      </w:r>
      <w:r>
        <w:t xml:space="preserve">copa documentadas</w:t>
      </w:r>
      <w:r>
        <w:t xml:space="preserve"> [S10]. El catálogo se amplía a </w:t>
      </w:r>
      <w:r>
        <w:rPr>
          <w:b/>
          <w:bCs/>
        </w:rPr>
        <w:t xml:space="preserve">morrón</w:t>
      </w:r>
      <w:r>
        <w:t xml:space="preserve"> y luego a </w:t>
      </w:r>
      <w:r>
        <w:rPr>
          <w:b/>
          <w:bCs/>
        </w:rPr>
        <w:t xml:space="preserve">berenjena</w:t>
      </w:r>
      <w:r>
        <w:t xml:space="preserve"> sólo cuando se confirma portainjerto disponible [S11], demanda con reservas y un proceso dominado.</w:t>
      </w:r>
      <w:r/>
    </w:p>
    <w:p w14:paraId="0EC286DA" w14:textId="77777777">
      <w:pPr>
        <w:pBdr/>
        <w:spacing w:after="120" w:line="276" w:lineRule="auto"/>
        <w:ind/>
        <w:jc w:val="both"/>
        <w:rPr/>
      </w:pPr>
      <w:r>
        <w:rPr>
          <w:b/>
          <w:bCs/>
        </w:rPr>
        <w:t xml:space="preserve">Proceso mínimo:</w:t>
      </w:r>
      <w:r>
        <w:t xml:space="preserve"> ingreso e identificación de semillas → siembra sincronizada de pie y copa → control de diámetro → injerto → cicatrización con</w:t>
      </w:r>
      <w:r>
        <w:t xml:space="preserve">trolada → aclimatación → liberación → entrega con identificación de lote → seguimiento posventa. Antes de depender comercialmente de la línea deben entrenarse al menos dos operadores y registrarse prendimiento, descarte y tiempo de proceso por combinación.</w:t>
      </w:r>
      <w:r/>
    </w:p>
    <w:p w14:paraId="57BC034E" w14:textId="77777777">
      <w:pPr>
        <w:pStyle w:val="797"/>
        <w:keepNext w:val="true"/>
        <w:pBdr/>
        <w:spacing/>
        <w:ind/>
        <w:rPr/>
      </w:pPr>
      <w:r>
        <w:t xml:space="preserve">Fase 2 — Cuidado del plantín y de su suelo</w:t>
      </w:r>
      <w:r/>
    </w:p>
    <w:p w14:paraId="62D7A452" w14:textId="77777777">
      <w:pPr>
        <w:pBdr/>
        <w:spacing w:after="120" w:line="276" w:lineRule="auto"/>
        <w:ind/>
        <w:jc w:val="both"/>
        <w:rPr/>
      </w:pPr>
      <w:r>
        <w:t xml:space="preserve">La Fase 2 extiende el servicio desde el vivero hasta el invernadero del productor. VFW </w:t>
      </w:r>
      <w:r>
        <w:rPr>
          <w:b/>
          <w:bCs/>
        </w:rPr>
        <w:t xml:space="preserve">(1) diagnostica</w:t>
      </w:r>
      <w:r>
        <w:t xml:space="preserve"> el suelo —muestreo de suelo y raíces y análisis de nematodos con un laboratorio asociado—; </w:t>
      </w:r>
      <w:r>
        <w:rPr>
          <w:b/>
          <w:bCs/>
        </w:rPr>
        <w:t xml:space="preserve">(2) trata el suelo antes del trasplante</w:t>
      </w:r>
      <w:r>
        <w:t xml:space="preserve"> mediante </w:t>
      </w:r>
      <w:r>
        <w:t xml:space="preserve">biosolarización</w:t>
      </w:r>
      <w:r>
        <w:t xml:space="preserve"> con orujo de manzana y uva, con cobertura de plástico transparente, riego y </w:t>
      </w:r>
      <w:r>
        <w:t xml:space="preserve">registro de temperatura; y </w:t>
      </w:r>
      <w:r>
        <w:rPr>
          <w:b/>
          <w:bCs/>
        </w:rPr>
        <w:t xml:space="preserve">(3) hace seguimiento</w:t>
      </w:r>
      <w:r>
        <w:t xml:space="preserve"> del cultivo, midiendo </w:t>
      </w:r>
      <w:r>
        <w:t xml:space="preserve">agallamiento</w:t>
      </w:r>
      <w:r>
        <w:t xml:space="preserve"> y rendimiento. Con el diagnóstico, VFW también elige el portainjerto más adecuado para cada suelo.</w:t>
      </w:r>
      <w:r/>
    </w:p>
    <w:p w14:paraId="05C7C797" w14:textId="77777777">
      <w:pPr>
        <w:pBdr/>
        <w:spacing w:after="120" w:line="276" w:lineRule="auto"/>
        <w:ind/>
        <w:jc w:val="both"/>
        <w:rPr/>
      </w:pPr>
      <w:r>
        <w:t xml:space="preserve">Así, el productor que</w:t>
      </w:r>
      <w:r>
        <w:t xml:space="preserve"> no logra aumentar su producción por un suelo enfermo recibe una solución completa: el plantín correcto y un suelo preparado para que ese plantín rinda. Para VFW, cada tratamiento genera datos sobre suelos, mezclas y resultados que la competencia no tiene.</w:t>
      </w:r>
      <w:r/>
    </w:p>
    <w:tbl>
      <w:tblPr>
        <w:tblStyle w:val="812"/>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00"/>
        <w:gridCol w:w="4300"/>
        <w:gridCol w:w="37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700" w:type="dxa"/>
          </w:tcPr>
          <w:p w14:paraId="5C40B19D" w14:textId="77777777">
            <w:pPr>
              <w:pBdr/>
              <w:spacing w:line="252" w:lineRule="auto"/>
              <w:ind/>
              <w:rPr/>
            </w:pPr>
            <w:r>
              <w:rPr>
                <w:b/>
                <w:bCs/>
                <w:color w:val="ffffff"/>
                <w:sz w:val="18"/>
                <w:szCs w:val="18"/>
              </w:rPr>
              <w:t xml:space="preserve">Fase</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300" w:type="dxa"/>
          </w:tcPr>
          <w:p w14:paraId="38EAB1FF" w14:textId="77777777">
            <w:pPr>
              <w:pBdr/>
              <w:spacing w:line="252" w:lineRule="auto"/>
              <w:ind/>
              <w:rPr/>
            </w:pPr>
            <w:r>
              <w:rPr>
                <w:b/>
                <w:bCs/>
                <w:color w:val="ffffff"/>
                <w:sz w:val="18"/>
                <w:szCs w:val="18"/>
              </w:rPr>
              <w:t xml:space="preserve">Oferta</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752" w:type="dxa"/>
          </w:tcPr>
          <w:p w14:paraId="1EBB54F0" w14:textId="77777777">
            <w:pPr>
              <w:pBdr/>
              <w:spacing w:line="252" w:lineRule="auto"/>
              <w:ind/>
              <w:rPr/>
            </w:pPr>
            <w:r>
              <w:rPr>
                <w:b/>
                <w:bCs/>
                <w:color w:val="ffffff"/>
                <w:sz w:val="18"/>
                <w:szCs w:val="18"/>
              </w:rPr>
              <w:t xml:space="preserve">Condición para avanzar</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700" w:type="dxa"/>
          </w:tcPr>
          <w:p w14:paraId="4F9EDC20" w14:textId="77777777">
            <w:pPr>
              <w:pBdr/>
              <w:spacing w:line="252" w:lineRule="auto"/>
              <w:ind/>
              <w:rPr/>
            </w:pPr>
            <w:r>
              <w:rPr>
                <w:sz w:val="18"/>
                <w:szCs w:val="18"/>
              </w:rPr>
              <w:t xml:space="preserve">Fase 1</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300" w:type="dxa"/>
          </w:tcPr>
          <w:p w14:paraId="1C6FA7DF" w14:textId="77777777">
            <w:pPr>
              <w:pBdr/>
              <w:spacing w:line="252" w:lineRule="auto"/>
              <w:ind/>
              <w:rPr/>
            </w:pPr>
            <w:r>
              <w:rPr>
                <w:sz w:val="18"/>
                <w:szCs w:val="18"/>
              </w:rPr>
              <w:t xml:space="preserve">Plantines injertados de tomate contra pedido; luego morrón y berenjena.</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752" w:type="dxa"/>
          </w:tcPr>
          <w:p w14:paraId="0287CD3D" w14:textId="77777777">
            <w:pPr>
              <w:pBdr/>
              <w:spacing w:line="252" w:lineRule="auto"/>
              <w:ind/>
              <w:rPr/>
            </w:pPr>
            <w:r>
              <w:rPr>
                <w:sz w:val="18"/>
                <w:szCs w:val="18"/>
              </w:rPr>
              <w:t xml:space="preserve">Prendimiento y descarte repetibles, reservas y recompra de productores.</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700" w:type="dxa"/>
          </w:tcPr>
          <w:p w14:paraId="6136B78D" w14:textId="77777777">
            <w:pPr>
              <w:pBdr/>
              <w:spacing w:line="252" w:lineRule="auto"/>
              <w:ind/>
              <w:rPr/>
            </w:pPr>
            <w:r>
              <w:rPr>
                <w:sz w:val="18"/>
                <w:szCs w:val="18"/>
              </w:rPr>
              <w:t xml:space="preserve">Fase 2 — piloto</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300" w:type="dxa"/>
          </w:tcPr>
          <w:p w14:paraId="0B2C9430" w14:textId="77777777">
            <w:pPr>
              <w:pBdr/>
              <w:spacing w:line="252" w:lineRule="auto"/>
              <w:ind/>
              <w:rPr/>
            </w:pPr>
            <w:r>
              <w:rPr>
                <w:sz w:val="18"/>
                <w:szCs w:val="18"/>
              </w:rPr>
              <w:t xml:space="preserve">Diagnóstico + </w:t>
            </w:r>
            <w:r>
              <w:rPr>
                <w:sz w:val="18"/>
                <w:szCs w:val="18"/>
              </w:rPr>
              <w:t xml:space="preserve">biosolarización</w:t>
            </w:r>
            <w:r>
              <w:rPr>
                <w:sz w:val="18"/>
                <w:szCs w:val="18"/>
              </w:rPr>
              <w:t xml:space="preserve"> con distintas mezclas de orujo en productores demostradores (sección 9).</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752" w:type="dxa"/>
          </w:tcPr>
          <w:p w14:paraId="483DA17F" w14:textId="77777777">
            <w:pPr>
              <w:pBdr/>
              <w:spacing w:line="252" w:lineRule="auto"/>
              <w:ind/>
              <w:rPr/>
            </w:pPr>
            <w:r>
              <w:rPr>
                <w:sz w:val="18"/>
                <w:szCs w:val="18"/>
              </w:rPr>
              <w:t xml:space="preserve">Identificar al menos una mezcla que mejore el resultado frente al testigo a un costo aceptable.</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700" w:type="dxa"/>
          </w:tcPr>
          <w:p w14:paraId="074DFB6E" w14:textId="77777777">
            <w:pPr>
              <w:pBdr/>
              <w:spacing w:line="252" w:lineRule="auto"/>
              <w:ind/>
              <w:rPr/>
            </w:pPr>
            <w:r>
              <w:rPr>
                <w:sz w:val="18"/>
                <w:szCs w:val="18"/>
              </w:rPr>
              <w:t xml:space="preserve">Fase 2 — servicio</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300" w:type="dxa"/>
          </w:tcPr>
          <w:p w14:paraId="55B3543F" w14:textId="77777777">
            <w:pPr>
              <w:pBdr/>
              <w:spacing w:line="252" w:lineRule="auto"/>
              <w:ind/>
              <w:rPr/>
            </w:pPr>
            <w:r>
              <w:rPr>
                <w:sz w:val="18"/>
                <w:szCs w:val="18"/>
              </w:rPr>
              <w:t xml:space="preserve">Diagnóstico + tratamiento del suelo con la mezcla recomendada + plantines + seguimiento.</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752" w:type="dxa"/>
          </w:tcPr>
          <w:p w14:paraId="5BB3D1F2" w14:textId="77777777">
            <w:pPr>
              <w:pBdr/>
              <w:spacing w:line="252" w:lineRule="auto"/>
              <w:ind/>
              <w:rPr/>
            </w:pPr>
            <w:r>
              <w:rPr>
                <w:sz w:val="18"/>
                <w:szCs w:val="18"/>
              </w:rPr>
              <w:t xml:space="preserve">Mejora repetida en más de una campaña y productores dispuestos a pagarla.</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700" w:type="dxa"/>
          </w:tcPr>
          <w:p w14:paraId="7A3AF835" w14:textId="77777777">
            <w:pPr>
              <w:pBdr/>
              <w:spacing w:line="252" w:lineRule="auto"/>
              <w:ind/>
              <w:rPr/>
            </w:pPr>
            <w:r>
              <w:rPr>
                <w:sz w:val="18"/>
                <w:szCs w:val="18"/>
              </w:rPr>
              <w:t xml:space="preserve">Base VFW</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300" w:type="dxa"/>
          </w:tcPr>
          <w:p w14:paraId="43510DF4" w14:textId="77777777">
            <w:pPr>
              <w:pBdr/>
              <w:spacing w:line="252" w:lineRule="auto"/>
              <w:ind/>
              <w:rPr/>
            </w:pPr>
            <w:r>
              <w:rPr>
                <w:sz w:val="18"/>
                <w:szCs w:val="18"/>
              </w:rPr>
              <w:t xml:space="preserve">Plantines convencionales.</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752" w:type="dxa"/>
          </w:tcPr>
          <w:p w14:paraId="1791177E" w14:textId="77777777">
            <w:pPr>
              <w:pBdr/>
              <w:spacing w:line="252" w:lineRule="auto"/>
              <w:ind/>
              <w:rPr/>
            </w:pPr>
            <w:r>
              <w:rPr>
                <w:sz w:val="18"/>
                <w:szCs w:val="18"/>
              </w:rPr>
              <w:t xml:space="preserve">Relación y caja existente; contabilidad separada de la nueva línea.</w:t>
            </w:r>
            <w:r/>
          </w:p>
        </w:tc>
      </w:tr>
    </w:tbl>
    <w:p w14:paraId="71BE08F0" w14:textId="77777777">
      <w:pPr>
        <w:pBdr/>
        <w:spacing w:after="60"/>
        <w:ind/>
        <w:rPr/>
      </w:pPr>
      <w:r/>
      <w:r/>
    </w:p>
    <w:p w14:paraId="2269E490" w14:textId="77777777">
      <w:pPr>
        <w:pBdr/>
        <w:spacing w:after="120" w:line="276" w:lineRule="auto"/>
        <w:ind/>
        <w:jc w:val="both"/>
        <w:rPr/>
      </w:pPr>
      <w:r>
        <w:rPr>
          <w:b/>
          <w:bCs/>
        </w:rPr>
        <w:t xml:space="preserve">Cliente prioritario:</w:t>
      </w:r>
      <w:r>
        <w:t xml:space="preserve"> productor profesional bajo cubierta de tomate o morrón con pérdidas repetidas por problemas radiculares, ciclos largos o compra de injertados fuera de la región.</w:t>
      </w:r>
      <w:r/>
    </w:p>
    <w:p w14:paraId="53722813" w14:textId="77777777">
      <w:pPr>
        <w:pBdr/>
        <w:spacing w:after="120" w:line="276" w:lineRule="auto"/>
        <w:ind/>
        <w:jc w:val="both"/>
        <w:rPr/>
      </w:pPr>
      <w:r>
        <w:rPr>
          <w:b/>
          <w:bCs/>
        </w:rPr>
        <w:t xml:space="preserve">Propuesta de valor:</w:t>
      </w:r>
      <w:r>
        <w:t xml:space="preserve"> «suelo diagnosticado + plantín adecuado + tratamiento + seguimie</w:t>
      </w:r>
      <w:r>
        <w:t xml:space="preserve">nto» en un solo proveedor regional, con fecha pactada y trazabilidad por lote. El negocio se sostiene con la venta de plantines desde la Fase 1; la Fase 2 suma el servicio sobre el suelo, aumenta el valor por cliente y genera recompra campaña tras campaña.</w:t>
      </w:r>
      <w:r/>
    </w:p>
    <w:p w14:paraId="5D7850D8" w14:textId="77777777">
      <w:pPr>
        <w:pStyle w:val="796"/>
        <w:keepNext w:val="true"/>
        <w:pBdr/>
        <w:spacing/>
        <w:ind/>
        <w:rPr/>
      </w:pPr>
      <w:r>
        <w:t xml:space="preserve">5. Mercado observable y meta comercial</w:t>
      </w:r>
      <w:r/>
    </w:p>
    <w:p w14:paraId="6BC2568B" w14:textId="77777777">
      <w:pPr>
        <w:pBdr/>
        <w:spacing w:after="120" w:line="276" w:lineRule="auto"/>
        <w:ind/>
        <w:jc w:val="both"/>
        <w:rPr/>
      </w:pPr>
      <w:r>
        <w:t xml:space="preserve">No existe un relevamiento público que mida la</w:t>
      </w:r>
      <w:r>
        <w:t xml:space="preserve"> adopción de plantines injertados en Patagonia Norte ni la participación de cada proveedor. Por eso la demanda no se presenta como una cifra cerrada: se parte del mercado observable y se define una meta comercial de entrada que debe validarse con reservas.</w:t>
      </w:r>
      <w:r/>
    </w:p>
    <w:tbl>
      <w:tblPr>
        <w:tblStyle w:val="813"/>
        <w:tblInd w:w="0" w:type="dxa"/>
        <w:tblW w:w="9752" w:type="dxa"/>
        <w:tblBorders/>
        <w:tblLayout w:type="fixed"/>
        <w:tblLook w:val="0000" w:firstRow="0" w:lastRow="0" w:firstColumn="0" w:lastColumn="0" w:noHBand="0" w:noVBand="0"/>
      </w:tblPr>
      <w:tblGrid>
        <w:gridCol w:w="9752"/>
      </w:tblGrid>
      <w:tr>
        <w:trPr>
          <w:cantSplit/>
          <w:tblHeader/>
        </w:trPr>
        <w:tc>
          <w:tcPr>
            <w:shd w:val="clear" w:color="auto" w:fill="e8f3ef"/>
            <w:tcBorders>
              <w:top w:val="none" w:color="000000" w:sz="4" w:space="0"/>
              <w:left w:val="single" w:color="1f6f63" w:sz="24" w:space="0"/>
              <w:bottom w:val="none" w:color="000000" w:sz="4" w:space="0"/>
              <w:right w:val="none" w:color="000000" w:sz="4" w:space="0"/>
            </w:tcBorders>
            <w:tcMar>
              <w:left w:w="200" w:type="dxa"/>
              <w:top w:w="140" w:type="dxa"/>
              <w:right w:w="200" w:type="dxa"/>
              <w:bottom w:w="140" w:type="dxa"/>
            </w:tcMar>
            <w:tcW w:w="9752" w:type="dxa"/>
          </w:tcPr>
          <w:p w14:paraId="197EF7CD" w14:textId="77777777">
            <w:pPr>
              <w:pBdr/>
              <w:spacing/>
              <w:ind/>
              <w:rPr/>
            </w:pPr>
            <w:r>
              <w:rPr>
                <w:b/>
                <w:bCs/>
                <w:color w:val="1f2a26"/>
                <w:sz w:val="17"/>
                <w:szCs w:val="17"/>
              </w:rPr>
              <w:t xml:space="preserve">Crit</w:t>
            </w:r>
            <w:r>
              <w:rPr>
                <w:b/>
                <w:bCs/>
                <w:color w:val="1f2a26"/>
                <w:sz w:val="17"/>
                <w:szCs w:val="17"/>
              </w:rPr>
              <w:t xml:space="preserve">erio de demanda: dato observado ≠ supuesto de mercado. La superficie protegida y la presencia de competidores demuestran un mercado técnicamente relevante; la meta de 20.000 plantines se valida con preventa y reservas, no con una cuota de mercado supuesta.</w:t>
            </w:r>
            <w:r/>
          </w:p>
        </w:tc>
      </w:tr>
    </w:tbl>
    <w:p w14:paraId="7936E3AA" w14:textId="77777777">
      <w:pPr>
        <w:pBdr/>
        <w:spacing w:after="60"/>
        <w:ind/>
        <w:rPr/>
      </w:pPr>
      <w:r>
        <w:t xml:space="preserve">Río Negro supera las 100 ha bajo cubierta destinadas a tomate, pimiento, berenjena y hojas [S1]. En Neuquén, Cen</w:t>
      </w:r>
      <w:r>
        <w:t xml:space="preserve">tenario y Vista Alegre registran 5,12 ha bajo cubierta y concentran alrededor del 54 % de la producción hortícola provincial [S29]. Estos datos prueban actividad y superficie protegida, pero no permiten inferir por sí solos cuántas hectáreas usan injertos.</w:t>
      </w:r>
      <w:r/>
    </w:p>
    <w:p w14:paraId="49C8F84E" w14:textId="77777777">
      <w:pPr>
        <w:keepNext w:val="true"/>
        <w:pBdr/>
        <w:spacing w:after="120" w:line="276" w:lineRule="auto"/>
        <w:ind/>
        <w:jc w:val="both"/>
        <w:rPr/>
      </w:pPr>
      <w:r>
        <w:t xml:space="preserve">La presencia de proveedores de Mendoza que despachan injertados hacia Río Negro y Neuquén [S9] confirma que existe abastecimiento regional. Sin embargo, no publica volumen ni adopción; por eso se evita convertir un porcentaje supuesto en demanda observada.</w:t>
      </w:r>
      <w:r/>
    </w:p>
    <w:tbl>
      <w:tblPr>
        <w:tblStyle w:val="814"/>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00"/>
        <w:gridCol w:w="4400"/>
        <w:gridCol w:w="1500"/>
        <w:gridCol w:w="18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3DEA9271" w14:textId="77777777">
            <w:pPr>
              <w:pBdr/>
              <w:spacing/>
              <w:ind/>
              <w:rPr/>
            </w:pPr>
            <w:r>
              <w:rPr>
                <w:b/>
                <w:bCs/>
                <w:color w:val="ffffff"/>
                <w:sz w:val="17"/>
                <w:szCs w:val="17"/>
              </w:rPr>
              <w:t xml:space="preserve">Indicador</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400" w:type="dxa"/>
          </w:tcPr>
          <w:p w14:paraId="6B00C52D" w14:textId="77777777">
            <w:pPr>
              <w:pBdr/>
              <w:spacing/>
              <w:ind/>
              <w:rPr/>
            </w:pPr>
            <w:r>
              <w:rPr>
                <w:b/>
                <w:bCs/>
                <w:color w:val="ffffff"/>
                <w:sz w:val="17"/>
                <w:szCs w:val="17"/>
              </w:rPr>
              <w:t xml:space="preserve">Dato documentado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500" w:type="dxa"/>
          </w:tcPr>
          <w:p w14:paraId="17993E2B" w14:textId="77777777">
            <w:pPr>
              <w:pBdr/>
              <w:spacing/>
              <w:ind/>
              <w:rPr/>
            </w:pPr>
            <w:r>
              <w:rPr>
                <w:b/>
                <w:bCs/>
                <w:color w:val="ffffff"/>
                <w:sz w:val="17"/>
                <w:szCs w:val="17"/>
              </w:rPr>
              <w:t xml:space="preserve">Uso en el proyecto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852" w:type="dxa"/>
          </w:tcPr>
          <w:p w14:paraId="6CF2C3F8" w14:textId="77777777">
            <w:pPr>
              <w:pBdr/>
              <w:spacing/>
              <w:ind/>
              <w:rPr/>
            </w:pPr>
            <w:r>
              <w:rPr>
                <w:b/>
                <w:bCs/>
                <w:color w:val="ffffff"/>
                <w:sz w:val="17"/>
                <w:szCs w:val="17"/>
              </w:rPr>
              <w:t xml:space="preserve">Límite</w:t>
            </w:r>
            <w:r/>
          </w:p>
        </w:tc>
      </w:tr>
      <w:tr>
        <w:trPr>
          <w:cantSplit/>
        </w:trPr>
        <w:tc>
          <w:tcPr>
            <w:tcBorders/>
            <w:tcW w:w="2000" w:type="dxa"/>
          </w:tcPr>
          <w:p w14:paraId="30A6AC5B" w14:textId="77777777">
            <w:pPr>
              <w:pBdr/>
              <w:spacing/>
              <w:ind/>
              <w:rPr/>
            </w:pPr>
            <w:r>
              <w:rPr>
                <w:sz w:val="17"/>
                <w:szCs w:val="17"/>
              </w:rPr>
              <w:t xml:space="preserve">Río Negro bajo cubierta</w:t>
            </w:r>
            <w:r/>
          </w:p>
        </w:tc>
        <w:tc>
          <w:tcPr>
            <w:tcBorders/>
            <w:tcW w:w="4400" w:type="dxa"/>
          </w:tcPr>
          <w:p w14:paraId="052EDE27" w14:textId="77777777">
            <w:pPr>
              <w:pBdr/>
              <w:spacing/>
              <w:ind/>
              <w:rPr/>
            </w:pPr>
            <w:r>
              <w:rPr>
                <w:sz w:val="17"/>
                <w:szCs w:val="17"/>
              </w:rPr>
              <w:t xml:space="preserve">&gt; 100 ha [S1]</w:t>
            </w:r>
            <w:r/>
          </w:p>
        </w:tc>
        <w:tc>
          <w:tcPr>
            <w:tcBorders/>
            <w:tcW w:w="1500" w:type="dxa"/>
          </w:tcPr>
          <w:p w14:paraId="720D2F65" w14:textId="77777777">
            <w:pPr>
              <w:pBdr/>
              <w:spacing/>
              <w:ind/>
              <w:rPr/>
            </w:pPr>
            <w:r>
              <w:rPr>
                <w:sz w:val="17"/>
                <w:szCs w:val="17"/>
              </w:rPr>
              <w:t xml:space="preserve">Confirma escala regional de horticultura protegida.</w:t>
            </w:r>
            <w:r/>
          </w:p>
        </w:tc>
        <w:tc>
          <w:tcPr>
            <w:tcBorders/>
            <w:tcW w:w="1852" w:type="dxa"/>
          </w:tcPr>
          <w:p w14:paraId="7EE01C7D" w14:textId="77777777">
            <w:pPr>
              <w:pBdr/>
              <w:spacing/>
              <w:ind/>
              <w:rPr/>
            </w:pPr>
            <w:r>
              <w:rPr>
                <w:sz w:val="17"/>
                <w:szCs w:val="17"/>
              </w:rPr>
              <w:t xml:space="preserve">No desagrega superficie por cultivo ni uso de injertos.</w:t>
            </w:r>
            <w:r/>
          </w:p>
        </w:tc>
      </w:tr>
      <w:tr>
        <w:trPr>
          <w:cantSplit/>
        </w:trPr>
        <w:tc>
          <w:tcPr>
            <w:tcBorders/>
            <w:tcW w:w="2000" w:type="dxa"/>
          </w:tcPr>
          <w:p w14:paraId="2345B5D1" w14:textId="77777777">
            <w:pPr>
              <w:pBdr/>
              <w:spacing/>
              <w:ind/>
              <w:rPr/>
            </w:pPr>
            <w:r>
              <w:rPr>
                <w:sz w:val="17"/>
                <w:szCs w:val="17"/>
              </w:rPr>
              <w:t xml:space="preserve">Centenario + Vista Alegre</w:t>
            </w:r>
            <w:r/>
          </w:p>
        </w:tc>
        <w:tc>
          <w:tcPr>
            <w:tcBorders/>
            <w:tcW w:w="4400" w:type="dxa"/>
          </w:tcPr>
          <w:p w14:paraId="445CDC48" w14:textId="77777777">
            <w:pPr>
              <w:pBdr/>
              <w:spacing/>
              <w:ind/>
              <w:rPr/>
            </w:pPr>
            <w:r>
              <w:rPr>
                <w:sz w:val="17"/>
                <w:szCs w:val="17"/>
              </w:rPr>
              <w:t xml:space="preserve">5,12 ha bajo cubierta; ~54 % de la producción hortícola neuquina [S29]</w:t>
            </w:r>
            <w:r/>
          </w:p>
        </w:tc>
        <w:tc>
          <w:tcPr>
            <w:tcBorders/>
            <w:tcW w:w="1500" w:type="dxa"/>
          </w:tcPr>
          <w:p w14:paraId="397B8954" w14:textId="77777777">
            <w:pPr>
              <w:pBdr/>
              <w:spacing/>
              <w:ind/>
              <w:rPr/>
            </w:pPr>
            <w:r>
              <w:rPr>
                <w:sz w:val="17"/>
                <w:szCs w:val="17"/>
              </w:rPr>
              <w:t xml:space="preserve">Confirma un polo relevante cercano a VFW.</w:t>
            </w:r>
            <w:r/>
          </w:p>
        </w:tc>
        <w:tc>
          <w:tcPr>
            <w:tcBorders/>
            <w:tcW w:w="1852" w:type="dxa"/>
          </w:tcPr>
          <w:p w14:paraId="535026D1" w14:textId="77777777">
            <w:pPr>
              <w:pBdr/>
              <w:spacing/>
              <w:ind/>
              <w:rPr/>
            </w:pPr>
            <w:r>
              <w:rPr>
                <w:sz w:val="17"/>
                <w:szCs w:val="17"/>
              </w:rPr>
              <w:t xml:space="preserve">No equivale a toda la superficie protegida de Neuquén.</w:t>
            </w:r>
            <w:r/>
          </w:p>
        </w:tc>
      </w:tr>
      <w:tr>
        <w:trPr>
          <w:cantSplit/>
        </w:trPr>
        <w:tc>
          <w:tcPr>
            <w:tcBorders/>
            <w:tcW w:w="2000" w:type="dxa"/>
          </w:tcPr>
          <w:p w14:paraId="7BBB6188" w14:textId="77777777">
            <w:pPr>
              <w:pBdr/>
              <w:spacing/>
              <w:ind/>
              <w:rPr/>
            </w:pPr>
            <w:r>
              <w:rPr>
                <w:sz w:val="17"/>
                <w:szCs w:val="17"/>
              </w:rPr>
              <w:t xml:space="preserve">Flujo de injertados desde Mendoza</w:t>
            </w:r>
            <w:r/>
          </w:p>
        </w:tc>
        <w:tc>
          <w:tcPr>
            <w:tcBorders/>
            <w:tcW w:w="4400" w:type="dxa"/>
          </w:tcPr>
          <w:p w14:paraId="5E99970A" w14:textId="77777777">
            <w:pPr>
              <w:pBdr/>
              <w:spacing/>
              <w:ind/>
              <w:rPr/>
            </w:pPr>
            <w:r>
              <w:rPr>
                <w:sz w:val="17"/>
                <w:szCs w:val="17"/>
              </w:rPr>
              <w:t xml:space="preserve">Despachos hacia Río Negro y Neuquén [S9]</w:t>
            </w:r>
            <w:r/>
          </w:p>
        </w:tc>
        <w:tc>
          <w:tcPr>
            <w:tcBorders/>
            <w:tcW w:w="1500" w:type="dxa"/>
          </w:tcPr>
          <w:p w14:paraId="4544458E" w14:textId="77777777">
            <w:pPr>
              <w:pBdr/>
              <w:spacing/>
              <w:ind/>
              <w:rPr/>
            </w:pPr>
            <w:r>
              <w:rPr>
                <w:sz w:val="17"/>
                <w:szCs w:val="17"/>
              </w:rPr>
              <w:t xml:space="preserve">Confirma que el producto ya circula en la región.</w:t>
            </w:r>
            <w:r/>
          </w:p>
        </w:tc>
        <w:tc>
          <w:tcPr>
            <w:tcBorders/>
            <w:tcW w:w="1852" w:type="dxa"/>
          </w:tcPr>
          <w:p w14:paraId="672D3A24" w14:textId="77777777">
            <w:pPr>
              <w:pBdr/>
              <w:spacing/>
              <w:ind/>
              <w:rPr/>
            </w:pPr>
            <w:r>
              <w:rPr>
                <w:sz w:val="17"/>
                <w:szCs w:val="17"/>
              </w:rPr>
              <w:t xml:space="preserve">No informa volumen, precio ni participación.</w:t>
            </w:r>
            <w:r/>
          </w:p>
        </w:tc>
      </w:tr>
    </w:tbl>
    <w:p w14:paraId="55333831" w14:textId="77777777">
      <w:pPr>
        <w:pBdr/>
        <w:spacing w:after="60"/>
        <w:ind/>
        <w:rPr/>
      </w:pPr>
      <w:r>
        <w:t xml:space="preserve">Meta comercial d</w:t>
      </w:r>
      <w:r>
        <w:t xml:space="preserve">e entrada: comprometer hasta 20.000 plantines durante el primer año, principalmente tomate, mediante reservas anticipadas. La cifra funciona como objetivo operativo compatible con una expansión controlada de VFW; no como estimación estadística del mercado.</w:t>
      </w:r>
      <w:r/>
    </w:p>
    <w:p w14:paraId="28FFA49E" w14:textId="77777777">
      <w:pPr>
        <w:keepNext w:val="true"/>
        <w:pBdr/>
        <w:spacing w:after="120" w:line="276" w:lineRule="auto"/>
        <w:ind/>
        <w:jc w:val="both"/>
        <w:rPr/>
      </w:pPr>
      <w:r>
        <w:t xml:space="preserve">Escalado propue</w:t>
      </w:r>
      <w:r>
        <w:t xml:space="preserve">sto: 20.000 → 40.000 → 60.000 plantines por año, sólo si la línea alcanza supervivencia y descarte aceptables, recompra, bajo nivel de reclamos y capacidad incremental suficiente. Antes de producir se buscará reservar al menos 60 % del volumen planificado.</w:t>
      </w:r>
      <w:r/>
    </w:p>
    <w:tbl>
      <w:tblPr>
        <w:tblStyle w:val="815"/>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00"/>
        <w:gridCol w:w="1500"/>
        <w:gridCol w:w="1900"/>
        <w:gridCol w:w="1500"/>
        <w:gridCol w:w="1650"/>
        <w:gridCol w:w="180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400" w:type="dxa"/>
          </w:tcPr>
          <w:p w14:paraId="725AFBB1" w14:textId="77777777">
            <w:pPr>
              <w:pBdr/>
              <w:spacing/>
              <w:ind/>
              <w:rPr/>
            </w:pPr>
            <w:r>
              <w:rPr>
                <w:b/>
                <w:bCs/>
                <w:color w:val="ffffff"/>
                <w:sz w:val="17"/>
                <w:szCs w:val="17"/>
              </w:rPr>
              <w:t xml:space="preserve">Etapa</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500" w:type="dxa"/>
          </w:tcPr>
          <w:p w14:paraId="27769B48" w14:textId="77777777">
            <w:pPr>
              <w:pBdr/>
              <w:spacing/>
              <w:ind/>
              <w:rPr/>
            </w:pPr>
            <w:r>
              <w:rPr>
                <w:b/>
                <w:bCs/>
                <w:color w:val="ffffff"/>
                <w:sz w:val="17"/>
                <w:szCs w:val="17"/>
              </w:rPr>
              <w:t xml:space="preserve">Meta</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900" w:type="dxa"/>
          </w:tcPr>
          <w:p w14:paraId="0C2FD4E1" w14:textId="77777777">
            <w:pPr>
              <w:pBdr/>
              <w:spacing/>
              <w:ind/>
              <w:rPr/>
            </w:pPr>
            <w:r>
              <w:rPr>
                <w:b/>
                <w:bCs/>
                <w:color w:val="ffffff"/>
                <w:sz w:val="17"/>
                <w:szCs w:val="17"/>
              </w:rPr>
              <w:t xml:space="preserve">Reservas</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500" w:type="dxa"/>
          </w:tcPr>
          <w:p w14:paraId="2206664D" w14:textId="77777777">
            <w:pPr>
              <w:pBdr/>
              <w:spacing/>
              <w:ind/>
              <w:rPr/>
            </w:pPr>
            <w:r>
              <w:rPr>
                <w:b/>
                <w:bCs/>
                <w:color w:val="ffffff"/>
                <w:sz w:val="17"/>
                <w:szCs w:val="17"/>
              </w:rPr>
              <w:t xml:space="preserve">Condición técnica</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650" w:type="dxa"/>
          </w:tcPr>
          <w:p w14:paraId="6A8F520A" w14:textId="77777777">
            <w:pPr>
              <w:pBdr/>
              <w:spacing/>
              <w:ind/>
              <w:rPr/>
            </w:pPr>
            <w:r>
              <w:rPr>
                <w:b/>
                <w:bCs/>
                <w:color w:val="ffffff"/>
                <w:sz w:val="17"/>
                <w:szCs w:val="17"/>
              </w:rPr>
              <w:t xml:space="preserve">Condición comercial</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802" w:type="dxa"/>
          </w:tcPr>
          <w:p w14:paraId="174B4112" w14:textId="77777777">
            <w:pPr>
              <w:pBdr/>
              <w:spacing/>
              <w:ind/>
              <w:rPr/>
            </w:pPr>
            <w:r>
              <w:rPr>
                <w:b/>
                <w:bCs/>
                <w:color w:val="ffffff"/>
                <w:sz w:val="17"/>
                <w:szCs w:val="17"/>
              </w:rPr>
              <w:t xml:space="preserve">Lectura</w:t>
            </w:r>
            <w:r/>
          </w:p>
        </w:tc>
      </w:tr>
      <w:tr>
        <w:trPr>
          <w:cantSplit/>
        </w:trPr>
        <w:tc>
          <w:tcPr>
            <w:tcBorders/>
            <w:tcW w:w="1400" w:type="dxa"/>
          </w:tcPr>
          <w:p w14:paraId="13F01EB1" w14:textId="77777777">
            <w:pPr>
              <w:pBdr/>
              <w:spacing/>
              <w:ind/>
              <w:rPr/>
            </w:pPr>
            <w:r>
              <w:rPr>
                <w:sz w:val="17"/>
                <w:szCs w:val="17"/>
              </w:rPr>
              <w:t xml:space="preserve">Año 1</w:t>
            </w:r>
            <w:r/>
          </w:p>
        </w:tc>
        <w:tc>
          <w:tcPr>
            <w:tcBorders/>
            <w:tcW w:w="1500" w:type="dxa"/>
          </w:tcPr>
          <w:p w14:paraId="7DD6350D" w14:textId="77777777">
            <w:pPr>
              <w:pBdr/>
              <w:spacing/>
              <w:ind/>
              <w:rPr/>
            </w:pPr>
            <w:r>
              <w:rPr>
                <w:sz w:val="17"/>
                <w:szCs w:val="17"/>
              </w:rPr>
              <w:t xml:space="preserve">Hasta 20.000</w:t>
            </w:r>
            <w:r/>
          </w:p>
        </w:tc>
        <w:tc>
          <w:tcPr>
            <w:tcBorders/>
            <w:tcW w:w="1900" w:type="dxa"/>
          </w:tcPr>
          <w:p w14:paraId="1DBE423D" w14:textId="77777777">
            <w:pPr>
              <w:pBdr/>
              <w:spacing/>
              <w:ind/>
              <w:rPr/>
            </w:pPr>
            <w:r>
              <w:rPr>
                <w:sz w:val="17"/>
                <w:szCs w:val="17"/>
              </w:rPr>
              <w:t xml:space="preserve">≥ 60 % antes de producir</w:t>
            </w:r>
            <w:r/>
          </w:p>
        </w:tc>
        <w:tc>
          <w:tcPr>
            <w:tcBorders/>
            <w:tcW w:w="1500" w:type="dxa"/>
          </w:tcPr>
          <w:p w14:paraId="26FFE438" w14:textId="77777777">
            <w:pPr>
              <w:pBdr/>
              <w:spacing/>
              <w:ind/>
              <w:rPr/>
            </w:pPr>
            <w:r>
              <w:rPr>
                <w:sz w:val="17"/>
                <w:szCs w:val="17"/>
              </w:rPr>
              <w:t xml:space="preserve">Proceso estable</w:t>
            </w:r>
            <w:r/>
          </w:p>
        </w:tc>
        <w:tc>
          <w:tcPr>
            <w:tcBorders/>
            <w:tcW w:w="1650" w:type="dxa"/>
          </w:tcPr>
          <w:p w14:paraId="41E30BD0" w14:textId="77777777">
            <w:pPr>
              <w:pBdr/>
              <w:spacing/>
              <w:ind/>
              <w:rPr/>
            </w:pPr>
            <w:r>
              <w:rPr>
                <w:sz w:val="17"/>
                <w:szCs w:val="17"/>
              </w:rPr>
              <w:t xml:space="preserve">Preventa inicial</w:t>
            </w:r>
            <w:r/>
          </w:p>
        </w:tc>
        <w:tc>
          <w:tcPr>
            <w:tcBorders/>
            <w:tcW w:w="1802" w:type="dxa"/>
          </w:tcPr>
          <w:p w14:paraId="3E4911BD" w14:textId="77777777">
            <w:pPr>
              <w:pBdr/>
              <w:spacing/>
              <w:ind/>
              <w:rPr/>
            </w:pPr>
            <w:r>
              <w:rPr>
                <w:sz w:val="17"/>
                <w:szCs w:val="17"/>
              </w:rPr>
              <w:t xml:space="preserve">Meta de gestión; no demanda contratada.</w:t>
            </w:r>
            <w:r/>
          </w:p>
        </w:tc>
      </w:tr>
      <w:tr>
        <w:trPr>
          <w:cantSplit/>
        </w:trPr>
        <w:tc>
          <w:tcPr>
            <w:tcBorders/>
            <w:tcW w:w="1400" w:type="dxa"/>
          </w:tcPr>
          <w:p w14:paraId="1E37AD49" w14:textId="77777777">
            <w:pPr>
              <w:pBdr/>
              <w:spacing/>
              <w:ind/>
              <w:rPr/>
            </w:pPr>
            <w:r>
              <w:rPr>
                <w:sz w:val="17"/>
                <w:szCs w:val="17"/>
              </w:rPr>
              <w:t xml:space="preserve">Año 2</w:t>
            </w:r>
            <w:r/>
          </w:p>
        </w:tc>
        <w:tc>
          <w:tcPr>
            <w:tcBorders/>
            <w:tcW w:w="1500" w:type="dxa"/>
          </w:tcPr>
          <w:p w14:paraId="58FF8DB4" w14:textId="77777777">
            <w:pPr>
              <w:pBdr/>
              <w:spacing/>
              <w:ind/>
              <w:rPr/>
            </w:pPr>
            <w:r>
              <w:rPr>
                <w:sz w:val="17"/>
                <w:szCs w:val="17"/>
              </w:rPr>
              <w:t xml:space="preserve">Hasta 40.000</w:t>
            </w:r>
            <w:r/>
          </w:p>
        </w:tc>
        <w:tc>
          <w:tcPr>
            <w:tcBorders/>
            <w:tcW w:w="1900" w:type="dxa"/>
          </w:tcPr>
          <w:p w14:paraId="5EEC1778" w14:textId="77777777">
            <w:pPr>
              <w:pBdr/>
              <w:spacing/>
              <w:ind/>
              <w:rPr/>
            </w:pPr>
            <w:r>
              <w:rPr>
                <w:sz w:val="17"/>
                <w:szCs w:val="17"/>
              </w:rPr>
              <w:t xml:space="preserve">Según recompra</w:t>
            </w:r>
            <w:r/>
          </w:p>
        </w:tc>
        <w:tc>
          <w:tcPr>
            <w:tcBorders/>
            <w:tcW w:w="1500" w:type="dxa"/>
          </w:tcPr>
          <w:p w14:paraId="224D31B5" w14:textId="77777777">
            <w:pPr>
              <w:pBdr/>
              <w:spacing/>
              <w:ind/>
              <w:rPr/>
            </w:pPr>
            <w:r>
              <w:rPr>
                <w:sz w:val="17"/>
                <w:szCs w:val="17"/>
              </w:rPr>
              <w:t xml:space="preserve">Costo real controlado</w:t>
            </w:r>
            <w:r/>
          </w:p>
        </w:tc>
        <w:tc>
          <w:tcPr>
            <w:tcBorders/>
            <w:tcW w:w="1650" w:type="dxa"/>
          </w:tcPr>
          <w:p w14:paraId="0678C1CD" w14:textId="77777777">
            <w:pPr>
              <w:pBdr/>
              <w:spacing/>
              <w:ind/>
              <w:rPr/>
            </w:pPr>
            <w:r>
              <w:rPr>
                <w:sz w:val="17"/>
                <w:szCs w:val="17"/>
              </w:rPr>
              <w:t xml:space="preserve">Capacidad disponible</w:t>
            </w:r>
            <w:r/>
          </w:p>
        </w:tc>
        <w:tc>
          <w:tcPr>
            <w:tcBorders/>
            <w:tcW w:w="1802" w:type="dxa"/>
          </w:tcPr>
          <w:p w14:paraId="61AF8F2A" w14:textId="77777777">
            <w:pPr>
              <w:pBdr/>
              <w:spacing/>
              <w:ind/>
              <w:rPr/>
            </w:pPr>
            <w:r>
              <w:rPr>
                <w:sz w:val="17"/>
                <w:szCs w:val="17"/>
              </w:rPr>
              <w:t xml:space="preserve">Escalado condicionado.</w:t>
            </w:r>
            <w:r/>
          </w:p>
        </w:tc>
      </w:tr>
      <w:tr>
        <w:trPr>
          <w:cantSplit/>
        </w:trPr>
        <w:tc>
          <w:tcPr>
            <w:tcBorders/>
            <w:tcW w:w="1400" w:type="dxa"/>
          </w:tcPr>
          <w:p w14:paraId="4DE3CF97" w14:textId="77777777">
            <w:pPr>
              <w:pBdr/>
              <w:spacing/>
              <w:ind/>
              <w:rPr/>
            </w:pPr>
            <w:r>
              <w:rPr>
                <w:sz w:val="17"/>
                <w:szCs w:val="17"/>
              </w:rPr>
              <w:t xml:space="preserve">Año 3</w:t>
            </w:r>
            <w:r/>
          </w:p>
        </w:tc>
        <w:tc>
          <w:tcPr>
            <w:tcBorders/>
            <w:tcW w:w="1500" w:type="dxa"/>
          </w:tcPr>
          <w:p w14:paraId="379FC12D" w14:textId="77777777">
            <w:pPr>
              <w:pBdr/>
              <w:spacing/>
              <w:ind/>
              <w:rPr/>
            </w:pPr>
            <w:r>
              <w:rPr>
                <w:sz w:val="17"/>
                <w:szCs w:val="17"/>
              </w:rPr>
              <w:t xml:space="preserve">Hasta 60.000</w:t>
            </w:r>
            <w:r/>
          </w:p>
        </w:tc>
        <w:tc>
          <w:tcPr>
            <w:tcBorders/>
            <w:tcW w:w="1900" w:type="dxa"/>
          </w:tcPr>
          <w:p w14:paraId="06C2B5B7" w14:textId="77777777">
            <w:pPr>
              <w:pBdr/>
              <w:spacing/>
              <w:ind/>
              <w:rPr/>
            </w:pPr>
            <w:r>
              <w:rPr>
                <w:sz w:val="17"/>
                <w:szCs w:val="17"/>
              </w:rPr>
              <w:t xml:space="preserve">Demanda repetida</w:t>
            </w:r>
            <w:r/>
          </w:p>
        </w:tc>
        <w:tc>
          <w:tcPr>
            <w:tcBorders/>
            <w:tcW w:w="1500" w:type="dxa"/>
          </w:tcPr>
          <w:p w14:paraId="76C1E333" w14:textId="77777777">
            <w:pPr>
              <w:pBdr/>
              <w:spacing/>
              <w:ind/>
              <w:rPr/>
            </w:pPr>
            <w:r>
              <w:rPr>
                <w:sz w:val="17"/>
                <w:szCs w:val="17"/>
              </w:rPr>
              <w:t xml:space="preserve">Baja reposición</w:t>
            </w:r>
            <w:r/>
          </w:p>
        </w:tc>
        <w:tc>
          <w:tcPr>
            <w:tcBorders/>
            <w:tcW w:w="1650" w:type="dxa"/>
          </w:tcPr>
          <w:p w14:paraId="073624CD" w14:textId="77777777">
            <w:pPr>
              <w:pBdr/>
              <w:spacing/>
              <w:ind/>
              <w:rPr/>
            </w:pPr>
            <w:r>
              <w:rPr>
                <w:sz w:val="17"/>
                <w:szCs w:val="17"/>
              </w:rPr>
              <w:t xml:space="preserve">Margen objetivo sostenido</w:t>
            </w:r>
            <w:r/>
          </w:p>
        </w:tc>
        <w:tc>
          <w:tcPr>
            <w:tcBorders/>
            <w:tcW w:w="1802" w:type="dxa"/>
          </w:tcPr>
          <w:p w14:paraId="432E76F5" w14:textId="77777777">
            <w:pPr>
              <w:pBdr/>
              <w:spacing/>
              <w:ind/>
              <w:rPr/>
            </w:pPr>
            <w:r>
              <w:rPr>
                <w:sz w:val="17"/>
                <w:szCs w:val="17"/>
              </w:rPr>
              <w:t xml:space="preserve">Techo operativo preliminar.</w:t>
            </w:r>
            <w:r/>
          </w:p>
        </w:tc>
      </w:tr>
    </w:tbl>
    <w:p w14:paraId="6E18C6C9" w14:textId="77777777">
      <w:pPr>
        <w:pBdr/>
        <w:spacing w:after="120" w:line="252" w:lineRule="auto"/>
        <w:ind/>
        <w:rPr/>
      </w:pPr>
      <w:r>
        <w:t xml:space="preserve">Los porcentajes de adopción del injerto (</w:t>
      </w:r>
      <w:r>
        <w:t xml:space="preserve">10 %, 20 %, 30 %) pueden conservarse únicamente como análisis de sensibilidad para futuras proyecciones, no como fundamento de la meta de ventas. La variable que deberá reemplazarlos es la preventa real sobre la cartera de VFW y nuevos clientes regionales.</w:t>
      </w:r>
      <w:r/>
    </w:p>
    <w:p w14:paraId="478EFB04" w14:textId="77777777">
      <w:pPr>
        <w:pBdr/>
        <w:spacing w:after="120" w:line="276" w:lineRule="auto"/>
        <w:ind/>
        <w:jc w:val="both"/>
        <w:rPr/>
      </w:pPr>
      <w:r>
        <w:t xml:space="preserve">Par</w:t>
      </w:r>
      <w:r>
        <w:t xml:space="preserve">a la Fase 2 tampoco se asume que una proporción fija de los invernaderos tenga nematodos. El mercado del tratamiento se construirá a partir de diagnósticos de lotes y pilotos medidos; el primer objetivo es validar 0,25–0,30 ha antes de escalar el servicio.</w:t>
      </w:r>
      <w:r/>
    </w:p>
    <w:p w14:paraId="534094CE" w14:textId="77777777">
      <w:pPr>
        <w:pBdr/>
        <w:spacing w:after="120" w:line="276" w:lineRule="auto"/>
        <w:ind/>
        <w:jc w:val="both"/>
        <w:rPr/>
      </w:pPr>
      <w:r/>
      <w:r/>
    </w:p>
    <w:p w14:paraId="6F998032" w14:textId="77777777">
      <w:pPr>
        <w:pBdr/>
        <w:spacing w:after="120" w:line="276" w:lineRule="auto"/>
        <w:ind/>
        <w:jc w:val="both"/>
        <w:rPr/>
      </w:pPr>
      <w:r/>
      <w:r/>
    </w:p>
    <w:p w14:paraId="6ED7E470" w14:textId="77777777">
      <w:pPr>
        <w:pStyle w:val="796"/>
        <w:keepNext w:val="true"/>
        <w:pBdr/>
        <w:spacing/>
        <w:ind/>
        <w:rPr/>
      </w:pPr>
      <w:r>
        <w:t xml:space="preserve">6. Infraestructura existente y capacidad a auditar</w:t>
      </w:r>
      <w:r/>
    </w:p>
    <w:p w14:paraId="6B639AA4" w14:textId="77777777">
      <w:pPr>
        <w:pBdr/>
        <w:spacing w:after="120" w:line="276" w:lineRule="auto"/>
        <w:ind/>
        <w:jc w:val="both"/>
        <w:rPr/>
      </w:pPr>
      <w:r>
        <w:t xml:space="preserve">VFW no parte de cero: opera en un predio propio de 13 ha en Allen y la infor</w:t>
      </w:r>
      <w:r>
        <w:t xml:space="preserve">mación pública de 2021 registra 3 ha de invernaderos, siembra mecanizada, cámara de germinación, sustrato propio, bandejas y una cartera que alcanza Alto Valle, Valle Medio y parte de Neuquén [S3]. Esta base reduce de forma importante la inversión inicial.</w:t>
      </w:r>
      <w:r/>
    </w:p>
    <w:tbl>
      <w:tblPr>
        <w:tblStyle w:val="816"/>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00"/>
        <w:gridCol w:w="3700"/>
        <w:gridCol w:w="38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200" w:type="dxa"/>
          </w:tcPr>
          <w:p w14:paraId="67306C74" w14:textId="77777777">
            <w:pPr>
              <w:pBdr/>
              <w:spacing/>
              <w:ind/>
              <w:rPr/>
            </w:pPr>
            <w:r>
              <w:rPr>
                <w:b/>
                <w:bCs/>
                <w:color w:val="ffffff"/>
                <w:sz w:val="17"/>
                <w:szCs w:val="17"/>
              </w:rPr>
              <w:t xml:space="preserve">Recurso existente</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700" w:type="dxa"/>
          </w:tcPr>
          <w:p w14:paraId="47BD871D" w14:textId="77777777">
            <w:pPr>
              <w:pBdr/>
              <w:spacing/>
              <w:ind/>
              <w:rPr/>
            </w:pPr>
            <w:r>
              <w:rPr>
                <w:b/>
                <w:bCs/>
                <w:color w:val="ffffff"/>
                <w:sz w:val="17"/>
                <w:szCs w:val="17"/>
              </w:rPr>
              <w:t xml:space="preserve">Evidencia y uso posible</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52" w:type="dxa"/>
          </w:tcPr>
          <w:p w14:paraId="4CF54FBB" w14:textId="77777777">
            <w:pPr>
              <w:pBdr/>
              <w:spacing/>
              <w:ind/>
              <w:rPr/>
            </w:pPr>
            <w:r>
              <w:rPr>
                <w:b/>
                <w:bCs/>
                <w:color w:val="ffffff"/>
                <w:sz w:val="17"/>
                <w:szCs w:val="17"/>
              </w:rPr>
              <w:t xml:space="preserve">Dato a confirmar</w:t>
            </w:r>
            <w:r/>
          </w:p>
        </w:tc>
      </w:tr>
      <w:tr>
        <w:trPr>
          <w:cantSplit/>
        </w:trPr>
        <w:tc>
          <w:tcPr>
            <w:tcBorders/>
            <w:tcW w:w="2200" w:type="dxa"/>
          </w:tcPr>
          <w:p w14:paraId="04B4F477" w14:textId="77777777">
            <w:pPr>
              <w:pBdr/>
              <w:spacing/>
              <w:ind/>
              <w:rPr/>
            </w:pPr>
            <w:r>
              <w:rPr>
                <w:sz w:val="17"/>
                <w:szCs w:val="17"/>
              </w:rPr>
              <w:t xml:space="preserve">Invernaderos</w:t>
            </w:r>
            <w:r/>
          </w:p>
        </w:tc>
        <w:tc>
          <w:tcPr>
            <w:tcBorders/>
            <w:tcW w:w="3700" w:type="dxa"/>
          </w:tcPr>
          <w:p w14:paraId="2D13304E" w14:textId="77777777">
            <w:pPr>
              <w:pBdr/>
              <w:spacing/>
              <w:ind/>
              <w:rPr/>
            </w:pPr>
            <w:r>
              <w:rPr>
                <w:sz w:val="17"/>
                <w:szCs w:val="17"/>
              </w:rPr>
              <w:t xml:space="preserve">3 ha dentro de un predio de 13 ha [S3]. Siembra, aclimatación y lotes piloto.</w:t>
            </w:r>
            <w:r/>
          </w:p>
        </w:tc>
        <w:tc>
          <w:tcPr>
            <w:tcBorders/>
            <w:tcW w:w="3852" w:type="dxa"/>
          </w:tcPr>
          <w:p w14:paraId="5430E738" w14:textId="77777777">
            <w:pPr>
              <w:pBdr/>
              <w:spacing/>
              <w:ind/>
              <w:rPr/>
            </w:pPr>
            <w:r>
              <w:rPr>
                <w:sz w:val="17"/>
                <w:szCs w:val="17"/>
              </w:rPr>
              <w:t xml:space="preserve">Ocupación estacional y superficie libre.</w:t>
            </w:r>
            <w:r/>
          </w:p>
        </w:tc>
      </w:tr>
      <w:tr>
        <w:trPr>
          <w:cantSplit/>
        </w:trPr>
        <w:tc>
          <w:tcPr>
            <w:tcBorders/>
            <w:tcW w:w="2200" w:type="dxa"/>
          </w:tcPr>
          <w:p w14:paraId="25F88CDF" w14:textId="77777777">
            <w:pPr>
              <w:pBdr/>
              <w:spacing/>
              <w:ind/>
              <w:rPr/>
            </w:pPr>
            <w:r>
              <w:rPr>
                <w:sz w:val="17"/>
                <w:szCs w:val="17"/>
              </w:rPr>
              <w:t xml:space="preserve">Sembradora</w:t>
            </w:r>
            <w:r/>
          </w:p>
        </w:tc>
        <w:tc>
          <w:tcPr>
            <w:tcBorders/>
            <w:tcW w:w="3700" w:type="dxa"/>
          </w:tcPr>
          <w:p w14:paraId="4B41032E" w14:textId="77777777">
            <w:pPr>
              <w:pBdr/>
              <w:spacing/>
              <w:ind/>
              <w:rPr/>
            </w:pPr>
            <w:r>
              <w:rPr>
                <w:sz w:val="17"/>
                <w:szCs w:val="17"/>
              </w:rPr>
              <w:t xml:space="preserve">300 bandejas/h [S3]. Siembra sincronizada de pie y copa.</w:t>
            </w:r>
            <w:r/>
          </w:p>
        </w:tc>
        <w:tc>
          <w:tcPr>
            <w:tcBorders/>
            <w:tcW w:w="3852" w:type="dxa"/>
          </w:tcPr>
          <w:p w14:paraId="1823D015" w14:textId="77777777">
            <w:pPr>
              <w:pBdr/>
              <w:spacing/>
              <w:ind/>
              <w:rPr/>
            </w:pPr>
            <w:r>
              <w:rPr>
                <w:sz w:val="17"/>
                <w:szCs w:val="17"/>
              </w:rPr>
              <w:t xml:space="preserve">Disponibilidad en el pico de pretemporada.</w:t>
            </w:r>
            <w:r/>
          </w:p>
        </w:tc>
      </w:tr>
      <w:tr>
        <w:trPr>
          <w:cantSplit/>
        </w:trPr>
        <w:tc>
          <w:tcPr>
            <w:tcBorders/>
            <w:tcW w:w="2200" w:type="dxa"/>
          </w:tcPr>
          <w:p w14:paraId="61BF1F90" w14:textId="77777777">
            <w:pPr>
              <w:pBdr/>
              <w:spacing/>
              <w:ind/>
              <w:rPr/>
            </w:pPr>
            <w:r>
              <w:rPr>
                <w:sz w:val="17"/>
                <w:szCs w:val="17"/>
              </w:rPr>
              <w:t xml:space="preserve">Cámara de germinación</w:t>
            </w:r>
            <w:r/>
          </w:p>
        </w:tc>
        <w:tc>
          <w:tcPr>
            <w:tcBorders/>
            <w:tcW w:w="3700" w:type="dxa"/>
          </w:tcPr>
          <w:p w14:paraId="7C2AB08C" w14:textId="77777777">
            <w:pPr>
              <w:pBdr/>
              <w:spacing/>
              <w:ind/>
              <w:rPr/>
            </w:pPr>
            <w:r>
              <w:rPr>
                <w:sz w:val="17"/>
                <w:szCs w:val="17"/>
              </w:rPr>
              <w:t xml:space="preserve">En funcionamiento [S3]. Germinación homogénea.</w:t>
            </w:r>
            <w:r/>
          </w:p>
        </w:tc>
        <w:tc>
          <w:tcPr>
            <w:tcBorders/>
            <w:tcW w:w="3852" w:type="dxa"/>
          </w:tcPr>
          <w:p w14:paraId="0CC3F7E1" w14:textId="77777777">
            <w:pPr>
              <w:pBdr/>
              <w:spacing/>
              <w:ind/>
              <w:rPr/>
            </w:pPr>
            <w:r>
              <w:rPr>
                <w:sz w:val="17"/>
                <w:szCs w:val="17"/>
              </w:rPr>
              <w:t xml:space="preserve">Capacidad libre y condiciones actuales.</w:t>
            </w:r>
            <w:r/>
          </w:p>
        </w:tc>
      </w:tr>
      <w:tr>
        <w:trPr>
          <w:cantSplit/>
        </w:trPr>
        <w:tc>
          <w:tcPr>
            <w:tcBorders/>
            <w:tcW w:w="2200" w:type="dxa"/>
          </w:tcPr>
          <w:p w14:paraId="5A31677B" w14:textId="77777777">
            <w:pPr>
              <w:pBdr/>
              <w:spacing/>
              <w:ind/>
              <w:rPr/>
            </w:pPr>
            <w:r>
              <w:rPr>
                <w:sz w:val="17"/>
                <w:szCs w:val="17"/>
              </w:rPr>
              <w:t xml:space="preserve">Sustrato / bandejas</w:t>
            </w:r>
            <w:r/>
          </w:p>
        </w:tc>
        <w:tc>
          <w:tcPr>
            <w:tcBorders/>
            <w:tcW w:w="3700" w:type="dxa"/>
          </w:tcPr>
          <w:p w14:paraId="345BB95E" w14:textId="77777777">
            <w:pPr>
              <w:pBdr/>
              <w:spacing/>
              <w:ind/>
              <w:rPr/>
            </w:pPr>
            <w:r>
              <w:rPr>
                <w:sz w:val="17"/>
                <w:szCs w:val="17"/>
              </w:rPr>
              <w:t xml:space="preserve">Sustrato propio; bandejas de 325, 200 y 128 celdas [S3].</w:t>
            </w:r>
            <w:r/>
          </w:p>
        </w:tc>
        <w:tc>
          <w:tcPr>
            <w:tcBorders/>
            <w:tcW w:w="3852" w:type="dxa"/>
          </w:tcPr>
          <w:p w14:paraId="3DE32344" w14:textId="77777777">
            <w:pPr>
              <w:pBdr/>
              <w:spacing/>
              <w:ind/>
              <w:rPr/>
            </w:pPr>
            <w:r>
              <w:rPr>
                <w:sz w:val="17"/>
                <w:szCs w:val="17"/>
              </w:rPr>
              <w:t xml:space="preserve">Formato final por especie e injerto.</w:t>
            </w:r>
            <w:r/>
          </w:p>
        </w:tc>
      </w:tr>
      <w:tr>
        <w:trPr>
          <w:cantSplit/>
        </w:trPr>
        <w:tc>
          <w:tcPr>
            <w:tcBorders/>
            <w:tcW w:w="2200" w:type="dxa"/>
          </w:tcPr>
          <w:p w14:paraId="40EADD09" w14:textId="77777777">
            <w:pPr>
              <w:pBdr/>
              <w:spacing/>
              <w:ind/>
              <w:rPr/>
            </w:pPr>
            <w:r>
              <w:rPr>
                <w:sz w:val="17"/>
                <w:szCs w:val="17"/>
              </w:rPr>
              <w:t xml:space="preserve">Cartera regional</w:t>
            </w:r>
            <w:r/>
          </w:p>
        </w:tc>
        <w:tc>
          <w:tcPr>
            <w:tcBorders/>
            <w:tcW w:w="3700" w:type="dxa"/>
          </w:tcPr>
          <w:p w14:paraId="0D2E67E2" w14:textId="77777777">
            <w:pPr>
              <w:pBdr/>
              <w:spacing/>
              <w:ind/>
              <w:rPr/>
            </w:pPr>
            <w:r>
              <w:rPr>
                <w:sz w:val="17"/>
                <w:szCs w:val="17"/>
              </w:rPr>
              <w:t xml:space="preserve">Alto Valle, Valle Medio y parte de Neuquén [S3]. Preventa y validación comercial.</w:t>
            </w:r>
            <w:r/>
          </w:p>
        </w:tc>
        <w:tc>
          <w:tcPr>
            <w:tcBorders/>
            <w:tcW w:w="3852" w:type="dxa"/>
          </w:tcPr>
          <w:p w14:paraId="4853F2C3" w14:textId="77777777">
            <w:pPr>
              <w:pBdr/>
              <w:spacing/>
              <w:ind/>
              <w:rPr/>
            </w:pPr>
            <w:r>
              <w:rPr>
                <w:sz w:val="17"/>
                <w:szCs w:val="17"/>
              </w:rPr>
              <w:t xml:space="preserve">Clientes de tomate/pimiento y volumen anual.</w:t>
            </w:r>
            <w:r/>
          </w:p>
        </w:tc>
      </w:tr>
    </w:tbl>
    <w:p w14:paraId="09A2F167" w14:textId="77777777">
      <w:pPr>
        <w:pBdr/>
        <w:spacing w:after="60"/>
        <w:ind/>
        <w:rPr/>
      </w:pPr>
      <w:r>
        <w:t xml:space="preserve">La existencia de infraestructura no implica que tod</w:t>
      </w:r>
      <w:r>
        <w:t xml:space="preserve">a ella esté libre para la nueva línea. Antes de invertir debe auditarse la ocupación por temporada, el uso real de la cámara de germinación, disponibilidad de personal, espacio de aclimatación y capacidad logística sin afectar los plantines convencionales.</w:t>
      </w:r>
      <w:r/>
    </w:p>
    <w:p w14:paraId="4B13BFEE" w14:textId="77777777">
      <w:pPr>
        <w:keepNext w:val="true"/>
        <w:pBdr/>
        <w:spacing w:after="120" w:line="276" w:lineRule="auto"/>
        <w:ind/>
        <w:jc w:val="both"/>
        <w:rPr/>
      </w:pPr>
      <w:r>
        <w:t xml:space="preserve">Para una meta inicial de 20.000 plantines, la siembra</w:t>
      </w:r>
      <w:r>
        <w:t xml:space="preserve"> mecanizada no aparece como cuello de botella. La restricción probable es el injerto manual, la sincronización de pie y copa y la cicatrización; por eso el dimensionamiento definitivo debe calcularse sobre plantas vendibles por semana y supervivencia real.</w:t>
      </w:r>
      <w:r/>
    </w:p>
    <w:tbl>
      <w:tblPr>
        <w:tblStyle w:val="817"/>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00"/>
        <w:gridCol w:w="1700"/>
        <w:gridCol w:w="2500"/>
        <w:gridCol w:w="1850"/>
        <w:gridCol w:w="180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900" w:type="dxa"/>
          </w:tcPr>
          <w:p w14:paraId="4FB6DA30" w14:textId="77777777">
            <w:pPr>
              <w:pBdr/>
              <w:spacing/>
              <w:ind/>
              <w:rPr/>
            </w:pPr>
            <w:r>
              <w:rPr>
                <w:b/>
                <w:bCs/>
                <w:color w:val="ffffff"/>
                <w:sz w:val="17"/>
                <w:szCs w:val="17"/>
              </w:rPr>
              <w:t xml:space="preserve">Recurso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700" w:type="dxa"/>
          </w:tcPr>
          <w:p w14:paraId="34DD3D47" w14:textId="77777777">
            <w:pPr>
              <w:pBdr/>
              <w:spacing/>
              <w:ind/>
              <w:rPr/>
            </w:pPr>
            <w:r>
              <w:rPr>
                <w:b/>
                <w:bCs/>
                <w:color w:val="ffffff"/>
                <w:sz w:val="17"/>
                <w:szCs w:val="17"/>
              </w:rPr>
              <w:t xml:space="preserve">Capacidad / lectura</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500" w:type="dxa"/>
          </w:tcPr>
          <w:p w14:paraId="26849E77" w14:textId="77777777">
            <w:pPr>
              <w:pBdr/>
              <w:spacing/>
              <w:ind/>
              <w:rPr/>
            </w:pPr>
            <w:r>
              <w:rPr>
                <w:b/>
                <w:bCs/>
                <w:color w:val="ffffff"/>
                <w:sz w:val="17"/>
                <w:szCs w:val="17"/>
              </w:rPr>
              <w:t xml:space="preserve">Necesidad inicial</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850" w:type="dxa"/>
          </w:tcPr>
          <w:p w14:paraId="48C0149F" w14:textId="77777777">
            <w:pPr>
              <w:pBdr/>
              <w:spacing/>
              <w:ind/>
              <w:rPr/>
            </w:pPr>
            <w:r>
              <w:rPr>
                <w:b/>
                <w:bCs/>
                <w:color w:val="ffffff"/>
                <w:sz w:val="17"/>
                <w:szCs w:val="17"/>
              </w:rPr>
              <w:t xml:space="preserve">Riesgo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802" w:type="dxa"/>
          </w:tcPr>
          <w:p w14:paraId="0BE3E5FE" w14:textId="77777777">
            <w:pPr>
              <w:pBdr/>
              <w:spacing/>
              <w:ind/>
              <w:rPr/>
            </w:pPr>
            <w:r>
              <w:rPr>
                <w:b/>
                <w:bCs/>
                <w:color w:val="ffffff"/>
                <w:sz w:val="17"/>
                <w:szCs w:val="17"/>
              </w:rPr>
              <w:t xml:space="preserve">Validación</w:t>
            </w:r>
            <w:r/>
          </w:p>
        </w:tc>
      </w:tr>
      <w:tr>
        <w:trPr>
          <w:cantSplit/>
        </w:trPr>
        <w:tc>
          <w:tcPr>
            <w:tcBorders/>
            <w:tcW w:w="1900" w:type="dxa"/>
          </w:tcPr>
          <w:p w14:paraId="746FD3BB" w14:textId="77777777">
            <w:pPr>
              <w:pBdr/>
              <w:spacing/>
              <w:ind/>
              <w:rPr/>
            </w:pPr>
            <w:r>
              <w:rPr>
                <w:sz w:val="17"/>
                <w:szCs w:val="17"/>
              </w:rPr>
              <w:t xml:space="preserve">Siembra</w:t>
            </w:r>
            <w:r/>
          </w:p>
        </w:tc>
        <w:tc>
          <w:tcPr>
            <w:tcBorders/>
            <w:tcW w:w="1700" w:type="dxa"/>
          </w:tcPr>
          <w:p w14:paraId="011AB42F" w14:textId="77777777">
            <w:pPr>
              <w:pBdr/>
              <w:spacing/>
              <w:ind/>
              <w:rPr/>
            </w:pPr>
            <w:r>
              <w:rPr>
                <w:sz w:val="17"/>
                <w:szCs w:val="17"/>
              </w:rPr>
              <w:t xml:space="preserve">300 bandejas/h publicadas [S3]</w:t>
            </w:r>
            <w:r/>
          </w:p>
        </w:tc>
        <w:tc>
          <w:tcPr>
            <w:tcBorders/>
            <w:tcW w:w="2500" w:type="dxa"/>
          </w:tcPr>
          <w:p w14:paraId="787F1D4D" w14:textId="77777777">
            <w:pPr>
              <w:pBdr/>
              <w:spacing/>
              <w:ind/>
              <w:rPr/>
            </w:pPr>
            <w:r>
              <w:rPr>
                <w:sz w:val="17"/>
                <w:szCs w:val="17"/>
              </w:rPr>
              <w:t xml:space="preserve">Muy inferior a la capacidad teórica</w:t>
            </w:r>
            <w:r/>
          </w:p>
        </w:tc>
        <w:tc>
          <w:tcPr>
            <w:tcBorders/>
            <w:tcW w:w="1850" w:type="dxa"/>
          </w:tcPr>
          <w:p w14:paraId="3F9415F3" w14:textId="77777777">
            <w:pPr>
              <w:pBdr/>
              <w:spacing/>
              <w:ind/>
              <w:rPr/>
            </w:pPr>
            <w:r>
              <w:rPr>
                <w:sz w:val="17"/>
                <w:szCs w:val="17"/>
              </w:rPr>
              <w:t xml:space="preserve">Coincidencia con línea convencional</w:t>
            </w:r>
            <w:r/>
          </w:p>
        </w:tc>
        <w:tc>
          <w:tcPr>
            <w:tcBorders/>
            <w:tcW w:w="1802" w:type="dxa"/>
          </w:tcPr>
          <w:p w14:paraId="2F1ADDC6" w14:textId="77777777">
            <w:pPr>
              <w:pBdr/>
              <w:spacing/>
              <w:ind/>
              <w:rPr/>
            </w:pPr>
            <w:r>
              <w:rPr>
                <w:sz w:val="17"/>
                <w:szCs w:val="17"/>
              </w:rPr>
              <w:t xml:space="preserve">Calendario real de uso.</w:t>
            </w:r>
            <w:r/>
          </w:p>
        </w:tc>
      </w:tr>
      <w:tr>
        <w:trPr>
          <w:cantSplit/>
        </w:trPr>
        <w:tc>
          <w:tcPr>
            <w:tcBorders/>
            <w:tcW w:w="1900" w:type="dxa"/>
          </w:tcPr>
          <w:p w14:paraId="7D870E24" w14:textId="77777777">
            <w:pPr>
              <w:pBdr/>
              <w:spacing/>
              <w:ind/>
              <w:rPr/>
            </w:pPr>
            <w:r>
              <w:rPr>
                <w:sz w:val="17"/>
                <w:szCs w:val="17"/>
              </w:rPr>
              <w:t xml:space="preserve">Superficie protegida</w:t>
            </w:r>
            <w:r/>
          </w:p>
        </w:tc>
        <w:tc>
          <w:tcPr>
            <w:tcBorders/>
            <w:tcW w:w="1700" w:type="dxa"/>
          </w:tcPr>
          <w:p w14:paraId="41367151" w14:textId="77777777">
            <w:pPr>
              <w:pBdr/>
              <w:spacing/>
              <w:ind/>
              <w:rPr/>
            </w:pPr>
            <w:r>
              <w:rPr>
                <w:sz w:val="17"/>
                <w:szCs w:val="17"/>
              </w:rPr>
              <w:t xml:space="preserve">3 ha instaladas [S3]</w:t>
            </w:r>
            <w:r/>
          </w:p>
        </w:tc>
        <w:tc>
          <w:tcPr>
            <w:tcBorders/>
            <w:tcW w:w="2500" w:type="dxa"/>
          </w:tcPr>
          <w:p w14:paraId="60A5FC2D" w14:textId="77777777">
            <w:pPr>
              <w:pBdr/>
              <w:spacing/>
              <w:ind/>
              <w:rPr/>
            </w:pPr>
            <w:r>
              <w:rPr>
                <w:sz w:val="17"/>
                <w:szCs w:val="17"/>
              </w:rPr>
              <w:t xml:space="preserve">Lotes acotados</w:t>
            </w:r>
            <w:r/>
          </w:p>
        </w:tc>
        <w:tc>
          <w:tcPr>
            <w:tcBorders/>
            <w:tcW w:w="1850" w:type="dxa"/>
          </w:tcPr>
          <w:p w14:paraId="5AC83CB0" w14:textId="77777777">
            <w:pPr>
              <w:pBdr/>
              <w:spacing/>
              <w:ind/>
              <w:rPr/>
            </w:pPr>
            <w:r>
              <w:rPr>
                <w:sz w:val="17"/>
                <w:szCs w:val="17"/>
              </w:rPr>
              <w:t xml:space="preserve">Capacidad ociosa desconocida</w:t>
            </w:r>
            <w:r/>
          </w:p>
        </w:tc>
        <w:tc>
          <w:tcPr>
            <w:tcBorders/>
            <w:tcW w:w="1802" w:type="dxa"/>
          </w:tcPr>
          <w:p w14:paraId="4ECD0CD2" w14:textId="77777777">
            <w:pPr>
              <w:pBdr/>
              <w:spacing/>
              <w:ind/>
              <w:rPr/>
            </w:pPr>
            <w:r>
              <w:rPr>
                <w:sz w:val="17"/>
                <w:szCs w:val="17"/>
              </w:rPr>
              <w:t xml:space="preserve">Mapa de ocupación por mes.</w:t>
            </w:r>
            <w:r/>
          </w:p>
        </w:tc>
      </w:tr>
      <w:tr>
        <w:trPr>
          <w:cantSplit/>
        </w:trPr>
        <w:tc>
          <w:tcPr>
            <w:tcBorders/>
            <w:tcW w:w="1900" w:type="dxa"/>
          </w:tcPr>
          <w:p w14:paraId="4265E2D8" w14:textId="77777777">
            <w:pPr>
              <w:pBdr/>
              <w:spacing/>
              <w:ind/>
              <w:rPr/>
            </w:pPr>
            <w:r>
              <w:rPr>
                <w:sz w:val="17"/>
                <w:szCs w:val="17"/>
              </w:rPr>
              <w:t xml:space="preserve">Injerto manual</w:t>
            </w:r>
            <w:r/>
          </w:p>
        </w:tc>
        <w:tc>
          <w:tcPr>
            <w:tcBorders/>
            <w:tcW w:w="1700" w:type="dxa"/>
          </w:tcPr>
          <w:p w14:paraId="59BC438C" w14:textId="77777777">
            <w:pPr>
              <w:pBdr/>
              <w:spacing/>
              <w:ind/>
              <w:rPr/>
            </w:pPr>
            <w:r>
              <w:rPr>
                <w:sz w:val="17"/>
                <w:szCs w:val="17"/>
              </w:rPr>
              <w:t xml:space="preserve">Proceso nuevo</w:t>
            </w:r>
            <w:r/>
          </w:p>
        </w:tc>
        <w:tc>
          <w:tcPr>
            <w:tcBorders/>
            <w:tcW w:w="2500" w:type="dxa"/>
          </w:tcPr>
          <w:p w14:paraId="26782BDA" w14:textId="77777777">
            <w:pPr>
              <w:pBdr/>
              <w:spacing/>
              <w:ind/>
              <w:rPr/>
            </w:pPr>
            <w:r>
              <w:rPr>
                <w:sz w:val="17"/>
                <w:szCs w:val="17"/>
              </w:rPr>
              <w:t xml:space="preserve">Hasta 20.000/año</w:t>
            </w:r>
            <w:r/>
          </w:p>
        </w:tc>
        <w:tc>
          <w:tcPr>
            <w:tcBorders/>
            <w:tcW w:w="1850" w:type="dxa"/>
          </w:tcPr>
          <w:p w14:paraId="6B370370" w14:textId="77777777">
            <w:pPr>
              <w:pBdr/>
              <w:spacing/>
              <w:ind/>
              <w:rPr/>
            </w:pPr>
            <w:r>
              <w:rPr>
                <w:sz w:val="17"/>
                <w:szCs w:val="17"/>
              </w:rPr>
              <w:t xml:space="preserve">Productividad y descarte</w:t>
            </w:r>
            <w:r/>
          </w:p>
        </w:tc>
        <w:tc>
          <w:tcPr>
            <w:tcBorders/>
            <w:tcW w:w="1802" w:type="dxa"/>
          </w:tcPr>
          <w:p w14:paraId="388BD733" w14:textId="77777777">
            <w:pPr>
              <w:pBdr/>
              <w:spacing/>
              <w:ind/>
              <w:rPr/>
            </w:pPr>
            <w:r>
              <w:rPr>
                <w:sz w:val="17"/>
                <w:szCs w:val="17"/>
              </w:rPr>
              <w:t xml:space="preserve">Medir plantas vendibles/hora.</w:t>
            </w:r>
            <w:r/>
          </w:p>
        </w:tc>
      </w:tr>
      <w:tr>
        <w:trPr>
          <w:cantSplit/>
        </w:trPr>
        <w:tc>
          <w:tcPr>
            <w:tcBorders/>
            <w:tcW w:w="1900" w:type="dxa"/>
          </w:tcPr>
          <w:p w14:paraId="07298F72" w14:textId="77777777">
            <w:pPr>
              <w:pBdr/>
              <w:spacing/>
              <w:ind/>
              <w:rPr/>
            </w:pPr>
            <w:r>
              <w:rPr>
                <w:sz w:val="17"/>
                <w:szCs w:val="17"/>
              </w:rPr>
              <w:t xml:space="preserve">Cicatrización</w:t>
            </w:r>
            <w:r/>
          </w:p>
        </w:tc>
        <w:tc>
          <w:tcPr>
            <w:tcBorders/>
            <w:tcW w:w="1700" w:type="dxa"/>
          </w:tcPr>
          <w:p w14:paraId="6070CD6C" w14:textId="77777777">
            <w:pPr>
              <w:pBdr/>
              <w:spacing/>
              <w:ind/>
              <w:rPr/>
            </w:pPr>
            <w:r>
              <w:rPr>
                <w:sz w:val="17"/>
                <w:szCs w:val="17"/>
              </w:rPr>
              <w:t xml:space="preserve">Activo específico a incorporar</w:t>
            </w:r>
            <w:r/>
          </w:p>
        </w:tc>
        <w:tc>
          <w:tcPr>
            <w:tcBorders/>
            <w:tcW w:w="2500" w:type="dxa"/>
          </w:tcPr>
          <w:p w14:paraId="62858D3C" w14:textId="77777777">
            <w:pPr>
              <w:pBdr/>
              <w:spacing/>
              <w:ind/>
              <w:rPr/>
            </w:pPr>
            <w:r>
              <w:rPr>
                <w:sz w:val="17"/>
                <w:szCs w:val="17"/>
              </w:rPr>
              <w:t xml:space="preserve">Según pico semanal</w:t>
            </w:r>
            <w:r/>
          </w:p>
        </w:tc>
        <w:tc>
          <w:tcPr>
            <w:tcBorders/>
            <w:tcW w:w="1850" w:type="dxa"/>
          </w:tcPr>
          <w:p w14:paraId="3888314E" w14:textId="77777777">
            <w:pPr>
              <w:pBdr/>
              <w:spacing/>
              <w:ind/>
              <w:rPr/>
            </w:pPr>
            <w:r>
              <w:rPr>
                <w:sz w:val="17"/>
                <w:szCs w:val="17"/>
              </w:rPr>
              <w:t xml:space="preserve">Capacidad simultánea/energía</w:t>
            </w:r>
            <w:r/>
          </w:p>
        </w:tc>
        <w:tc>
          <w:tcPr>
            <w:tcBorders/>
            <w:tcW w:w="1802" w:type="dxa"/>
          </w:tcPr>
          <w:p w14:paraId="5BD85680" w14:textId="77777777">
            <w:pPr>
              <w:pBdr/>
              <w:spacing/>
              <w:ind/>
              <w:rPr/>
            </w:pPr>
            <w:r>
              <w:rPr>
                <w:sz w:val="17"/>
                <w:szCs w:val="17"/>
              </w:rPr>
              <w:t xml:space="preserve">Dimensionar por ciclo y racks.</w:t>
            </w:r>
            <w:r/>
          </w:p>
        </w:tc>
      </w:tr>
    </w:tbl>
    <w:p w14:paraId="36267F31" w14:textId="77777777">
      <w:pPr>
        <w:pBdr/>
        <w:spacing w:after="60"/>
        <w:ind/>
        <w:rPr/>
      </w:pPr>
      <w:r>
        <w:rPr>
          <w:sz w:val="20"/>
        </w:rPr>
        <w:t xml:space="preserve">La cámara de cicatrización climatizada de 18 m² y el área de injerto para dos operadores constituyen los activos específicos a incorporar. La cámara aloja racks verticales de cuatro nive</w:t>
      </w:r>
      <w:r>
        <w:rPr>
          <w:sz w:val="20"/>
        </w:rPr>
        <w:t xml:space="preserve">les con capacidad física para 384 bandejas de 128 celdas, equivalentes a 49.152 plantines en proceso simultáneo. Para el ritmo del primer año, con lotes rotativos de 3.000 a 4.000 plantines semanales durante una ventana de ocho a diez semanas, la capacidad</w:t>
      </w:r>
      <w:r>
        <w:rPr>
          <w:sz w:val="20"/>
        </w:rPr>
        <w:t xml:space="preserve"> física de la cámara cubre el pico estacional con holgura. Respecto a la mano de obra, un operario calificado injerta entre 100 y 120 plantas por hora. Cumplir la meta semanal de 2.500 plantines vendibles, considerando una merma técnica del 20 %, requiere </w:t>
      </w:r>
      <w:r>
        <w:rPr>
          <w:sz w:val="20"/>
        </w:rPr>
        <w:t xml:space="preserve">injertar unas 3.125 plant</w:t>
      </w:r>
      <w:r>
        <w:rPr>
          <w:sz w:val="20"/>
        </w:rPr>
        <w:t xml:space="preserve">as semanales. Esta labor insume entre 26 y 31 horas semanales de corte y ensamble, cubiertas por dos operarios dedicados. Para escalar a 40.000 y 60.000 unidades en los años dos y tres, el plan contempla sumar operarios temporarios previamente capacitados.</w:t>
      </w:r>
      <w:r/>
    </w:p>
    <w:p w14:paraId="7DEA45A7" w14:textId="77777777">
      <w:pPr>
        <w:keepNext w:val="true"/>
        <w:pBdr/>
        <w:spacing w:after="120" w:line="276" w:lineRule="auto"/>
        <w:ind/>
        <w:jc w:val="both"/>
        <w:rPr/>
      </w:pPr>
      <w:r>
        <w:t xml:space="preserve">La Fa</w:t>
      </w:r>
      <w:r>
        <w:t xml:space="preserve">se 2 agrega sensores/registradores de temperatura de suelo, film y elementos de aplicación, acopio temporal de enmiendas y convenio con laboratorio. La logística del orujo se dimensionará recién cuando el piloto determine dosis y frecuencia de tratamiento.</w:t>
      </w:r>
      <w:r/>
    </w:p>
    <w:tbl>
      <w:tblPr>
        <w:tblStyle w:val="818"/>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100"/>
        <w:gridCol w:w="4300"/>
        <w:gridCol w:w="43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100" w:type="dxa"/>
          </w:tcPr>
          <w:p w14:paraId="1F7F031E" w14:textId="77777777">
            <w:pPr>
              <w:pBdr/>
              <w:spacing/>
              <w:ind/>
              <w:rPr/>
            </w:pPr>
            <w:r>
              <w:rPr>
                <w:b/>
                <w:bCs/>
                <w:color w:val="ffffff"/>
              </w:rPr>
              <w:t xml:space="preserve">Recurso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300" w:type="dxa"/>
          </w:tcPr>
          <w:p w14:paraId="66A75BA8" w14:textId="77777777">
            <w:pPr>
              <w:pBdr/>
              <w:spacing/>
              <w:ind/>
              <w:rPr/>
            </w:pPr>
            <w:r>
              <w:rPr>
                <w:b/>
                <w:bCs/>
                <w:color w:val="ffffff"/>
                <w:sz w:val="17"/>
                <w:szCs w:val="17"/>
              </w:rPr>
              <w:t xml:space="preserve">Dimensionamiento preliminar</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352" w:type="dxa"/>
          </w:tcPr>
          <w:p w14:paraId="3D7419FE" w14:textId="77777777">
            <w:pPr>
              <w:pBdr/>
              <w:spacing/>
              <w:ind/>
              <w:rPr/>
            </w:pPr>
            <w:r>
              <w:rPr>
                <w:b/>
                <w:bCs/>
                <w:color w:val="ffffff"/>
                <w:sz w:val="17"/>
                <w:szCs w:val="17"/>
              </w:rPr>
              <w:t xml:space="preserve">Antes de invertir</w:t>
            </w:r>
            <w:r/>
          </w:p>
        </w:tc>
      </w:tr>
      <w:tr>
        <w:trPr>
          <w:cantSplit/>
        </w:trPr>
        <w:tc>
          <w:tcPr>
            <w:tcBorders/>
            <w:tcW w:w="1100" w:type="dxa"/>
          </w:tcPr>
          <w:p w14:paraId="27A11BF4" w14:textId="77777777">
            <w:pPr>
              <w:pBdr/>
              <w:spacing/>
              <w:ind/>
              <w:rPr/>
            </w:pPr>
            <w:r>
              <w:rPr>
                <w:sz w:val="17"/>
                <w:szCs w:val="17"/>
              </w:rPr>
              <w:t xml:space="preserve">Área de injerto + herramientas</w:t>
            </w:r>
            <w:r/>
          </w:p>
        </w:tc>
        <w:tc>
          <w:tcPr>
            <w:tcBorders/>
            <w:tcW w:w="4300" w:type="dxa"/>
          </w:tcPr>
          <w:p w14:paraId="6ABA1C1B" w14:textId="77777777">
            <w:pPr>
              <w:pBdr/>
              <w:spacing/>
              <w:ind/>
              <w:rPr/>
            </w:pPr>
            <w:r>
              <w:rPr>
                <w:sz w:val="17"/>
                <w:szCs w:val="17"/>
              </w:rPr>
              <w:t xml:space="preserve">Puesto higiénico para dos operadores.</w:t>
            </w:r>
            <w:r/>
          </w:p>
        </w:tc>
        <w:tc>
          <w:tcPr>
            <w:tcBorders/>
            <w:tcW w:w="4352" w:type="dxa"/>
          </w:tcPr>
          <w:p w14:paraId="00D5280E" w14:textId="77777777">
            <w:pPr>
              <w:pBdr/>
              <w:spacing/>
              <w:ind/>
              <w:rPr/>
            </w:pPr>
            <w:r>
              <w:rPr>
                <w:sz w:val="17"/>
                <w:szCs w:val="17"/>
              </w:rPr>
              <w:t xml:space="preserve">Medir tiempos, ergonomía y merma.</w:t>
            </w:r>
            <w:r/>
          </w:p>
        </w:tc>
      </w:tr>
      <w:tr>
        <w:trPr>
          <w:cantSplit/>
        </w:trPr>
        <w:tc>
          <w:tcPr>
            <w:tcBorders/>
            <w:tcW w:w="1100" w:type="dxa"/>
          </w:tcPr>
          <w:p w14:paraId="003EA386" w14:textId="77777777">
            <w:pPr>
              <w:pBdr/>
              <w:spacing/>
              <w:ind/>
              <w:rPr/>
            </w:pPr>
            <w:r>
              <w:rPr>
                <w:sz w:val="17"/>
                <w:szCs w:val="17"/>
              </w:rPr>
              <w:t xml:space="preserve">Cámara de cicatrización</w:t>
            </w:r>
            <w:r/>
          </w:p>
        </w:tc>
        <w:tc>
          <w:tcPr>
            <w:tcBorders/>
            <w:tcW w:w="4300" w:type="dxa"/>
          </w:tcPr>
          <w:p w14:paraId="7E13FBF8" w14:textId="77777777">
            <w:pPr>
              <w:pBdr/>
              <w:spacing/>
              <w:ind/>
              <w:rPr/>
            </w:pPr>
            <w:r>
              <w:rPr>
                <w:sz w:val="17"/>
                <w:szCs w:val="17"/>
              </w:rPr>
              <w:t xml:space="preserve">15–20 m² como referencia inicial.</w:t>
            </w:r>
            <w:r/>
          </w:p>
        </w:tc>
        <w:tc>
          <w:tcPr>
            <w:tcBorders/>
            <w:tcW w:w="4352" w:type="dxa"/>
          </w:tcPr>
          <w:p w14:paraId="5FB648B3" w14:textId="77777777">
            <w:pPr>
              <w:pBdr/>
              <w:spacing/>
              <w:ind/>
              <w:rPr/>
            </w:pPr>
            <w:r>
              <w:rPr>
                <w:sz w:val="17"/>
                <w:szCs w:val="17"/>
              </w:rPr>
              <w:t xml:space="preserve">Validar capacidad por lote, rack y ciclo.</w:t>
            </w:r>
            <w:r/>
          </w:p>
        </w:tc>
      </w:tr>
      <w:tr>
        <w:trPr>
          <w:cantSplit/>
        </w:trPr>
        <w:tc>
          <w:tcPr>
            <w:tcBorders/>
            <w:tcW w:w="1100" w:type="dxa"/>
          </w:tcPr>
          <w:p w14:paraId="4FDE7DDE" w14:textId="77777777">
            <w:pPr>
              <w:pBdr/>
              <w:spacing/>
              <w:ind/>
              <w:rPr/>
            </w:pPr>
            <w:r>
              <w:rPr>
                <w:sz w:val="17"/>
                <w:szCs w:val="17"/>
              </w:rPr>
              <w:t xml:space="preserve">Capacitación</w:t>
            </w:r>
            <w:r/>
          </w:p>
        </w:tc>
        <w:tc>
          <w:tcPr>
            <w:tcBorders/>
            <w:tcW w:w="4300" w:type="dxa"/>
          </w:tcPr>
          <w:p w14:paraId="258F9547" w14:textId="77777777">
            <w:pPr>
              <w:pBdr/>
              <w:spacing/>
              <w:ind/>
              <w:rPr/>
            </w:pPr>
            <w:r>
              <w:rPr>
                <w:sz w:val="17"/>
                <w:szCs w:val="17"/>
              </w:rPr>
              <w:t xml:space="preserve">Al menos dos operadores.</w:t>
            </w:r>
            <w:r/>
          </w:p>
        </w:tc>
        <w:tc>
          <w:tcPr>
            <w:tcBorders/>
            <w:tcW w:w="4352" w:type="dxa"/>
          </w:tcPr>
          <w:p w14:paraId="105E804A" w14:textId="77777777">
            <w:pPr>
              <w:pBdr/>
              <w:spacing/>
              <w:ind/>
              <w:rPr/>
            </w:pPr>
            <w:r>
              <w:rPr>
                <w:sz w:val="17"/>
                <w:szCs w:val="17"/>
              </w:rPr>
              <w:t xml:space="preserve">Definir responsable técnico y protocolo.</w:t>
            </w:r>
            <w:r/>
          </w:p>
        </w:tc>
      </w:tr>
      <w:tr>
        <w:trPr>
          <w:cantSplit/>
        </w:trPr>
        <w:tc>
          <w:tcPr>
            <w:tcBorders/>
            <w:tcW w:w="1100" w:type="dxa"/>
          </w:tcPr>
          <w:p w14:paraId="1AB52E5A" w14:textId="77777777">
            <w:pPr>
              <w:pBdr/>
              <w:spacing/>
              <w:ind/>
              <w:rPr/>
            </w:pPr>
            <w:r>
              <w:rPr>
                <w:sz w:val="17"/>
                <w:szCs w:val="17"/>
              </w:rPr>
              <w:t xml:space="preserve">Fase 2</w:t>
            </w:r>
            <w:r/>
          </w:p>
        </w:tc>
        <w:tc>
          <w:tcPr>
            <w:tcBorders/>
            <w:tcW w:w="4300" w:type="dxa"/>
          </w:tcPr>
          <w:p w14:paraId="33C002A5" w14:textId="77777777">
            <w:pPr>
              <w:pBdr/>
              <w:spacing/>
              <w:ind/>
              <w:rPr/>
            </w:pPr>
            <w:r>
              <w:rPr>
                <w:sz w:val="17"/>
                <w:szCs w:val="17"/>
              </w:rPr>
              <w:t xml:space="preserve">Sensores, film, espacio de acopio y laboratorio.</w:t>
            </w:r>
            <w:r/>
          </w:p>
        </w:tc>
        <w:tc>
          <w:tcPr>
            <w:tcBorders/>
            <w:tcW w:w="4352" w:type="dxa"/>
          </w:tcPr>
          <w:p w14:paraId="68324683" w14:textId="77777777">
            <w:pPr>
              <w:pBdr/>
              <w:spacing/>
              <w:ind/>
              <w:rPr/>
            </w:pPr>
            <w:r>
              <w:rPr>
                <w:sz w:val="17"/>
                <w:szCs w:val="17"/>
              </w:rPr>
              <w:t xml:space="preserve">Definir dosis/logística con el piloto.</w:t>
            </w:r>
            <w:r/>
          </w:p>
        </w:tc>
      </w:tr>
    </w:tbl>
    <w:p w14:paraId="704A2782" w14:textId="77777777">
      <w:pPr>
        <w:pStyle w:val="797"/>
        <w:pBdr/>
        <w:spacing/>
        <w:ind/>
        <w:rPr/>
      </w:pPr>
      <w:r>
        <w:rPr>
          <w:sz w:val="22"/>
        </w:rPr>
        <w:t xml:space="preserve">Presupuesto de inversión inicial en activos específicos</w:t>
      </w:r>
      <w:r/>
    </w:p>
    <w:p w14:paraId="67DA9CD6" w14:textId="77777777">
      <w:pPr>
        <w:pBdr/>
        <w:spacing/>
        <w:ind/>
        <w:rPr/>
      </w:pPr>
      <w:r>
        <w:rPr>
          <w:sz w:val="20"/>
        </w:rPr>
        <w:t xml:space="preserve">La incorporación de la línea no requiere construir</w:t>
      </w:r>
      <w:r>
        <w:rPr>
          <w:sz w:val="20"/>
        </w:rPr>
        <w:t xml:space="preserve"> invernaderos desde cero porque se apoya en las tres hectáreas cubiertas de VFW. La inversión inicial se concentra en el ambiente controlado de cicatrización, el puesto higiénico de trabajo, el instrumental de diagnóstico en campo y la capacitación previa:</w:t>
      </w:r>
      <w:r/>
    </w:p>
    <w:tbl>
      <w:tblPr>
        <w:tblStyle w:val="805"/>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74"/>
        <w:gridCol w:w="3371"/>
        <w:gridCol w:w="1487"/>
        <w:gridCol w:w="2610"/>
      </w:tblGrid>
      <w:tr>
        <w:trPr/>
        <w:tc>
          <w:tcPr>
            <w:shd w:val="clear" w:color="auto" w:fill="f0f4f3"/>
            <w:tcBorders/>
            <w:tcW w:w="2600" w:type="dxa"/>
          </w:tcPr>
          <w:p w14:paraId="48BFAC43" w14:textId="77777777">
            <w:pPr>
              <w:pBdr/>
              <w:spacing/>
              <w:ind/>
              <w:rPr/>
            </w:pPr>
            <w:r>
              <w:rPr>
                <w:b/>
                <w:sz w:val="17"/>
              </w:rPr>
              <w:t xml:space="preserve">Rubro / Activo</w:t>
            </w:r>
            <w:r/>
          </w:p>
        </w:tc>
        <w:tc>
          <w:tcPr>
            <w:shd w:val="clear" w:color="auto" w:fill="f0f4f3"/>
            <w:tcBorders/>
            <w:tcW w:w="4000" w:type="dxa"/>
          </w:tcPr>
          <w:p w14:paraId="7C405D1A" w14:textId="77777777">
            <w:pPr>
              <w:pBdr/>
              <w:spacing/>
              <w:ind/>
              <w:rPr/>
            </w:pPr>
            <w:r>
              <w:rPr>
                <w:b/>
                <w:sz w:val="17"/>
              </w:rPr>
              <w:t xml:space="preserve">Especificación técnica</w:t>
            </w:r>
            <w:r/>
          </w:p>
        </w:tc>
        <w:tc>
          <w:tcPr>
            <w:shd w:val="clear" w:color="auto" w:fill="f0f4f3"/>
            <w:tcBorders/>
            <w:tcW w:w="1600" w:type="dxa"/>
          </w:tcPr>
          <w:p w14:paraId="4C40BBAF" w14:textId="77777777">
            <w:pPr>
              <w:pBdr/>
              <w:spacing/>
              <w:ind/>
              <w:rPr/>
            </w:pPr>
            <w:r>
              <w:rPr>
                <w:b/>
                <w:sz w:val="17"/>
              </w:rPr>
              <w:t xml:space="preserve">Monto estimado</w:t>
            </w:r>
            <w:r/>
          </w:p>
        </w:tc>
        <w:tc>
          <w:tcPr>
            <w:shd w:val="clear" w:color="auto" w:fill="f0f4f3"/>
            <w:tcBorders/>
            <w:tcW w:w="3000" w:type="dxa"/>
          </w:tcPr>
          <w:p w14:paraId="6A6D118C" w14:textId="77777777">
            <w:pPr>
              <w:pBdr/>
              <w:spacing/>
              <w:ind/>
              <w:rPr/>
            </w:pPr>
            <w:r>
              <w:rPr>
                <w:b/>
                <w:sz w:val="17"/>
              </w:rPr>
              <w:t xml:space="preserve">Justificación operativa</w:t>
            </w:r>
            <w:r/>
          </w:p>
        </w:tc>
      </w:tr>
      <w:tr>
        <w:trPr/>
        <w:tc>
          <w:tcPr>
            <w:tcBorders/>
            <w:tcW w:w="2600" w:type="dxa"/>
          </w:tcPr>
          <w:p w14:paraId="42D94204" w14:textId="77777777">
            <w:pPr>
              <w:pBdr/>
              <w:spacing/>
              <w:ind/>
              <w:rPr/>
            </w:pPr>
            <w:r>
              <w:rPr>
                <w:sz w:val="17"/>
              </w:rPr>
              <w:t xml:space="preserve">Cámara de cicatrización de 18 m²</w:t>
            </w:r>
            <w:r/>
          </w:p>
        </w:tc>
        <w:tc>
          <w:tcPr>
            <w:tcBorders/>
            <w:tcW w:w="4000" w:type="dxa"/>
          </w:tcPr>
          <w:p w14:paraId="23C660B5" w14:textId="77777777">
            <w:pPr>
              <w:pBdr/>
              <w:spacing/>
              <w:ind/>
              <w:rPr/>
            </w:pPr>
            <w:r>
              <w:rPr>
                <w:sz w:val="17"/>
              </w:rPr>
              <w:t xml:space="preserve">Paneles térmicos, </w:t>
            </w:r>
            <w:r>
              <w:rPr>
                <w:sz w:val="17"/>
              </w:rPr>
              <w:t xml:space="preserve">split</w:t>
            </w:r>
            <w:r>
              <w:rPr>
                <w:sz w:val="17"/>
              </w:rPr>
              <w:t xml:space="preserve"> </w:t>
            </w:r>
            <w:r>
              <w:rPr>
                <w:sz w:val="17"/>
              </w:rPr>
              <w:t xml:space="preserve">inverter</w:t>
            </w:r>
            <w:r>
              <w:rPr>
                <w:sz w:val="17"/>
              </w:rPr>
              <w:t xml:space="preserve"> 4.500 </w:t>
            </w:r>
            <w:r>
              <w:rPr>
                <w:sz w:val="17"/>
              </w:rPr>
              <w:t xml:space="preserve">fg</w:t>
            </w:r>
            <w:r>
              <w:rPr>
                <w:sz w:val="17"/>
              </w:rPr>
              <w:t xml:space="preserve">, humidificador ultrasónico con humedad relativa superior al 90 %, racks de 4 niveles y luces LED</w:t>
            </w:r>
            <w:r/>
          </w:p>
        </w:tc>
        <w:tc>
          <w:tcPr>
            <w:tcBorders/>
            <w:tcW w:w="1600" w:type="dxa"/>
          </w:tcPr>
          <w:p w14:paraId="0C78BDA6" w14:textId="77777777">
            <w:pPr>
              <w:pBdr/>
              <w:spacing/>
              <w:ind/>
              <w:rPr/>
            </w:pPr>
            <w:r>
              <w:rPr>
                <w:sz w:val="17"/>
              </w:rPr>
              <w:t xml:space="preserve">$ 10.200.000</w:t>
            </w:r>
            <w:r/>
          </w:p>
        </w:tc>
        <w:tc>
          <w:tcPr>
            <w:tcBorders/>
            <w:tcW w:w="3000" w:type="dxa"/>
          </w:tcPr>
          <w:p w14:paraId="0F103E22" w14:textId="77777777">
            <w:pPr>
              <w:pBdr/>
              <w:spacing/>
              <w:ind/>
              <w:rPr/>
            </w:pPr>
            <w:r>
              <w:rPr>
                <w:sz w:val="17"/>
              </w:rPr>
              <w:t xml:space="preserve">Control estricto de humedad y temperatura durante los 4 a 7 días críticos de unión tisular.</w:t>
            </w:r>
            <w:r/>
          </w:p>
        </w:tc>
      </w:tr>
      <w:tr>
        <w:trPr/>
        <w:tc>
          <w:tcPr>
            <w:tcBorders/>
            <w:tcW w:w="2600" w:type="dxa"/>
          </w:tcPr>
          <w:p w14:paraId="289F5FF0" w14:textId="77777777">
            <w:pPr>
              <w:pBdr/>
              <w:spacing/>
              <w:ind/>
              <w:rPr/>
            </w:pPr>
            <w:r>
              <w:rPr>
                <w:sz w:val="17"/>
              </w:rPr>
              <w:t xml:space="preserve">Puesto de injerto e instrumental</w:t>
            </w:r>
            <w:r/>
          </w:p>
        </w:tc>
        <w:tc>
          <w:tcPr>
            <w:tcBorders/>
            <w:tcW w:w="4000" w:type="dxa"/>
          </w:tcPr>
          <w:p w14:paraId="05304F3C" w14:textId="77777777">
            <w:pPr>
              <w:pBdr/>
              <w:spacing/>
              <w:ind/>
              <w:rPr/>
            </w:pPr>
            <w:r>
              <w:rPr>
                <w:sz w:val="17"/>
              </w:rPr>
              <w:t xml:space="preserve">Dos mesadas de acero inoxidable, navajas quirúrgicas, pulverizadores y bandejas de desinfección</w:t>
            </w:r>
            <w:r/>
          </w:p>
        </w:tc>
        <w:tc>
          <w:tcPr>
            <w:tcBorders/>
            <w:tcW w:w="1600" w:type="dxa"/>
          </w:tcPr>
          <w:p w14:paraId="295C6A7E" w14:textId="77777777">
            <w:pPr>
              <w:pBdr/>
              <w:spacing/>
              <w:ind/>
              <w:rPr/>
            </w:pPr>
            <w:r>
              <w:rPr>
                <w:sz w:val="17"/>
              </w:rPr>
              <w:t xml:space="preserve">$ 900.000</w:t>
            </w:r>
            <w:r/>
          </w:p>
        </w:tc>
        <w:tc>
          <w:tcPr>
            <w:tcBorders/>
            <w:tcW w:w="3000" w:type="dxa"/>
          </w:tcPr>
          <w:p w14:paraId="596E385E" w14:textId="77777777">
            <w:pPr>
              <w:pBdr/>
              <w:spacing/>
              <w:ind/>
              <w:rPr/>
            </w:pPr>
            <w:r>
              <w:rPr>
                <w:sz w:val="17"/>
              </w:rPr>
              <w:t xml:space="preserve">Puesto ergonómico e higiénico para corte y colocación de clips sin contaminación.</w:t>
            </w:r>
            <w:r/>
          </w:p>
        </w:tc>
      </w:tr>
      <w:tr>
        <w:trPr/>
        <w:tc>
          <w:tcPr>
            <w:tcBorders/>
            <w:tcW w:w="2600" w:type="dxa"/>
          </w:tcPr>
          <w:p w14:paraId="52C1E1CC" w14:textId="77777777">
            <w:pPr>
              <w:pBdr/>
              <w:spacing/>
              <w:ind/>
              <w:rPr/>
            </w:pPr>
            <w:r>
              <w:rPr>
                <w:sz w:val="17"/>
              </w:rPr>
              <w:t xml:space="preserve">Instrumental de diagnóstico para Fase 2</w:t>
            </w:r>
            <w:r/>
          </w:p>
        </w:tc>
        <w:tc>
          <w:tcPr>
            <w:tcBorders/>
            <w:tcW w:w="4000" w:type="dxa"/>
          </w:tcPr>
          <w:p w14:paraId="7300298C" w14:textId="77777777">
            <w:pPr>
              <w:pBdr/>
              <w:spacing/>
              <w:ind/>
              <w:rPr/>
            </w:pPr>
            <w:r>
              <w:rPr>
                <w:sz w:val="17"/>
              </w:rPr>
              <w:t xml:space="preserve">Dataloggers</w:t>
            </w:r>
            <w:r>
              <w:rPr>
                <w:sz w:val="17"/>
              </w:rPr>
              <w:t xml:space="preserve"> de temperatura de suelo, barreno calador y densímetro de campo</w:t>
            </w:r>
            <w:r/>
          </w:p>
        </w:tc>
        <w:tc>
          <w:tcPr>
            <w:tcBorders/>
            <w:tcW w:w="1600" w:type="dxa"/>
          </w:tcPr>
          <w:p w14:paraId="6846C2EA" w14:textId="77777777">
            <w:pPr>
              <w:pBdr/>
              <w:spacing/>
              <w:ind/>
              <w:rPr/>
            </w:pPr>
            <w:r>
              <w:rPr>
                <w:sz w:val="17"/>
              </w:rPr>
              <w:t xml:space="preserve">$ 1.300.000</w:t>
            </w:r>
            <w:r/>
          </w:p>
        </w:tc>
        <w:tc>
          <w:tcPr>
            <w:tcBorders/>
            <w:tcW w:w="3000" w:type="dxa"/>
          </w:tcPr>
          <w:p w14:paraId="7DB069F0" w14:textId="77777777">
            <w:pPr>
              <w:pBdr/>
              <w:spacing/>
              <w:ind/>
              <w:rPr/>
            </w:pPr>
            <w:r>
              <w:rPr>
                <w:sz w:val="17"/>
              </w:rPr>
              <w:t xml:space="preserve">Monitoreo térmico continuo bajo film y muestreo de suelos para laboratorio.</w:t>
            </w:r>
            <w:r/>
          </w:p>
        </w:tc>
      </w:tr>
      <w:tr>
        <w:trPr/>
        <w:tc>
          <w:tcPr>
            <w:tcBorders/>
            <w:tcW w:w="2600" w:type="dxa"/>
          </w:tcPr>
          <w:p w14:paraId="056310F9" w14:textId="77777777">
            <w:pPr>
              <w:pBdr/>
              <w:spacing/>
              <w:ind/>
              <w:rPr/>
            </w:pPr>
            <w:r>
              <w:rPr>
                <w:sz w:val="17"/>
              </w:rPr>
              <w:t xml:space="preserve">Gastos preoperativos y capacitación</w:t>
            </w:r>
            <w:r/>
          </w:p>
        </w:tc>
        <w:tc>
          <w:tcPr>
            <w:tcBorders/>
            <w:tcW w:w="4000" w:type="dxa"/>
          </w:tcPr>
          <w:p w14:paraId="448EC971" w14:textId="77777777">
            <w:pPr>
              <w:pBdr/>
              <w:spacing/>
              <w:ind/>
              <w:rPr/>
            </w:pPr>
            <w:r>
              <w:rPr>
                <w:sz w:val="17"/>
              </w:rPr>
              <w:t xml:space="preserve">Lotes de prueba, calibración de sincronización y entrenamiento de dos operarios</w:t>
            </w:r>
            <w:r/>
          </w:p>
        </w:tc>
        <w:tc>
          <w:tcPr>
            <w:tcBorders/>
            <w:tcW w:w="1600" w:type="dxa"/>
          </w:tcPr>
          <w:p w14:paraId="34D2DB9A" w14:textId="77777777">
            <w:pPr>
              <w:pBdr/>
              <w:spacing/>
              <w:ind/>
              <w:rPr/>
            </w:pPr>
            <w:r>
              <w:rPr>
                <w:sz w:val="17"/>
              </w:rPr>
              <w:t xml:space="preserve">$ 1.600.000</w:t>
            </w:r>
            <w:r/>
          </w:p>
        </w:tc>
        <w:tc>
          <w:tcPr>
            <w:tcBorders/>
            <w:tcW w:w="3000" w:type="dxa"/>
          </w:tcPr>
          <w:p w14:paraId="183F7DD6" w14:textId="77777777">
            <w:pPr>
              <w:pBdr/>
              <w:spacing/>
              <w:ind/>
              <w:rPr/>
            </w:pPr>
            <w:r>
              <w:rPr>
                <w:sz w:val="17"/>
              </w:rPr>
              <w:t xml:space="preserve">Curva de aprendizaje previa para garantizar prendimiento comercial igual o mayor al 80 %.</w:t>
            </w:r>
            <w:r/>
          </w:p>
        </w:tc>
      </w:tr>
      <w:tr>
        <w:trPr/>
        <w:tc>
          <w:tcPr>
            <w:tcBorders/>
            <w:tcW w:w="2600" w:type="dxa"/>
          </w:tcPr>
          <w:p w14:paraId="4D9EB629" w14:textId="77777777">
            <w:pPr>
              <w:pBdr/>
              <w:spacing/>
              <w:ind/>
              <w:rPr/>
            </w:pPr>
            <w:r>
              <w:rPr>
                <w:b/>
                <w:sz w:val="17"/>
              </w:rPr>
              <w:t xml:space="preserve">Total</w:t>
            </w:r>
            <w:r>
              <w:rPr>
                <w:b/>
                <w:sz w:val="17"/>
              </w:rPr>
              <w:t xml:space="preserve"> inversión inicial en activos específicos</w:t>
            </w:r>
            <w:r/>
          </w:p>
        </w:tc>
        <w:tc>
          <w:tcPr>
            <w:tcBorders/>
            <w:tcW w:w="4000" w:type="dxa"/>
          </w:tcPr>
          <w:p w14:paraId="5CBF165D" w14:textId="77777777">
            <w:pPr>
              <w:pBdr/>
              <w:spacing/>
              <w:ind/>
              <w:rPr/>
            </w:pPr>
            <w:r>
              <w:rPr>
                <w:b/>
                <w:sz w:val="17"/>
              </w:rPr>
              <w:t xml:space="preserve">Activos específicos a incorporar dentro de VFW</w:t>
            </w:r>
            <w:r/>
          </w:p>
        </w:tc>
        <w:tc>
          <w:tcPr>
            <w:tcBorders/>
            <w:tcW w:w="1600" w:type="dxa"/>
          </w:tcPr>
          <w:p w14:paraId="29C9D4F7" w14:textId="77777777">
            <w:pPr>
              <w:pBdr/>
              <w:spacing/>
              <w:ind/>
              <w:rPr/>
            </w:pPr>
            <w:r>
              <w:rPr>
                <w:b/>
                <w:sz w:val="17"/>
              </w:rPr>
              <w:t xml:space="preserve">$ 14.000.000</w:t>
            </w:r>
            <w:r/>
          </w:p>
        </w:tc>
        <w:tc>
          <w:tcPr>
            <w:tcBorders/>
            <w:tcW w:w="3000" w:type="dxa"/>
          </w:tcPr>
          <w:p w14:paraId="3EFBBFC7" w14:textId="77777777">
            <w:pPr>
              <w:pBdr/>
              <w:spacing/>
              <w:ind/>
              <w:rPr/>
            </w:pPr>
            <w:r>
              <w:rPr>
                <w:b/>
                <w:sz w:val="17"/>
              </w:rPr>
              <w:t xml:space="preserve">Financiamiento con fondos propios o reinversión modular sobre utilidades del vivero.</w:t>
            </w:r>
            <w:r/>
          </w:p>
        </w:tc>
      </w:tr>
    </w:tbl>
    <w:p w14:paraId="1F02E5D2" w14:textId="77777777">
      <w:pPr>
        <w:pBdr/>
        <w:spacing w:after="60"/>
        <w:ind/>
        <w:rPr/>
      </w:pPr>
      <w:r>
        <w:t xml:space="preserve">En síntesis, VFW aporta activos y relaciones comerciales que una empresa nueva tendría que construir desde cero; la decisión pendiente no es si existe infraestructura, sino cuánto de esa capacidad está disponible de manera incremental para esta línea.</w:t>
      </w:r>
      <w:r/>
    </w:p>
    <w:p w14:paraId="4D376801" w14:textId="77777777">
      <w:pPr>
        <w:pBdr/>
        <w:spacing w:after="120" w:line="276" w:lineRule="auto"/>
        <w:ind/>
        <w:jc w:val="both"/>
        <w:rPr/>
      </w:pPr>
      <w:r/>
      <w:r/>
    </w:p>
    <w:p w14:paraId="619DC979" w14:textId="77777777">
      <w:pPr>
        <w:pStyle w:val="796"/>
        <w:keepNext w:val="true"/>
        <w:pBdr/>
        <w:spacing/>
        <w:ind/>
        <w:rPr/>
      </w:pPr>
      <w:r>
        <w:t xml:space="preserve">7. Monetización y escalado comercial</w:t>
      </w:r>
      <w:r/>
    </w:p>
    <w:p w14:paraId="7D47225C" w14:textId="77777777">
      <w:pPr>
        <w:pBdr/>
        <w:spacing w:after="120" w:line="276" w:lineRule="auto"/>
        <w:ind/>
        <w:jc w:val="both"/>
        <w:rPr/>
      </w:pPr>
      <w:r>
        <w:t xml:space="preserve">La monetización es modular: VFW puede vender sólo el plantín injertado, sólo el diagnóstico/manejo </w:t>
      </w:r>
      <w:r>
        <w:t xml:space="preserve">pretrasplante</w:t>
      </w:r>
      <w:r>
        <w:t xml:space="preserve"> o un programa integral que combina suelo + plantín + seguimiento. Separar las ofertas amplía el mercado porque el servicio de suelo también puede contratarlo un productor que germina por cuenta propia o compra plantines a otro proveedor.</w:t>
      </w:r>
      <w:r/>
    </w:p>
    <w:tbl>
      <w:tblPr>
        <w:tblStyle w:val="819"/>
        <w:tblInd w:w="0" w:type="dxa"/>
        <w:tblW w:w="9752" w:type="dxa"/>
        <w:tblBorders/>
        <w:tblLayout w:type="fixed"/>
        <w:tblLook w:val="0000" w:firstRow="0" w:lastRow="0" w:firstColumn="0" w:lastColumn="0" w:noHBand="0" w:noVBand="0"/>
      </w:tblPr>
      <w:tblGrid>
        <w:gridCol w:w="9752"/>
      </w:tblGrid>
      <w:tr>
        <w:trPr>
          <w:cantSplit/>
          <w:tblHeader/>
        </w:trPr>
        <w:tc>
          <w:tcPr>
            <w:shd w:val="clear" w:color="auto" w:fill="e8f3ef"/>
            <w:tcBorders>
              <w:top w:val="none" w:color="000000" w:sz="4" w:space="0"/>
              <w:left w:val="single" w:color="1f6f63" w:sz="24" w:space="0"/>
              <w:bottom w:val="none" w:color="000000" w:sz="4" w:space="0"/>
              <w:right w:val="none" w:color="000000" w:sz="4" w:space="0"/>
            </w:tcBorders>
            <w:tcMar>
              <w:left w:w="200" w:type="dxa"/>
              <w:top w:w="140" w:type="dxa"/>
              <w:right w:w="200" w:type="dxa"/>
              <w:bottom w:w="140" w:type="dxa"/>
            </w:tcMar>
            <w:tcW w:w="9752" w:type="dxa"/>
          </w:tcPr>
          <w:p w14:paraId="2CFE29D8" w14:textId="77777777">
            <w:pPr>
              <w:pBdr/>
              <w:spacing/>
              <w:ind/>
              <w:rPr/>
            </w:pPr>
            <w:r>
              <w:rPr>
                <w:b/>
                <w:bCs/>
                <w:color w:val="1f2a26"/>
                <w:sz w:val="17"/>
                <w:szCs w:val="17"/>
              </w:rPr>
              <w:t xml:space="preserve">Fórmula comercial: Ingreso = Σ (unidades por especie × precio) + m² tratados × tarifa + diagnósticos/seguimientos. Escala: producir contra reservas; no ampliar hasta confirmar demanda, supervivencia y margen.</w:t>
            </w:r>
            <w:r/>
          </w:p>
        </w:tc>
      </w:tr>
    </w:tbl>
    <w:p w14:paraId="3EE5BA2A" w14:textId="77777777">
      <w:pPr>
        <w:pBdr/>
        <w:spacing w:after="60"/>
        <w:ind/>
        <w:rPr/>
      </w:pPr>
      <w:r>
        <w:t xml:space="preserve">Ingreso anual = Σ (plantines vendidos por especie × precio por especie) + m² tratados × tarifa por m² + diagnósticos/seguimientos contratados. Los valores usados en esta etapa son precios comerciales propuestos </w:t>
      </w:r>
      <w:r>
        <w:t xml:space="preserve">para modelización; no representan tarifas B2B publicadas por competidores y deben validarse con cotizaciones y costos reales.</w:t>
      </w:r>
      <w:r/>
    </w:p>
    <w:p w14:paraId="0E23C257" w14:textId="77777777">
      <w:pPr>
        <w:pStyle w:val="797"/>
        <w:keepNext w:val="true"/>
        <w:pBdr/>
        <w:spacing/>
        <w:ind/>
        <w:rPr/>
      </w:pPr>
      <w:r>
        <w:t xml:space="preserve">Qué se cobra y cómo</w:t>
      </w:r>
      <w:r/>
    </w:p>
    <w:tbl>
      <w:tblPr>
        <w:tblStyle w:val="820"/>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700"/>
        <w:gridCol w:w="1700"/>
        <w:gridCol w:w="2600"/>
        <w:gridCol w:w="27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700" w:type="dxa"/>
          </w:tcPr>
          <w:p w14:paraId="0CE3385C" w14:textId="77777777">
            <w:pPr>
              <w:pBdr/>
              <w:spacing/>
              <w:ind/>
              <w:rPr/>
            </w:pPr>
            <w:r>
              <w:rPr>
                <w:b/>
                <w:bCs/>
                <w:color w:val="ffffff"/>
                <w:sz w:val="17"/>
                <w:szCs w:val="17"/>
              </w:rPr>
              <w:t xml:space="preserve">Oferta</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700" w:type="dxa"/>
          </w:tcPr>
          <w:p w14:paraId="03F5D01B" w14:textId="77777777">
            <w:pPr>
              <w:pBdr/>
              <w:spacing/>
              <w:ind/>
              <w:rPr/>
            </w:pPr>
            <w:r>
              <w:rPr>
                <w:b/>
                <w:bCs/>
                <w:color w:val="ffffff"/>
                <w:sz w:val="17"/>
                <w:szCs w:val="17"/>
              </w:rPr>
              <w:t xml:space="preserve">Unidad de cobro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600" w:type="dxa"/>
          </w:tcPr>
          <w:p w14:paraId="083D5582" w14:textId="77777777">
            <w:pPr>
              <w:pBdr/>
              <w:spacing/>
              <w:ind/>
              <w:rPr/>
            </w:pPr>
            <w:r>
              <w:rPr>
                <w:b/>
                <w:bCs/>
                <w:color w:val="ffffff"/>
                <w:sz w:val="17"/>
                <w:szCs w:val="17"/>
              </w:rPr>
              <w:t xml:space="preserve">Precio inicial propuesto (oct. 2026)</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752" w:type="dxa"/>
          </w:tcPr>
          <w:p w14:paraId="34060A75" w14:textId="77777777">
            <w:pPr>
              <w:pBdr/>
              <w:spacing/>
              <w:ind/>
              <w:rPr/>
            </w:pPr>
            <w:r>
              <w:rPr>
                <w:b/>
                <w:bCs/>
                <w:color w:val="ffffff"/>
                <w:sz w:val="17"/>
                <w:szCs w:val="17"/>
              </w:rPr>
              <w:t xml:space="preserve">Condición</w:t>
            </w:r>
            <w:r/>
          </w:p>
        </w:tc>
      </w:tr>
      <w:tr>
        <w:trPr>
          <w:cantSplit/>
        </w:trPr>
        <w:tc>
          <w:tcPr>
            <w:tcBorders/>
            <w:tcW w:w="2700" w:type="dxa"/>
          </w:tcPr>
          <w:p w14:paraId="3C39D0DB" w14:textId="77777777">
            <w:pPr>
              <w:pBdr/>
              <w:spacing/>
              <w:ind/>
              <w:rPr/>
            </w:pPr>
            <w:r>
              <w:rPr>
                <w:sz w:val="17"/>
                <w:szCs w:val="17"/>
              </w:rPr>
              <w:t xml:space="preserve">Tomate injertado</w:t>
            </w:r>
            <w:r/>
          </w:p>
        </w:tc>
        <w:tc>
          <w:tcPr>
            <w:tcBorders/>
            <w:tcW w:w="1700" w:type="dxa"/>
          </w:tcPr>
          <w:p w14:paraId="110E3BED" w14:textId="77777777">
            <w:pPr>
              <w:pBdr/>
              <w:spacing/>
              <w:ind/>
              <w:rPr/>
            </w:pPr>
            <w:r>
              <w:rPr>
                <w:sz w:val="17"/>
                <w:szCs w:val="17"/>
              </w:rPr>
              <w:t xml:space="preserve">Por planta entregada</w:t>
            </w:r>
            <w:r/>
          </w:p>
        </w:tc>
        <w:tc>
          <w:tcPr>
            <w:tcBorders/>
            <w:tcW w:w="2600" w:type="dxa"/>
          </w:tcPr>
          <w:p w14:paraId="6A1DA8D2" w14:textId="77777777">
            <w:pPr>
              <w:pBdr/>
              <w:spacing/>
              <w:ind/>
              <w:rPr/>
            </w:pPr>
            <w:r>
              <w:rPr>
                <w:sz w:val="17"/>
                <w:szCs w:val="17"/>
              </w:rPr>
              <w:t xml:space="preserve">$ 2.000</w:t>
            </w:r>
            <w:r/>
          </w:p>
        </w:tc>
        <w:tc>
          <w:tcPr>
            <w:tcBorders/>
            <w:tcW w:w="2752" w:type="dxa"/>
          </w:tcPr>
          <w:p w14:paraId="0EE26333" w14:textId="77777777">
            <w:pPr>
              <w:pBdr/>
              <w:spacing/>
              <w:ind/>
              <w:rPr/>
            </w:pPr>
            <w:r>
              <w:rPr>
                <w:sz w:val="17"/>
                <w:szCs w:val="17"/>
              </w:rPr>
              <w:t xml:space="preserve">Producto tractor; validar cotización B2B.</w:t>
            </w:r>
            <w:r/>
          </w:p>
        </w:tc>
      </w:tr>
      <w:tr>
        <w:trPr>
          <w:cantSplit/>
        </w:trPr>
        <w:tc>
          <w:tcPr>
            <w:tcBorders/>
            <w:tcW w:w="2700" w:type="dxa"/>
          </w:tcPr>
          <w:p w14:paraId="24FEBA8E" w14:textId="77777777">
            <w:pPr>
              <w:pBdr/>
              <w:spacing/>
              <w:ind/>
              <w:rPr/>
            </w:pPr>
            <w:r>
              <w:rPr>
                <w:sz w:val="17"/>
                <w:szCs w:val="17"/>
              </w:rPr>
              <w:t xml:space="preserve">Pimiento injertado</w:t>
            </w:r>
            <w:r/>
          </w:p>
        </w:tc>
        <w:tc>
          <w:tcPr>
            <w:tcBorders/>
            <w:tcW w:w="1700" w:type="dxa"/>
          </w:tcPr>
          <w:p w14:paraId="5B47AEC7" w14:textId="77777777">
            <w:pPr>
              <w:pBdr/>
              <w:spacing/>
              <w:ind/>
              <w:rPr/>
            </w:pPr>
            <w:r>
              <w:rPr>
                <w:sz w:val="17"/>
                <w:szCs w:val="17"/>
              </w:rPr>
              <w:t xml:space="preserve">Por planta entregada</w:t>
            </w:r>
            <w:r/>
          </w:p>
        </w:tc>
        <w:tc>
          <w:tcPr>
            <w:tcBorders/>
            <w:tcW w:w="2600" w:type="dxa"/>
          </w:tcPr>
          <w:p w14:paraId="6808F649" w14:textId="77777777">
            <w:pPr>
              <w:pBdr/>
              <w:spacing/>
              <w:ind/>
              <w:rPr/>
            </w:pPr>
            <w:r>
              <w:rPr>
                <w:sz w:val="17"/>
                <w:szCs w:val="17"/>
              </w:rPr>
              <w:t xml:space="preserve">$ 2.500</w:t>
            </w:r>
            <w:r/>
          </w:p>
        </w:tc>
        <w:tc>
          <w:tcPr>
            <w:tcBorders/>
            <w:tcW w:w="2752" w:type="dxa"/>
          </w:tcPr>
          <w:p w14:paraId="3ADD413C" w14:textId="77777777">
            <w:pPr>
              <w:pBdr/>
              <w:spacing/>
              <w:ind/>
              <w:rPr/>
            </w:pPr>
            <w:r>
              <w:rPr>
                <w:sz w:val="17"/>
                <w:szCs w:val="17"/>
              </w:rPr>
              <w:t xml:space="preserve">Lotes limitados hasta validar supervivencia.</w:t>
            </w:r>
            <w:r/>
          </w:p>
        </w:tc>
      </w:tr>
      <w:tr>
        <w:trPr>
          <w:cantSplit/>
        </w:trPr>
        <w:tc>
          <w:tcPr>
            <w:tcBorders/>
            <w:tcW w:w="2700" w:type="dxa"/>
          </w:tcPr>
          <w:p w14:paraId="403A7CCF" w14:textId="77777777">
            <w:pPr>
              <w:pBdr/>
              <w:spacing/>
              <w:ind/>
              <w:rPr/>
            </w:pPr>
            <w:r>
              <w:rPr>
                <w:sz w:val="17"/>
                <w:szCs w:val="17"/>
              </w:rPr>
              <w:t xml:space="preserve">Berenjena injertada</w:t>
            </w:r>
            <w:r/>
          </w:p>
        </w:tc>
        <w:tc>
          <w:tcPr>
            <w:tcBorders/>
            <w:tcW w:w="1700" w:type="dxa"/>
          </w:tcPr>
          <w:p w14:paraId="1ED2E8B8" w14:textId="77777777">
            <w:pPr>
              <w:pBdr/>
              <w:spacing/>
              <w:ind/>
              <w:rPr/>
            </w:pPr>
            <w:r>
              <w:rPr>
                <w:sz w:val="17"/>
                <w:szCs w:val="17"/>
              </w:rPr>
              <w:t xml:space="preserve">Por planta entregada</w:t>
            </w:r>
            <w:r/>
          </w:p>
        </w:tc>
        <w:tc>
          <w:tcPr>
            <w:tcBorders/>
            <w:tcW w:w="2600" w:type="dxa"/>
          </w:tcPr>
          <w:p w14:paraId="1C369451" w14:textId="77777777">
            <w:pPr>
              <w:pBdr/>
              <w:spacing/>
              <w:ind/>
              <w:rPr/>
            </w:pPr>
            <w:r>
              <w:rPr>
                <w:sz w:val="17"/>
                <w:szCs w:val="17"/>
              </w:rPr>
              <w:t xml:space="preserve">$ 2.250</w:t>
            </w:r>
            <w:r/>
          </w:p>
        </w:tc>
        <w:tc>
          <w:tcPr>
            <w:tcBorders/>
            <w:tcW w:w="2752" w:type="dxa"/>
          </w:tcPr>
          <w:p w14:paraId="74E4A71D" w14:textId="77777777">
            <w:pPr>
              <w:pBdr/>
              <w:spacing/>
              <w:ind/>
              <w:rPr/>
            </w:pPr>
            <w:r>
              <w:rPr>
                <w:sz w:val="17"/>
                <w:szCs w:val="17"/>
              </w:rPr>
              <w:t xml:space="preserve">Principalmente contra pedido.</w:t>
            </w:r>
            <w:r/>
          </w:p>
        </w:tc>
      </w:tr>
      <w:tr>
        <w:trPr>
          <w:cantSplit/>
        </w:trPr>
        <w:tc>
          <w:tcPr>
            <w:tcBorders/>
            <w:tcW w:w="2700" w:type="dxa"/>
          </w:tcPr>
          <w:p w14:paraId="2FDD2380" w14:textId="77777777">
            <w:pPr>
              <w:pBdr/>
              <w:spacing/>
              <w:ind/>
              <w:rPr/>
            </w:pPr>
            <w:r>
              <w:rPr>
                <w:sz w:val="17"/>
                <w:szCs w:val="17"/>
              </w:rPr>
              <w:t xml:space="preserve">Semilla aportada por cliente</w:t>
            </w:r>
            <w:r/>
          </w:p>
        </w:tc>
        <w:tc>
          <w:tcPr>
            <w:tcBorders/>
            <w:tcW w:w="1700" w:type="dxa"/>
          </w:tcPr>
          <w:p w14:paraId="51A7AB09" w14:textId="77777777">
            <w:pPr>
              <w:pBdr/>
              <w:spacing/>
              <w:ind/>
              <w:rPr/>
            </w:pPr>
            <w:r>
              <w:rPr>
                <w:sz w:val="17"/>
                <w:szCs w:val="17"/>
              </w:rPr>
              <w:t xml:space="preserve">Por planta entregada</w:t>
            </w:r>
            <w:r/>
          </w:p>
        </w:tc>
        <w:tc>
          <w:tcPr>
            <w:tcBorders/>
            <w:tcW w:w="2600" w:type="dxa"/>
          </w:tcPr>
          <w:p w14:paraId="28595854" w14:textId="77777777">
            <w:pPr>
              <w:pBdr/>
              <w:spacing/>
              <w:ind/>
              <w:rPr/>
            </w:pPr>
            <w:r>
              <w:rPr>
                <w:sz w:val="17"/>
              </w:rPr>
              <w:t xml:space="preserve">$ 1.400 a $ 1.600</w:t>
            </w:r>
            <w:r/>
          </w:p>
        </w:tc>
        <w:tc>
          <w:tcPr>
            <w:tcBorders/>
            <w:tcW w:w="2752" w:type="dxa"/>
          </w:tcPr>
          <w:p w14:paraId="069E631D" w14:textId="77777777">
            <w:pPr>
              <w:pBdr/>
              <w:spacing/>
              <w:ind/>
              <w:rPr/>
            </w:pPr>
            <w:r>
              <w:rPr>
                <w:sz w:val="17"/>
              </w:rPr>
              <w:t xml:space="preserve">Descontar semilla comercial provista y sumar labor de injerto, cicatrización y riesgo.</w:t>
            </w:r>
            <w:r/>
          </w:p>
        </w:tc>
      </w:tr>
      <w:tr>
        <w:trPr>
          <w:cantSplit/>
        </w:trPr>
        <w:tc>
          <w:tcPr>
            <w:tcBorders/>
            <w:tcW w:w="2700" w:type="dxa"/>
          </w:tcPr>
          <w:p w14:paraId="76E3B6F9" w14:textId="77777777">
            <w:pPr>
              <w:pBdr/>
              <w:spacing/>
              <w:ind/>
              <w:rPr/>
            </w:pPr>
            <w:r>
              <w:rPr>
                <w:sz w:val="17"/>
                <w:szCs w:val="17"/>
              </w:rPr>
              <w:t xml:space="preserve">Diagnóstico / plan</w:t>
            </w:r>
            <w:r/>
          </w:p>
        </w:tc>
        <w:tc>
          <w:tcPr>
            <w:tcBorders/>
            <w:tcW w:w="1700" w:type="dxa"/>
          </w:tcPr>
          <w:p w14:paraId="18EF6F30" w14:textId="77777777">
            <w:pPr>
              <w:pBdr/>
              <w:spacing/>
              <w:ind/>
              <w:rPr/>
            </w:pPr>
            <w:r>
              <w:rPr>
                <w:sz w:val="17"/>
                <w:szCs w:val="17"/>
              </w:rPr>
              <w:t xml:space="preserve">Por lote o establecimiento</w:t>
            </w:r>
            <w:r/>
          </w:p>
        </w:tc>
        <w:tc>
          <w:tcPr>
            <w:tcBorders/>
            <w:tcW w:w="2600" w:type="dxa"/>
          </w:tcPr>
          <w:p w14:paraId="34893A50" w14:textId="77777777">
            <w:pPr>
              <w:pBdr/>
              <w:spacing/>
              <w:ind/>
              <w:rPr/>
            </w:pPr>
            <w:r>
              <w:rPr>
                <w:sz w:val="17"/>
                <w:szCs w:val="17"/>
              </w:rPr>
              <w:t xml:space="preserve">$ 250.000–$ 400.000</w:t>
            </w:r>
            <w:r/>
          </w:p>
        </w:tc>
        <w:tc>
          <w:tcPr>
            <w:tcBorders/>
            <w:tcW w:w="2752" w:type="dxa"/>
          </w:tcPr>
          <w:p w14:paraId="0F8ED98B" w14:textId="77777777">
            <w:pPr>
              <w:pBdr/>
              <w:spacing/>
              <w:ind/>
              <w:rPr/>
            </w:pPr>
            <w:r>
              <w:rPr>
                <w:sz w:val="17"/>
                <w:szCs w:val="17"/>
              </w:rPr>
              <w:t xml:space="preserve">Hipótesis comercial; laboratorio aparte o costo + gestión.</w:t>
            </w:r>
            <w:r/>
          </w:p>
        </w:tc>
      </w:tr>
      <w:tr>
        <w:trPr>
          <w:cantSplit/>
        </w:trPr>
        <w:tc>
          <w:tcPr>
            <w:tcBorders/>
            <w:tcW w:w="2700" w:type="dxa"/>
          </w:tcPr>
          <w:p w14:paraId="07F229AA" w14:textId="77777777">
            <w:pPr>
              <w:pBdr/>
              <w:spacing/>
              <w:ind/>
              <w:rPr/>
            </w:pPr>
            <w:r>
              <w:rPr>
                <w:sz w:val="17"/>
                <w:szCs w:val="17"/>
              </w:rPr>
              <w:t xml:space="preserve">Tratamiento piloto</w:t>
            </w:r>
            <w:r/>
          </w:p>
        </w:tc>
        <w:tc>
          <w:tcPr>
            <w:tcBorders/>
            <w:tcW w:w="1700" w:type="dxa"/>
          </w:tcPr>
          <w:p w14:paraId="7035068B" w14:textId="77777777">
            <w:pPr>
              <w:pBdr/>
              <w:spacing/>
              <w:ind/>
              <w:rPr/>
            </w:pPr>
            <w:r>
              <w:rPr>
                <w:sz w:val="17"/>
                <w:szCs w:val="17"/>
              </w:rPr>
              <w:t xml:space="preserve">Por m²</w:t>
            </w:r>
            <w:r/>
          </w:p>
        </w:tc>
        <w:tc>
          <w:tcPr>
            <w:tcBorders/>
            <w:tcW w:w="2600" w:type="dxa"/>
          </w:tcPr>
          <w:p w14:paraId="3D48EDA5" w14:textId="77777777">
            <w:pPr>
              <w:pBdr/>
              <w:spacing/>
              <w:ind/>
              <w:rPr/>
            </w:pPr>
            <w:r>
              <w:rPr>
                <w:sz w:val="17"/>
              </w:rPr>
              <w:t xml:space="preserve">$ 650 a $ 900</w:t>
            </w:r>
            <w:r/>
          </w:p>
        </w:tc>
        <w:tc>
          <w:tcPr>
            <w:tcBorders/>
            <w:tcW w:w="2752" w:type="dxa"/>
          </w:tcPr>
          <w:p w14:paraId="31D1A331" w14:textId="77777777">
            <w:pPr>
              <w:pBdr/>
              <w:spacing/>
              <w:ind/>
              <w:rPr/>
            </w:pPr>
            <w:r>
              <w:rPr>
                <w:sz w:val="17"/>
              </w:rPr>
              <w:t xml:space="preserve">Referencia de $ 750 por m² para calibrar costos reales y disposición a pagar.</w:t>
            </w:r>
            <w:r/>
          </w:p>
        </w:tc>
      </w:tr>
      <w:tr>
        <w:trPr>
          <w:cantSplit/>
        </w:trPr>
        <w:tc>
          <w:tcPr>
            <w:tcBorders/>
            <w:tcW w:w="2700" w:type="dxa"/>
          </w:tcPr>
          <w:p w14:paraId="6E07EBE6" w14:textId="77777777">
            <w:pPr>
              <w:pBdr/>
              <w:spacing/>
              <w:ind/>
              <w:rPr/>
            </w:pPr>
            <w:r>
              <w:rPr>
                <w:sz w:val="17"/>
                <w:szCs w:val="17"/>
              </w:rPr>
              <w:t xml:space="preserve">Monitoreo posterior</w:t>
            </w:r>
            <w:r/>
          </w:p>
        </w:tc>
        <w:tc>
          <w:tcPr>
            <w:tcBorders/>
            <w:tcW w:w="1700" w:type="dxa"/>
          </w:tcPr>
          <w:p w14:paraId="40F1C18D" w14:textId="77777777">
            <w:pPr>
              <w:pBdr/>
              <w:spacing/>
              <w:ind/>
              <w:rPr/>
            </w:pPr>
            <w:r>
              <w:rPr>
                <w:sz w:val="17"/>
                <w:szCs w:val="17"/>
              </w:rPr>
              <w:t xml:space="preserve">Por visita / informe</w:t>
            </w:r>
            <w:r/>
          </w:p>
        </w:tc>
        <w:tc>
          <w:tcPr>
            <w:tcBorders/>
            <w:tcW w:w="2600" w:type="dxa"/>
          </w:tcPr>
          <w:p w14:paraId="159B26C0" w14:textId="77777777">
            <w:pPr>
              <w:pBdr/>
              <w:spacing/>
              <w:ind/>
              <w:rPr/>
            </w:pPr>
            <w:r>
              <w:rPr>
                <w:sz w:val="17"/>
                <w:szCs w:val="17"/>
              </w:rPr>
              <w:t xml:space="preserve">$ 150.000–$ 250.000</w:t>
            </w:r>
            <w:r/>
          </w:p>
        </w:tc>
        <w:tc>
          <w:tcPr>
            <w:tcBorders/>
            <w:tcW w:w="2752" w:type="dxa"/>
          </w:tcPr>
          <w:p w14:paraId="7C2A5622" w14:textId="77777777">
            <w:pPr>
              <w:pBdr/>
              <w:spacing/>
              <w:ind/>
              <w:rPr/>
            </w:pPr>
            <w:r>
              <w:rPr>
                <w:sz w:val="17"/>
                <w:szCs w:val="17"/>
              </w:rPr>
              <w:t xml:space="preserve">Según distancia y alcance.</w:t>
            </w:r>
            <w:r/>
          </w:p>
        </w:tc>
      </w:tr>
    </w:tbl>
    <w:p w14:paraId="089E9BBC" w14:textId="77777777">
      <w:pPr>
        <w:pBdr/>
        <w:spacing w:after="60"/>
        <w:ind/>
        <w:rPr/>
      </w:pPr>
      <w:r>
        <w:t xml:space="preserve">Se propone trabajar con reserva anticipada: 40 % para asegurar genética y </w:t>
      </w:r>
      <w:r>
        <w:t xml:space="preserve">capacidad, y saldo a la entrega. En servicios de campo, anticipo para cubrir insumos/logística y saldo contra ejecución o informe. El paquete integral puede tener un descuento acotado sólo cuando existan ahorros reales de visita, planificación o logística.</w:t>
      </w:r>
      <w:r/>
    </w:p>
    <w:p w14:paraId="47C92807" w14:textId="77777777">
      <w:pPr>
        <w:pStyle w:val="797"/>
        <w:keepNext w:val="true"/>
        <w:pBdr/>
        <w:spacing/>
        <w:ind/>
        <w:rPr/>
      </w:pPr>
      <w:r>
        <w:t xml:space="preserve">Precios propuestos y criterio de margen</w:t>
      </w:r>
      <w:r/>
    </w:p>
    <w:p w14:paraId="0B117F3F" w14:textId="77777777">
      <w:pPr>
        <w:keepNext w:val="true"/>
        <w:pBdr/>
        <w:spacing w:after="120" w:line="276" w:lineRule="auto"/>
        <w:ind/>
        <w:jc w:val="both"/>
        <w:rPr/>
      </w:pPr>
      <w:r>
        <w:t xml:space="preserve">El precio debe fijarse sobre el costo por planta vendible, no sobre el costo de una semilla sembrada. Debe incluir pie y copa, </w:t>
      </w:r>
      <w:r>
        <w:t xml:space="preserve">sobresiembra</w:t>
      </w:r>
      <w:r>
        <w:t xml:space="preserve">, germinación, selección por diámetro, injerto, cicatrización, descarte, reposición, bandejas, sustrato, clips, energía, mano de obra, supervisión, administración, entrega y uso incremental de infraestructura.</w:t>
      </w:r>
      <w:r/>
    </w:p>
    <w:tbl>
      <w:tblPr>
        <w:tblStyle w:val="821"/>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600"/>
        <w:gridCol w:w="1900"/>
        <w:gridCol w:w="42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600" w:type="dxa"/>
          </w:tcPr>
          <w:p w14:paraId="394B3A2D" w14:textId="77777777">
            <w:pPr>
              <w:pBdr/>
              <w:spacing/>
              <w:ind/>
              <w:rPr/>
            </w:pPr>
            <w:r>
              <w:rPr>
                <w:b/>
                <w:bCs/>
                <w:color w:val="ffffff"/>
                <w:sz w:val="17"/>
                <w:szCs w:val="17"/>
              </w:rPr>
              <w:t xml:space="preserve">Producto / servicio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900" w:type="dxa"/>
          </w:tcPr>
          <w:p w14:paraId="1603A339" w14:textId="77777777">
            <w:pPr>
              <w:pBdr/>
              <w:spacing/>
              <w:ind/>
              <w:rPr/>
            </w:pPr>
            <w:r>
              <w:rPr>
                <w:b/>
                <w:bCs/>
                <w:color w:val="ffffff"/>
                <w:sz w:val="17"/>
                <w:szCs w:val="17"/>
              </w:rPr>
              <w:t xml:space="preserve">Margen objetivo preliminar</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252" w:type="dxa"/>
          </w:tcPr>
          <w:p w14:paraId="24997123" w14:textId="77777777">
            <w:pPr>
              <w:pBdr/>
              <w:spacing/>
              <w:ind/>
              <w:rPr/>
            </w:pPr>
            <w:r>
              <w:rPr>
                <w:b/>
                <w:bCs/>
                <w:color w:val="ffffff"/>
                <w:sz w:val="17"/>
                <w:szCs w:val="17"/>
              </w:rPr>
              <w:t xml:space="preserve">Validación necesaria</w:t>
            </w:r>
            <w:r/>
          </w:p>
        </w:tc>
      </w:tr>
      <w:tr>
        <w:trPr>
          <w:cantSplit/>
        </w:trPr>
        <w:tc>
          <w:tcPr>
            <w:tcBorders/>
            <w:tcW w:w="3600" w:type="dxa"/>
          </w:tcPr>
          <w:p w14:paraId="740BEBAD" w14:textId="77777777">
            <w:pPr>
              <w:pBdr/>
              <w:spacing/>
              <w:ind/>
              <w:rPr/>
            </w:pPr>
            <w:r>
              <w:rPr>
                <w:sz w:val="17"/>
                <w:szCs w:val="17"/>
              </w:rPr>
              <w:t xml:space="preserve">Tomate injertado</w:t>
            </w:r>
            <w:r/>
          </w:p>
        </w:tc>
        <w:tc>
          <w:tcPr>
            <w:tcBorders/>
            <w:tcW w:w="1900" w:type="dxa"/>
          </w:tcPr>
          <w:p w14:paraId="085D5293" w14:textId="77777777">
            <w:pPr>
              <w:pBdr/>
              <w:spacing/>
              <w:ind/>
              <w:rPr/>
            </w:pPr>
            <w:r>
              <w:rPr>
                <w:sz w:val="17"/>
                <w:szCs w:val="17"/>
              </w:rPr>
              <w:t xml:space="preserve">40–45 % como umbral de contribución</w:t>
            </w:r>
            <w:r/>
          </w:p>
        </w:tc>
        <w:tc>
          <w:tcPr>
            <w:tcBorders/>
            <w:tcW w:w="4252" w:type="dxa"/>
          </w:tcPr>
          <w:p w14:paraId="7F35754A" w14:textId="77777777">
            <w:pPr>
              <w:pBdr/>
              <w:spacing/>
              <w:ind/>
              <w:rPr/>
            </w:pPr>
            <w:r>
              <w:rPr>
                <w:sz w:val="17"/>
                <w:szCs w:val="17"/>
              </w:rPr>
              <w:t xml:space="preserve">Costo real por planta vendible.</w:t>
            </w:r>
            <w:r/>
          </w:p>
        </w:tc>
      </w:tr>
      <w:tr>
        <w:trPr>
          <w:cantSplit/>
        </w:trPr>
        <w:tc>
          <w:tcPr>
            <w:tcBorders/>
            <w:tcW w:w="3600" w:type="dxa"/>
          </w:tcPr>
          <w:p w14:paraId="299CF56D" w14:textId="77777777">
            <w:pPr>
              <w:pBdr/>
              <w:spacing/>
              <w:ind/>
              <w:rPr/>
            </w:pPr>
            <w:r>
              <w:rPr>
                <w:sz w:val="17"/>
                <w:szCs w:val="17"/>
              </w:rPr>
              <w:t xml:space="preserve">Pimiento / berenjena</w:t>
            </w:r>
            <w:r/>
          </w:p>
        </w:tc>
        <w:tc>
          <w:tcPr>
            <w:tcBorders/>
            <w:tcW w:w="1900" w:type="dxa"/>
          </w:tcPr>
          <w:p w14:paraId="05803191" w14:textId="77777777">
            <w:pPr>
              <w:pBdr/>
              <w:spacing/>
              <w:ind/>
              <w:rPr/>
            </w:pPr>
            <w:r>
              <w:rPr>
                <w:sz w:val="17"/>
                <w:szCs w:val="17"/>
              </w:rPr>
              <w:t xml:space="preserve">42–50 % por mayor descarte/riesgo esperado</w:t>
            </w:r>
            <w:r/>
          </w:p>
        </w:tc>
        <w:tc>
          <w:tcPr>
            <w:tcBorders/>
            <w:tcW w:w="4252" w:type="dxa"/>
          </w:tcPr>
          <w:p w14:paraId="21FA286C" w14:textId="77777777">
            <w:pPr>
              <w:pBdr/>
              <w:spacing/>
              <w:ind/>
              <w:rPr/>
            </w:pPr>
            <w:r>
              <w:rPr>
                <w:sz w:val="17"/>
                <w:szCs w:val="17"/>
              </w:rPr>
              <w:t xml:space="preserve">Supervivencia y horas de injerto.</w:t>
            </w:r>
            <w:r/>
          </w:p>
        </w:tc>
      </w:tr>
      <w:tr>
        <w:trPr>
          <w:cantSplit/>
        </w:trPr>
        <w:tc>
          <w:tcPr>
            <w:tcBorders/>
            <w:tcW w:w="3600" w:type="dxa"/>
          </w:tcPr>
          <w:p w14:paraId="754E60D4" w14:textId="77777777">
            <w:pPr>
              <w:pBdr/>
              <w:spacing/>
              <w:ind/>
              <w:rPr/>
            </w:pPr>
            <w:r>
              <w:rPr>
                <w:sz w:val="17"/>
                <w:szCs w:val="17"/>
              </w:rPr>
              <w:t xml:space="preserve">Servicios de campo</w:t>
            </w:r>
            <w:r/>
          </w:p>
        </w:tc>
        <w:tc>
          <w:tcPr>
            <w:tcBorders/>
            <w:tcW w:w="1900" w:type="dxa"/>
          </w:tcPr>
          <w:p w14:paraId="5AE588AB" w14:textId="77777777">
            <w:pPr>
              <w:pBdr/>
              <w:spacing/>
              <w:ind/>
              <w:rPr/>
            </w:pPr>
            <w:r>
              <w:rPr>
                <w:sz w:val="17"/>
                <w:szCs w:val="17"/>
              </w:rPr>
              <w:t xml:space="preserve">≥ 35 % para cubrir logística e insumos</w:t>
            </w:r>
            <w:r/>
          </w:p>
        </w:tc>
        <w:tc>
          <w:tcPr>
            <w:tcBorders/>
            <w:tcW w:w="4252" w:type="dxa"/>
          </w:tcPr>
          <w:p w14:paraId="32B8F871" w14:textId="77777777">
            <w:pPr>
              <w:pBdr/>
              <w:spacing/>
              <w:ind/>
              <w:rPr/>
            </w:pPr>
            <w:r>
              <w:rPr>
                <w:sz w:val="17"/>
                <w:szCs w:val="17"/>
              </w:rPr>
              <w:t xml:space="preserve">Costo por m² y productividad de cuadrilla.</w:t>
            </w:r>
            <w:r/>
          </w:p>
        </w:tc>
      </w:tr>
    </w:tbl>
    <w:p w14:paraId="46DEAC39" w14:textId="77777777">
      <w:pPr>
        <w:pStyle w:val="797"/>
        <w:pBdr/>
        <w:spacing/>
        <w:ind/>
        <w:rPr/>
      </w:pPr>
      <w:r>
        <w:rPr>
          <w:sz w:val="22"/>
        </w:rPr>
        <w:t xml:space="preserve">Ficha técnica de costos variables unitarios por planta vendible</w:t>
      </w:r>
      <w:r/>
    </w:p>
    <w:p w14:paraId="6781D24F" w14:textId="77777777">
      <w:pPr>
        <w:pBdr/>
        <w:spacing/>
        <w:ind/>
        <w:rPr/>
      </w:pPr>
      <w:r>
        <w:rPr>
          <w:sz w:val="20"/>
        </w:rPr>
        <w:t xml:space="preserve">El costo variable unitario se calcula sobre plantín v</w:t>
      </w:r>
      <w:r>
        <w:rPr>
          <w:sz w:val="20"/>
        </w:rPr>
        <w:t xml:space="preserve">endible entregado al cliente, no sobre semilla puesta en bandeja. Para una bandeja de 128 celdas de tomate injertado, se asume un prendimiento comercial del 80 %, lo que impone un factor de sobrecosto técnico del 25 % sobre los insumos directos utilizados:</w:t>
      </w:r>
      <w:r/>
    </w:p>
    <w:tbl>
      <w:tblPr>
        <w:tblStyle w:val="805"/>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680"/>
        <w:gridCol w:w="3396"/>
        <w:gridCol w:w="1895"/>
        <w:gridCol w:w="1771"/>
      </w:tblGrid>
      <w:tr>
        <w:trPr/>
        <w:tc>
          <w:tcPr>
            <w:shd w:val="clear" w:color="auto" w:fill="f0f4f3"/>
            <w:tcBorders/>
            <w:tcW w:w="3000" w:type="dxa"/>
          </w:tcPr>
          <w:p w14:paraId="7A6E051A" w14:textId="77777777">
            <w:pPr>
              <w:pBdr/>
              <w:spacing/>
              <w:ind/>
              <w:rPr/>
            </w:pPr>
            <w:r>
              <w:rPr>
                <w:b/>
                <w:sz w:val="17"/>
              </w:rPr>
              <w:t xml:space="preserve">Concepto de costo</w:t>
            </w:r>
            <w:r/>
          </w:p>
        </w:tc>
        <w:tc>
          <w:tcPr>
            <w:shd w:val="clear" w:color="auto" w:fill="f0f4f3"/>
            <w:tcBorders/>
            <w:tcW w:w="4000" w:type="dxa"/>
          </w:tcPr>
          <w:p w14:paraId="69C69F91" w14:textId="77777777">
            <w:pPr>
              <w:pBdr/>
              <w:spacing/>
              <w:ind/>
              <w:rPr/>
            </w:pPr>
            <w:r>
              <w:rPr>
                <w:b/>
                <w:sz w:val="17"/>
              </w:rPr>
              <w:t xml:space="preserve">Detalle / Insumo</w:t>
            </w:r>
            <w:r/>
          </w:p>
        </w:tc>
        <w:tc>
          <w:tcPr>
            <w:shd w:val="clear" w:color="auto" w:fill="f0f4f3"/>
            <w:tcBorders/>
            <w:tcW w:w="2200" w:type="dxa"/>
          </w:tcPr>
          <w:p w14:paraId="03E477E3" w14:textId="77777777">
            <w:pPr>
              <w:pBdr/>
              <w:spacing/>
              <w:ind/>
              <w:rPr/>
            </w:pPr>
            <w:r>
              <w:rPr>
                <w:sz w:val="17"/>
              </w:rPr>
              <w:t xml:space="preserve">Costo por planta en pesos</w:t>
            </w:r>
            <w:r/>
          </w:p>
        </w:tc>
        <w:tc>
          <w:tcPr>
            <w:shd w:val="clear" w:color="auto" w:fill="f0f4f3"/>
            <w:tcBorders/>
            <w:tcW w:w="2000" w:type="dxa"/>
          </w:tcPr>
          <w:p w14:paraId="6ED7FCC1" w14:textId="77777777">
            <w:pPr>
              <w:pBdr/>
              <w:spacing/>
              <w:ind/>
              <w:rPr/>
            </w:pPr>
            <w:r>
              <w:rPr>
                <w:sz w:val="17"/>
              </w:rPr>
              <w:t xml:space="preserve">Incidencia porcentual</w:t>
            </w:r>
            <w:r/>
          </w:p>
        </w:tc>
      </w:tr>
      <w:tr>
        <w:trPr/>
        <w:tc>
          <w:tcPr>
            <w:tcBorders/>
            <w:tcW w:w="3000" w:type="dxa"/>
          </w:tcPr>
          <w:p w14:paraId="309568D9" w14:textId="77777777">
            <w:pPr>
              <w:pBdr/>
              <w:spacing/>
              <w:ind/>
              <w:rPr/>
            </w:pPr>
            <w:r>
              <w:rPr>
                <w:sz w:val="17"/>
              </w:rPr>
              <w:t xml:space="preserve">Semilla de portainjerto</w:t>
            </w:r>
            <w:r/>
          </w:p>
        </w:tc>
        <w:tc>
          <w:tcPr>
            <w:tcBorders/>
            <w:tcW w:w="4000" w:type="dxa"/>
          </w:tcPr>
          <w:p w14:paraId="6EE42CD0" w14:textId="77777777">
            <w:pPr>
              <w:pBdr/>
              <w:spacing/>
              <w:ind/>
              <w:rPr/>
            </w:pPr>
            <w:r>
              <w:rPr>
                <w:sz w:val="17"/>
              </w:rPr>
              <w:t xml:space="preserve">Maxifort</w:t>
            </w:r>
            <w:r>
              <w:rPr>
                <w:sz w:val="17"/>
              </w:rPr>
              <w:t xml:space="preserve"> F1 de </w:t>
            </w:r>
            <w:r>
              <w:rPr>
                <w:sz w:val="17"/>
              </w:rPr>
              <w:t xml:space="preserve">De</w:t>
            </w:r>
            <w:r>
              <w:rPr>
                <w:sz w:val="17"/>
              </w:rPr>
              <w:t xml:space="preserve"> </w:t>
            </w:r>
            <w:r>
              <w:rPr>
                <w:sz w:val="17"/>
              </w:rPr>
              <w:t xml:space="preserve">Ruiter</w:t>
            </w:r>
            <w:r>
              <w:rPr>
                <w:sz w:val="17"/>
              </w:rPr>
              <w:t xml:space="preserve"> Bayer, sobre de 1.000 semillas</w:t>
            </w:r>
            <w:r/>
          </w:p>
        </w:tc>
        <w:tc>
          <w:tcPr>
            <w:tcBorders/>
            <w:tcW w:w="2200" w:type="dxa"/>
          </w:tcPr>
          <w:p w14:paraId="42981B8D" w14:textId="77777777">
            <w:pPr>
              <w:pBdr/>
              <w:spacing/>
              <w:ind/>
              <w:rPr/>
            </w:pPr>
            <w:r>
              <w:rPr>
                <w:sz w:val="17"/>
              </w:rPr>
              <w:t xml:space="preserve">$ 220,00</w:t>
            </w:r>
            <w:r/>
          </w:p>
        </w:tc>
        <w:tc>
          <w:tcPr>
            <w:tcBorders/>
            <w:tcW w:w="2000" w:type="dxa"/>
          </w:tcPr>
          <w:p w14:paraId="6065D0F4" w14:textId="77777777">
            <w:pPr>
              <w:pBdr/>
              <w:spacing/>
              <w:ind/>
              <w:rPr/>
            </w:pPr>
            <w:r>
              <w:rPr>
                <w:sz w:val="17"/>
              </w:rPr>
              <w:t xml:space="preserve">29,3 %</w:t>
            </w:r>
            <w:r/>
          </w:p>
        </w:tc>
      </w:tr>
      <w:tr>
        <w:trPr/>
        <w:tc>
          <w:tcPr>
            <w:tcBorders/>
            <w:tcW w:w="3000" w:type="dxa"/>
          </w:tcPr>
          <w:p w14:paraId="5F2C1160" w14:textId="77777777">
            <w:pPr>
              <w:pBdr/>
              <w:spacing/>
              <w:ind/>
              <w:rPr/>
            </w:pPr>
            <w:r>
              <w:rPr>
                <w:sz w:val="17"/>
              </w:rPr>
              <w:t xml:space="preserve">Semilla de copa comercial</w:t>
            </w:r>
            <w:r/>
          </w:p>
        </w:tc>
        <w:tc>
          <w:tcPr>
            <w:tcBorders/>
            <w:tcW w:w="4000" w:type="dxa"/>
          </w:tcPr>
          <w:p w14:paraId="38A38091" w14:textId="77777777">
            <w:pPr>
              <w:pBdr/>
              <w:spacing/>
              <w:ind/>
              <w:rPr/>
            </w:pPr>
            <w:r>
              <w:rPr>
                <w:sz w:val="17"/>
              </w:rPr>
              <w:t xml:space="preserve">Híbrido comercial indeterminado redondo de primera línea</w:t>
            </w:r>
            <w:r/>
          </w:p>
        </w:tc>
        <w:tc>
          <w:tcPr>
            <w:tcBorders/>
            <w:tcW w:w="2200" w:type="dxa"/>
          </w:tcPr>
          <w:p w14:paraId="73881BB5" w14:textId="77777777">
            <w:pPr>
              <w:pBdr/>
              <w:spacing/>
              <w:ind/>
              <w:rPr/>
            </w:pPr>
            <w:r>
              <w:rPr>
                <w:sz w:val="17"/>
              </w:rPr>
              <w:t xml:space="preserve">$ 160,00</w:t>
            </w:r>
            <w:r/>
          </w:p>
        </w:tc>
        <w:tc>
          <w:tcPr>
            <w:tcBorders/>
            <w:tcW w:w="2000" w:type="dxa"/>
          </w:tcPr>
          <w:p w14:paraId="479BD136" w14:textId="77777777">
            <w:pPr>
              <w:pBdr/>
              <w:spacing/>
              <w:ind/>
              <w:rPr/>
            </w:pPr>
            <w:r>
              <w:rPr>
                <w:sz w:val="17"/>
              </w:rPr>
              <w:t xml:space="preserve">21,3 %</w:t>
            </w:r>
            <w:r/>
          </w:p>
        </w:tc>
      </w:tr>
      <w:tr>
        <w:trPr/>
        <w:tc>
          <w:tcPr>
            <w:tcBorders/>
            <w:tcW w:w="3000" w:type="dxa"/>
          </w:tcPr>
          <w:p w14:paraId="3D4C9563" w14:textId="77777777">
            <w:pPr>
              <w:pBdr/>
              <w:spacing/>
              <w:ind/>
              <w:rPr/>
            </w:pPr>
            <w:r>
              <w:rPr>
                <w:sz w:val="17"/>
              </w:rPr>
              <w:t xml:space="preserve">Clip de silicona</w:t>
            </w:r>
            <w:r/>
          </w:p>
        </w:tc>
        <w:tc>
          <w:tcPr>
            <w:tcBorders/>
            <w:tcW w:w="4000" w:type="dxa"/>
          </w:tcPr>
          <w:p w14:paraId="3E0BC1AB" w14:textId="77777777">
            <w:pPr>
              <w:pBdr/>
              <w:spacing/>
              <w:ind/>
              <w:rPr/>
            </w:pPr>
            <w:r>
              <w:rPr>
                <w:sz w:val="17"/>
              </w:rPr>
              <w:t xml:space="preserve">Clip flexible de 2 mm especial para solanáceas</w:t>
            </w:r>
            <w:r/>
          </w:p>
        </w:tc>
        <w:tc>
          <w:tcPr>
            <w:tcBorders/>
            <w:tcW w:w="2200" w:type="dxa"/>
          </w:tcPr>
          <w:p w14:paraId="64119AA1" w14:textId="77777777">
            <w:pPr>
              <w:pBdr/>
              <w:spacing/>
              <w:ind/>
              <w:rPr/>
            </w:pPr>
            <w:r>
              <w:rPr>
                <w:sz w:val="17"/>
              </w:rPr>
              <w:t xml:space="preserve">$ 40,00</w:t>
            </w:r>
            <w:r/>
          </w:p>
        </w:tc>
        <w:tc>
          <w:tcPr>
            <w:tcBorders/>
            <w:tcW w:w="2000" w:type="dxa"/>
          </w:tcPr>
          <w:p w14:paraId="126606B5" w14:textId="77777777">
            <w:pPr>
              <w:pBdr/>
              <w:spacing/>
              <w:ind/>
              <w:rPr/>
            </w:pPr>
            <w:r>
              <w:rPr>
                <w:sz w:val="17"/>
              </w:rPr>
              <w:t xml:space="preserve">5,3 %</w:t>
            </w:r>
            <w:r/>
          </w:p>
        </w:tc>
      </w:tr>
      <w:tr>
        <w:trPr/>
        <w:tc>
          <w:tcPr>
            <w:tcBorders/>
            <w:tcW w:w="3000" w:type="dxa"/>
          </w:tcPr>
          <w:p w14:paraId="1ED2B858" w14:textId="77777777">
            <w:pPr>
              <w:pBdr/>
              <w:spacing/>
              <w:ind/>
              <w:rPr/>
            </w:pPr>
            <w:r>
              <w:rPr>
                <w:sz w:val="17"/>
              </w:rPr>
              <w:t xml:space="preserve">Sustrato y celda</w:t>
            </w:r>
            <w:r/>
          </w:p>
        </w:tc>
        <w:tc>
          <w:tcPr>
            <w:tcBorders/>
            <w:tcW w:w="4000" w:type="dxa"/>
          </w:tcPr>
          <w:p w14:paraId="14F6C0B1" w14:textId="77777777">
            <w:pPr>
              <w:pBdr/>
              <w:spacing/>
              <w:ind/>
              <w:rPr/>
            </w:pPr>
            <w:r>
              <w:rPr>
                <w:sz w:val="17"/>
              </w:rPr>
              <w:t xml:space="preserve">Turba rubia profesional clasificada y bandeja de 128 celdas</w:t>
            </w:r>
            <w:r/>
          </w:p>
        </w:tc>
        <w:tc>
          <w:tcPr>
            <w:tcBorders/>
            <w:tcW w:w="2200" w:type="dxa"/>
          </w:tcPr>
          <w:p w14:paraId="594B0D08" w14:textId="77777777">
            <w:pPr>
              <w:pBdr/>
              <w:spacing/>
              <w:ind/>
              <w:rPr/>
            </w:pPr>
            <w:r>
              <w:rPr>
                <w:sz w:val="17"/>
              </w:rPr>
              <w:t xml:space="preserve">$ 70,00</w:t>
            </w:r>
            <w:r/>
          </w:p>
        </w:tc>
        <w:tc>
          <w:tcPr>
            <w:tcBorders/>
            <w:tcW w:w="2000" w:type="dxa"/>
          </w:tcPr>
          <w:p w14:paraId="2F3FD7BB" w14:textId="77777777">
            <w:pPr>
              <w:pBdr/>
              <w:spacing/>
              <w:ind/>
              <w:rPr/>
            </w:pPr>
            <w:r>
              <w:rPr>
                <w:sz w:val="17"/>
              </w:rPr>
              <w:t xml:space="preserve">9,3 %</w:t>
            </w:r>
            <w:r/>
          </w:p>
        </w:tc>
      </w:tr>
      <w:tr>
        <w:trPr/>
        <w:tc>
          <w:tcPr>
            <w:tcBorders/>
            <w:tcW w:w="3000" w:type="dxa"/>
          </w:tcPr>
          <w:p w14:paraId="2A691899" w14:textId="77777777">
            <w:pPr>
              <w:pBdr/>
              <w:spacing/>
              <w:ind/>
              <w:rPr/>
            </w:pPr>
            <w:r>
              <w:rPr>
                <w:sz w:val="17"/>
              </w:rPr>
              <w:t xml:space="preserve">Mano de obra directa</w:t>
            </w:r>
            <w:r/>
          </w:p>
        </w:tc>
        <w:tc>
          <w:tcPr>
            <w:tcBorders/>
            <w:tcW w:w="4000" w:type="dxa"/>
          </w:tcPr>
          <w:p w14:paraId="1CE180FF" w14:textId="77777777">
            <w:pPr>
              <w:pBdr/>
              <w:spacing/>
              <w:ind/>
              <w:rPr/>
            </w:pPr>
            <w:r>
              <w:rPr>
                <w:sz w:val="17"/>
              </w:rPr>
              <w:t xml:space="preserve">Operario calificado a 120 injertos por hora bajo convenio UATRE</w:t>
            </w:r>
            <w:r/>
          </w:p>
        </w:tc>
        <w:tc>
          <w:tcPr>
            <w:tcBorders/>
            <w:tcW w:w="2200" w:type="dxa"/>
          </w:tcPr>
          <w:p w14:paraId="121E8132" w14:textId="77777777">
            <w:pPr>
              <w:pBdr/>
              <w:spacing/>
              <w:ind/>
              <w:rPr/>
            </w:pPr>
            <w:r>
              <w:rPr>
                <w:sz w:val="17"/>
              </w:rPr>
              <w:t xml:space="preserve">$ 50,00</w:t>
            </w:r>
            <w:r/>
          </w:p>
        </w:tc>
        <w:tc>
          <w:tcPr>
            <w:tcBorders/>
            <w:tcW w:w="2000" w:type="dxa"/>
          </w:tcPr>
          <w:p w14:paraId="374F0460" w14:textId="77777777">
            <w:pPr>
              <w:pBdr/>
              <w:spacing/>
              <w:ind/>
              <w:rPr/>
            </w:pPr>
            <w:r>
              <w:rPr>
                <w:sz w:val="17"/>
              </w:rPr>
              <w:t xml:space="preserve">6,7 %</w:t>
            </w:r>
            <w:r/>
          </w:p>
        </w:tc>
      </w:tr>
      <w:tr>
        <w:trPr/>
        <w:tc>
          <w:tcPr>
            <w:tcBorders/>
            <w:tcW w:w="3000" w:type="dxa"/>
          </w:tcPr>
          <w:p w14:paraId="3D63749E" w14:textId="77777777">
            <w:pPr>
              <w:pBdr/>
              <w:spacing/>
              <w:ind/>
              <w:rPr/>
            </w:pPr>
            <w:r>
              <w:rPr>
                <w:sz w:val="17"/>
              </w:rPr>
              <w:t xml:space="preserve">Energía y climatización</w:t>
            </w:r>
            <w:r/>
          </w:p>
        </w:tc>
        <w:tc>
          <w:tcPr>
            <w:tcBorders/>
            <w:tcW w:w="4000" w:type="dxa"/>
          </w:tcPr>
          <w:p w14:paraId="2B7DB907" w14:textId="77777777">
            <w:pPr>
              <w:pBdr/>
              <w:spacing/>
              <w:ind/>
              <w:rPr/>
            </w:pPr>
            <w:r>
              <w:rPr>
                <w:sz w:val="17"/>
              </w:rPr>
              <w:t xml:space="preserve">Consumo eléctrico de cámara de cicatrización y nebulizadores</w:t>
            </w:r>
            <w:r/>
          </w:p>
        </w:tc>
        <w:tc>
          <w:tcPr>
            <w:tcBorders/>
            <w:tcW w:w="2200" w:type="dxa"/>
          </w:tcPr>
          <w:p w14:paraId="112FFD0A" w14:textId="77777777">
            <w:pPr>
              <w:pBdr/>
              <w:spacing/>
              <w:ind/>
              <w:rPr/>
            </w:pPr>
            <w:r>
              <w:rPr>
                <w:sz w:val="17"/>
              </w:rPr>
              <w:t xml:space="preserve">$ 30,00</w:t>
            </w:r>
            <w:r/>
          </w:p>
        </w:tc>
        <w:tc>
          <w:tcPr>
            <w:tcBorders/>
            <w:tcW w:w="2000" w:type="dxa"/>
          </w:tcPr>
          <w:p w14:paraId="790B24A6" w14:textId="77777777">
            <w:pPr>
              <w:pBdr/>
              <w:spacing/>
              <w:ind/>
              <w:rPr/>
            </w:pPr>
            <w:r>
              <w:rPr>
                <w:sz w:val="17"/>
              </w:rPr>
              <w:t xml:space="preserve">4,0 %</w:t>
            </w:r>
            <w:r/>
          </w:p>
        </w:tc>
      </w:tr>
      <w:tr>
        <w:trPr/>
        <w:tc>
          <w:tcPr>
            <w:tcBorders/>
            <w:tcW w:w="3000" w:type="dxa"/>
          </w:tcPr>
          <w:p w14:paraId="338D7265" w14:textId="77777777">
            <w:pPr>
              <w:pBdr/>
              <w:spacing/>
              <w:ind/>
              <w:rPr/>
            </w:pPr>
            <w:r>
              <w:rPr>
                <w:sz w:val="17"/>
              </w:rPr>
              <w:t xml:space="preserve">Subtotal insumos directos</w:t>
            </w:r>
            <w:r/>
          </w:p>
        </w:tc>
        <w:tc>
          <w:tcPr>
            <w:tcBorders/>
            <w:tcW w:w="4000" w:type="dxa"/>
          </w:tcPr>
          <w:p w14:paraId="546A5F43" w14:textId="77777777">
            <w:pPr>
              <w:pBdr/>
              <w:spacing/>
              <w:ind/>
              <w:rPr/>
            </w:pPr>
            <w:r>
              <w:rPr>
                <w:sz w:val="17"/>
              </w:rPr>
              <w:t xml:space="preserve">Costo físico acumulado por planta injertada viva</w:t>
            </w:r>
            <w:r/>
          </w:p>
        </w:tc>
        <w:tc>
          <w:tcPr>
            <w:tcBorders/>
            <w:tcW w:w="2200" w:type="dxa"/>
          </w:tcPr>
          <w:p w14:paraId="0FD56DA0" w14:textId="77777777">
            <w:pPr>
              <w:pBdr/>
              <w:spacing/>
              <w:ind/>
              <w:rPr/>
            </w:pPr>
            <w:r>
              <w:rPr>
                <w:sz w:val="17"/>
              </w:rPr>
              <w:t xml:space="preserve">$ 570,00</w:t>
            </w:r>
            <w:r/>
          </w:p>
        </w:tc>
        <w:tc>
          <w:tcPr>
            <w:tcBorders/>
            <w:tcW w:w="2000" w:type="dxa"/>
          </w:tcPr>
          <w:p w14:paraId="09DB5644" w14:textId="77777777">
            <w:pPr>
              <w:pBdr/>
              <w:spacing/>
              <w:ind/>
              <w:rPr/>
            </w:pPr>
            <w:r>
              <w:rPr>
                <w:sz w:val="17"/>
              </w:rPr>
              <w:t xml:space="preserve">76,0 %</w:t>
            </w:r>
            <w:r/>
          </w:p>
        </w:tc>
      </w:tr>
      <w:tr>
        <w:trPr/>
        <w:tc>
          <w:tcPr>
            <w:tcBorders/>
            <w:tcW w:w="3000" w:type="dxa"/>
          </w:tcPr>
          <w:p w14:paraId="2C8120F0" w14:textId="77777777">
            <w:pPr>
              <w:pBdr/>
              <w:spacing/>
              <w:ind/>
              <w:rPr/>
            </w:pPr>
            <w:r>
              <w:rPr>
                <w:sz w:val="17"/>
              </w:rPr>
              <w:t xml:space="preserve">Merma y descarte técnico</w:t>
            </w:r>
            <w:r/>
          </w:p>
        </w:tc>
        <w:tc>
          <w:tcPr>
            <w:tcBorders/>
            <w:tcW w:w="4000" w:type="dxa"/>
          </w:tcPr>
          <w:p w14:paraId="70D966FC" w14:textId="77777777">
            <w:pPr>
              <w:pBdr/>
              <w:spacing/>
              <w:ind/>
              <w:rPr/>
            </w:pPr>
            <w:r>
              <w:rPr>
                <w:sz w:val="17"/>
              </w:rPr>
              <w:t xml:space="preserve">20 % de pérdida en cicatrización y selección por diámetro</w:t>
            </w:r>
            <w:r/>
          </w:p>
        </w:tc>
        <w:tc>
          <w:tcPr>
            <w:tcBorders/>
            <w:tcW w:w="2200" w:type="dxa"/>
          </w:tcPr>
          <w:p w14:paraId="5F50BC8B" w14:textId="77777777">
            <w:pPr>
              <w:pBdr/>
              <w:spacing/>
              <w:ind/>
              <w:rPr/>
            </w:pPr>
            <w:r>
              <w:rPr>
                <w:sz w:val="17"/>
              </w:rPr>
              <w:t xml:space="preserve">$ 142,50</w:t>
            </w:r>
            <w:r/>
          </w:p>
        </w:tc>
        <w:tc>
          <w:tcPr>
            <w:tcBorders/>
            <w:tcW w:w="2000" w:type="dxa"/>
          </w:tcPr>
          <w:p w14:paraId="375E0906" w14:textId="77777777">
            <w:pPr>
              <w:pBdr/>
              <w:spacing/>
              <w:ind/>
              <w:rPr/>
            </w:pPr>
            <w:r>
              <w:rPr>
                <w:sz w:val="17"/>
              </w:rPr>
              <w:t xml:space="preserve">19,0 %</w:t>
            </w:r>
            <w:r/>
          </w:p>
        </w:tc>
      </w:tr>
      <w:tr>
        <w:trPr/>
        <w:tc>
          <w:tcPr>
            <w:tcBorders/>
            <w:tcW w:w="3000" w:type="dxa"/>
          </w:tcPr>
          <w:p w14:paraId="1282AAF8" w14:textId="77777777">
            <w:pPr>
              <w:pBdr/>
              <w:spacing/>
              <w:ind/>
              <w:rPr/>
            </w:pPr>
            <w:r>
              <w:rPr>
                <w:sz w:val="17"/>
              </w:rPr>
              <w:t xml:space="preserve">Embalaje y acondicionamiento</w:t>
            </w:r>
            <w:r/>
          </w:p>
        </w:tc>
        <w:tc>
          <w:tcPr>
            <w:tcBorders/>
            <w:tcW w:w="4000" w:type="dxa"/>
          </w:tcPr>
          <w:p w14:paraId="39E5B706" w14:textId="77777777">
            <w:pPr>
              <w:pBdr/>
              <w:spacing/>
              <w:ind/>
              <w:rPr/>
            </w:pPr>
            <w:r>
              <w:rPr>
                <w:sz w:val="17"/>
              </w:rPr>
              <w:t xml:space="preserve">Identificación de lote, cajas protectoras y despacho</w:t>
            </w:r>
            <w:r/>
          </w:p>
        </w:tc>
        <w:tc>
          <w:tcPr>
            <w:tcBorders/>
            <w:tcW w:w="2200" w:type="dxa"/>
          </w:tcPr>
          <w:p w14:paraId="3CAB2D3C" w14:textId="77777777">
            <w:pPr>
              <w:pBdr/>
              <w:spacing/>
              <w:ind/>
              <w:rPr/>
            </w:pPr>
            <w:r>
              <w:rPr>
                <w:sz w:val="17"/>
              </w:rPr>
              <w:t xml:space="preserve">$ 37,50</w:t>
            </w:r>
            <w:r/>
          </w:p>
        </w:tc>
        <w:tc>
          <w:tcPr>
            <w:tcBorders/>
            <w:tcW w:w="2000" w:type="dxa"/>
          </w:tcPr>
          <w:p w14:paraId="0DF3184A" w14:textId="77777777">
            <w:pPr>
              <w:pBdr/>
              <w:spacing/>
              <w:ind/>
              <w:rPr/>
            </w:pPr>
            <w:r>
              <w:rPr>
                <w:sz w:val="17"/>
              </w:rPr>
              <w:t xml:space="preserve">5,0 %</w:t>
            </w:r>
            <w:r/>
          </w:p>
        </w:tc>
      </w:tr>
      <w:tr>
        <w:trPr/>
        <w:tc>
          <w:tcPr>
            <w:tcBorders/>
            <w:tcW w:w="3000" w:type="dxa"/>
          </w:tcPr>
          <w:p w14:paraId="4DE6A563" w14:textId="77777777">
            <w:pPr>
              <w:pBdr/>
              <w:spacing/>
              <w:ind/>
              <w:rPr/>
            </w:pPr>
            <w:r>
              <w:rPr>
                <w:b/>
                <w:sz w:val="17"/>
              </w:rPr>
              <w:t xml:space="preserve">Costo variable unitario total por planta vendible</w:t>
            </w:r>
            <w:r/>
          </w:p>
        </w:tc>
        <w:tc>
          <w:tcPr>
            <w:tcBorders/>
            <w:tcW w:w="4000" w:type="dxa"/>
          </w:tcPr>
          <w:p w14:paraId="2463B4E3" w14:textId="77777777">
            <w:pPr>
              <w:pBdr/>
              <w:spacing/>
              <w:ind/>
              <w:rPr/>
            </w:pPr>
            <w:r>
              <w:rPr>
                <w:b/>
                <w:sz w:val="17"/>
              </w:rPr>
              <w:t xml:space="preserve">Costo de una planta vendible entregada</w:t>
            </w:r>
            <w:r/>
          </w:p>
        </w:tc>
        <w:tc>
          <w:tcPr>
            <w:tcBorders/>
            <w:tcW w:w="2200" w:type="dxa"/>
          </w:tcPr>
          <w:p w14:paraId="201F2DDA" w14:textId="77777777">
            <w:pPr>
              <w:pBdr/>
              <w:spacing/>
              <w:ind/>
              <w:rPr/>
            </w:pPr>
            <w:r>
              <w:rPr>
                <w:b/>
                <w:sz w:val="17"/>
              </w:rPr>
              <w:t xml:space="preserve">$ 750,00</w:t>
            </w:r>
            <w:r/>
          </w:p>
        </w:tc>
        <w:tc>
          <w:tcPr>
            <w:tcBorders/>
            <w:tcW w:w="2000" w:type="dxa"/>
          </w:tcPr>
          <w:p w14:paraId="672EBF50" w14:textId="77777777">
            <w:pPr>
              <w:pBdr/>
              <w:spacing/>
              <w:ind/>
              <w:rPr/>
            </w:pPr>
            <w:r>
              <w:rPr>
                <w:b/>
                <w:sz w:val="17"/>
              </w:rPr>
              <w:t xml:space="preserve">100,0 %</w:t>
            </w:r>
            <w:r/>
          </w:p>
        </w:tc>
      </w:tr>
    </w:tbl>
    <w:p w14:paraId="2C7EEFC5" w14:textId="77777777">
      <w:pPr>
        <w:pBdr/>
        <w:spacing/>
        <w:ind/>
        <w:rPr/>
      </w:pPr>
      <w:r>
        <w:rPr>
          <w:sz w:val="20"/>
        </w:rPr>
        <w:t xml:space="preserve">Con un </w:t>
      </w:r>
      <w:r>
        <w:rPr>
          <w:sz w:val="20"/>
        </w:rPr>
        <w:t xml:space="preserve">precio de venta propuesto de $ 2.000 por plantín de tomate, el margen de contribución unitario es de $ 1.250 por planta vendible. Esto equivale a un margen bruto del 62,5 % sobre costo variable directo y del 45 % neto considerando logística local y fletes.</w:t>
      </w:r>
      <w:r/>
    </w:p>
    <w:p w14:paraId="1CC126A5" w14:textId="77777777">
      <w:pPr>
        <w:pStyle w:val="797"/>
        <w:pBdr/>
        <w:spacing/>
        <w:ind/>
        <w:rPr/>
      </w:pPr>
      <w:r>
        <w:rPr>
          <w:sz w:val="22"/>
        </w:rPr>
        <w:t xml:space="preserve">Costos fijos anuales y punto de equilibrio operativo</w:t>
      </w:r>
      <w:r/>
    </w:p>
    <w:p w14:paraId="38F445C2" w14:textId="77777777">
      <w:pPr>
        <w:pBdr/>
        <w:spacing/>
        <w:ind/>
        <w:rPr/>
      </w:pPr>
      <w:r>
        <w:rPr>
          <w:sz w:val="20"/>
        </w:rPr>
        <w:t xml:space="preserve">Los costos fijos corresponden a la estructura incremental asignable a la línea de injertos dentro de VFW, incluyendo la amortización lineal a cinco años del equipamiento:</w:t>
      </w:r>
      <w:r/>
    </w:p>
    <w:tbl>
      <w:tblPr>
        <w:tblStyle w:val="805"/>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46"/>
        <w:gridCol w:w="3950"/>
        <w:gridCol w:w="2646"/>
      </w:tblGrid>
      <w:tr>
        <w:trPr/>
        <w:tc>
          <w:tcPr>
            <w:shd w:val="clear" w:color="auto" w:fill="f0f4f3"/>
            <w:tcBorders/>
            <w:tcW w:w="3600" w:type="dxa"/>
          </w:tcPr>
          <w:p w14:paraId="0E24F7B3" w14:textId="77777777">
            <w:pPr>
              <w:pBdr/>
              <w:spacing/>
              <w:ind/>
              <w:rPr/>
            </w:pPr>
            <w:r>
              <w:rPr>
                <w:b/>
                <w:sz w:val="17"/>
              </w:rPr>
              <w:t xml:space="preserve">Concepto de costo fijo</w:t>
            </w:r>
            <w:r/>
          </w:p>
        </w:tc>
        <w:tc>
          <w:tcPr>
            <w:shd w:val="clear" w:color="auto" w:fill="f0f4f3"/>
            <w:tcBorders/>
            <w:tcW w:w="4600" w:type="dxa"/>
          </w:tcPr>
          <w:p w14:paraId="3B3F47CC" w14:textId="77777777">
            <w:pPr>
              <w:pBdr/>
              <w:spacing/>
              <w:ind/>
              <w:rPr/>
            </w:pPr>
            <w:r>
              <w:rPr>
                <w:b/>
                <w:sz w:val="17"/>
              </w:rPr>
              <w:t xml:space="preserve">Base de cálculo</w:t>
            </w:r>
            <w:r/>
          </w:p>
        </w:tc>
        <w:tc>
          <w:tcPr>
            <w:shd w:val="clear" w:color="auto" w:fill="f0f4f3"/>
            <w:tcBorders/>
            <w:tcW w:w="3000" w:type="dxa"/>
          </w:tcPr>
          <w:p w14:paraId="05B238AD" w14:textId="77777777">
            <w:pPr>
              <w:pBdr/>
              <w:spacing/>
              <w:ind/>
              <w:rPr/>
            </w:pPr>
            <w:r>
              <w:rPr>
                <w:sz w:val="17"/>
              </w:rPr>
              <w:t xml:space="preserve">Monto anual en pesos</w:t>
            </w:r>
            <w:r/>
          </w:p>
        </w:tc>
      </w:tr>
      <w:tr>
        <w:trPr/>
        <w:tc>
          <w:tcPr>
            <w:tcBorders/>
            <w:tcW w:w="3600" w:type="dxa"/>
          </w:tcPr>
          <w:p w14:paraId="07F39C28" w14:textId="77777777">
            <w:pPr>
              <w:pBdr/>
              <w:spacing/>
              <w:ind/>
              <w:rPr/>
            </w:pPr>
            <w:r>
              <w:rPr>
                <w:sz w:val="17"/>
              </w:rPr>
              <w:t xml:space="preserve">Amortización de equipamiento</w:t>
            </w:r>
            <w:r/>
          </w:p>
        </w:tc>
        <w:tc>
          <w:tcPr>
            <w:tcBorders/>
            <w:tcW w:w="4600" w:type="dxa"/>
          </w:tcPr>
          <w:p w14:paraId="27BA5B03" w14:textId="77777777">
            <w:pPr>
              <w:pBdr/>
              <w:spacing/>
              <w:ind/>
              <w:rPr/>
            </w:pPr>
            <w:r>
              <w:rPr>
                <w:sz w:val="17"/>
              </w:rPr>
              <w:t xml:space="preserve">Depreciación lineal a 5 años de la inversión de 14 millones de pesos</w:t>
            </w:r>
            <w:r/>
          </w:p>
        </w:tc>
        <w:tc>
          <w:tcPr>
            <w:tcBorders/>
            <w:tcW w:w="3000" w:type="dxa"/>
          </w:tcPr>
          <w:p w14:paraId="33424993" w14:textId="77777777">
            <w:pPr>
              <w:pBdr/>
              <w:spacing/>
              <w:ind/>
              <w:rPr/>
            </w:pPr>
            <w:r>
              <w:rPr>
                <w:sz w:val="17"/>
              </w:rPr>
              <w:t xml:space="preserve">$ 2.800.000</w:t>
            </w:r>
            <w:r/>
          </w:p>
        </w:tc>
      </w:tr>
      <w:tr>
        <w:trPr/>
        <w:tc>
          <w:tcPr>
            <w:tcBorders/>
            <w:tcW w:w="3600" w:type="dxa"/>
          </w:tcPr>
          <w:p w14:paraId="45FC1987" w14:textId="77777777">
            <w:pPr>
              <w:pBdr/>
              <w:spacing/>
              <w:ind/>
              <w:rPr/>
            </w:pPr>
            <w:r>
              <w:rPr>
                <w:sz w:val="17"/>
              </w:rPr>
              <w:t xml:space="preserve">Responsable técnico agrónomo</w:t>
            </w:r>
            <w:r/>
          </w:p>
        </w:tc>
        <w:tc>
          <w:tcPr>
            <w:tcBorders/>
            <w:tcW w:w="4600" w:type="dxa"/>
          </w:tcPr>
          <w:p w14:paraId="736C3591" w14:textId="77777777">
            <w:pPr>
              <w:pBdr/>
              <w:spacing/>
              <w:ind/>
              <w:rPr/>
            </w:pPr>
            <w:r>
              <w:rPr>
                <w:sz w:val="17"/>
              </w:rPr>
              <w:t xml:space="preserve">Honorarios profesionales de dedicación parcial para supervisión</w:t>
            </w:r>
            <w:r/>
          </w:p>
        </w:tc>
        <w:tc>
          <w:tcPr>
            <w:tcBorders/>
            <w:tcW w:w="3000" w:type="dxa"/>
          </w:tcPr>
          <w:p w14:paraId="1950009A" w14:textId="77777777">
            <w:pPr>
              <w:pBdr/>
              <w:spacing/>
              <w:ind/>
              <w:rPr/>
            </w:pPr>
            <w:r>
              <w:rPr>
                <w:sz w:val="17"/>
              </w:rPr>
              <w:t xml:space="preserve">$ 3.600.000</w:t>
            </w:r>
            <w:r/>
          </w:p>
        </w:tc>
      </w:tr>
      <w:tr>
        <w:trPr/>
        <w:tc>
          <w:tcPr>
            <w:tcBorders/>
            <w:tcW w:w="3600" w:type="dxa"/>
          </w:tcPr>
          <w:p w14:paraId="37CF3C63" w14:textId="77777777">
            <w:pPr>
              <w:pBdr/>
              <w:spacing/>
              <w:ind/>
              <w:rPr/>
            </w:pPr>
            <w:r>
              <w:rPr>
                <w:sz w:val="17"/>
              </w:rPr>
              <w:t xml:space="preserve">Mantenimiento y habilitaciones</w:t>
            </w:r>
            <w:r/>
          </w:p>
        </w:tc>
        <w:tc>
          <w:tcPr>
            <w:tcBorders/>
            <w:tcW w:w="4600" w:type="dxa"/>
          </w:tcPr>
          <w:p w14:paraId="244C7F8D" w14:textId="77777777">
            <w:pPr>
              <w:pBdr/>
              <w:spacing/>
              <w:ind/>
              <w:rPr/>
            </w:pPr>
            <w:r>
              <w:rPr>
                <w:sz w:val="17"/>
              </w:rPr>
              <w:t xml:space="preserve">Mantenimiento de climatización, registros INASE y SENASA, y seguros</w:t>
            </w:r>
            <w:r/>
          </w:p>
        </w:tc>
        <w:tc>
          <w:tcPr>
            <w:tcBorders/>
            <w:tcW w:w="3000" w:type="dxa"/>
          </w:tcPr>
          <w:p w14:paraId="25C6190B" w14:textId="77777777">
            <w:pPr>
              <w:pBdr/>
              <w:spacing/>
              <w:ind/>
              <w:rPr/>
            </w:pPr>
            <w:r>
              <w:rPr>
                <w:sz w:val="17"/>
              </w:rPr>
              <w:t xml:space="preserve">$ 1.200.000</w:t>
            </w:r>
            <w:r/>
          </w:p>
        </w:tc>
      </w:tr>
      <w:tr>
        <w:trPr/>
        <w:tc>
          <w:tcPr>
            <w:tcBorders/>
            <w:tcW w:w="3600" w:type="dxa"/>
          </w:tcPr>
          <w:p w14:paraId="241640C4" w14:textId="77777777">
            <w:pPr>
              <w:pBdr/>
              <w:spacing/>
              <w:ind/>
              <w:rPr/>
            </w:pPr>
            <w:r>
              <w:rPr>
                <w:sz w:val="17"/>
              </w:rPr>
              <w:t xml:space="preserve">Energía base y administración</w:t>
            </w:r>
            <w:r/>
          </w:p>
        </w:tc>
        <w:tc>
          <w:tcPr>
            <w:tcBorders/>
            <w:tcW w:w="4600" w:type="dxa"/>
          </w:tcPr>
          <w:p w14:paraId="04BF5455" w14:textId="77777777">
            <w:pPr>
              <w:pBdr/>
              <w:spacing/>
              <w:ind/>
              <w:rPr/>
            </w:pPr>
            <w:r>
              <w:rPr>
                <w:sz w:val="17"/>
              </w:rPr>
              <w:t xml:space="preserve">Potencia contratada, conectividad y gestión comercial</w:t>
            </w:r>
            <w:r/>
          </w:p>
        </w:tc>
        <w:tc>
          <w:tcPr>
            <w:tcBorders/>
            <w:tcW w:w="3000" w:type="dxa"/>
          </w:tcPr>
          <w:p w14:paraId="3B12EC0A" w14:textId="77777777">
            <w:pPr>
              <w:pBdr/>
              <w:spacing/>
              <w:ind/>
              <w:rPr/>
            </w:pPr>
            <w:r>
              <w:rPr>
                <w:sz w:val="17"/>
              </w:rPr>
              <w:t xml:space="preserve">$ 1.200.000</w:t>
            </w:r>
            <w:r/>
          </w:p>
        </w:tc>
      </w:tr>
      <w:tr>
        <w:trPr/>
        <w:tc>
          <w:tcPr>
            <w:tcBorders/>
            <w:tcW w:w="3600" w:type="dxa"/>
          </w:tcPr>
          <w:p w14:paraId="7C7AAD75" w14:textId="77777777">
            <w:pPr>
              <w:pBdr/>
              <w:spacing/>
              <w:ind/>
              <w:rPr/>
            </w:pPr>
            <w:r>
              <w:rPr>
                <w:b/>
                <w:sz w:val="17"/>
              </w:rPr>
              <w:t xml:space="preserve">Total</w:t>
            </w:r>
            <w:r>
              <w:rPr>
                <w:b/>
                <w:sz w:val="17"/>
              </w:rPr>
              <w:t xml:space="preserve"> costos fijos anuales</w:t>
            </w:r>
            <w:r/>
          </w:p>
        </w:tc>
        <w:tc>
          <w:tcPr>
            <w:tcBorders/>
            <w:tcW w:w="4600" w:type="dxa"/>
          </w:tcPr>
          <w:p w14:paraId="095D52E0" w14:textId="77777777">
            <w:pPr>
              <w:pBdr/>
              <w:spacing/>
              <w:ind/>
              <w:rPr/>
            </w:pPr>
            <w:r>
              <w:rPr>
                <w:b/>
                <w:sz w:val="17"/>
              </w:rPr>
              <w:t xml:space="preserve">Estructura fija incremental de la línea</w:t>
            </w:r>
            <w:r/>
          </w:p>
        </w:tc>
        <w:tc>
          <w:tcPr>
            <w:tcBorders/>
            <w:tcW w:w="3000" w:type="dxa"/>
          </w:tcPr>
          <w:p w14:paraId="5C41081B" w14:textId="77777777">
            <w:pPr>
              <w:pBdr/>
              <w:spacing/>
              <w:ind/>
              <w:rPr/>
            </w:pPr>
            <w:r>
              <w:rPr>
                <w:b/>
                <w:sz w:val="17"/>
              </w:rPr>
              <w:t xml:space="preserve">$ 8.800.000</w:t>
            </w:r>
            <w:r/>
          </w:p>
        </w:tc>
      </w:tr>
      <w:tr>
        <w:trPr/>
        <w:tc>
          <w:tcPr>
            <w:tcBorders/>
            <w:tcW w:w="3600" w:type="dxa"/>
          </w:tcPr>
          <w:p w14:paraId="5EC4EDE0" w14:textId="77777777">
            <w:pPr>
              <w:pBdr/>
              <w:spacing/>
              <w:ind/>
              <w:rPr/>
            </w:pPr>
            <w:r>
              <w:rPr>
                <w:sz w:val="17"/>
              </w:rPr>
              <w:t xml:space="preserve">Margen de contribución unitario</w:t>
            </w:r>
            <w:r/>
          </w:p>
        </w:tc>
        <w:tc>
          <w:tcPr>
            <w:tcBorders/>
            <w:tcW w:w="4600" w:type="dxa"/>
          </w:tcPr>
          <w:p w14:paraId="43E6A39C" w14:textId="77777777">
            <w:pPr>
              <w:pBdr/>
              <w:spacing/>
              <w:ind/>
              <w:rPr/>
            </w:pPr>
            <w:r>
              <w:rPr>
                <w:sz w:val="17"/>
              </w:rPr>
              <w:t xml:space="preserve">Precio de venta de 2.000 pesos menos costo variable de 750 pesos</w:t>
            </w:r>
            <w:r/>
          </w:p>
        </w:tc>
        <w:tc>
          <w:tcPr>
            <w:tcBorders/>
            <w:tcW w:w="3000" w:type="dxa"/>
          </w:tcPr>
          <w:p w14:paraId="021F6D78" w14:textId="77777777">
            <w:pPr>
              <w:pBdr/>
              <w:spacing/>
              <w:ind/>
              <w:rPr/>
            </w:pPr>
            <w:r>
              <w:rPr>
                <w:sz w:val="17"/>
              </w:rPr>
              <w:t xml:space="preserve">$ 1.250 / planta</w:t>
            </w:r>
            <w:r/>
          </w:p>
        </w:tc>
      </w:tr>
      <w:tr>
        <w:trPr/>
        <w:tc>
          <w:tcPr>
            <w:tcBorders/>
            <w:tcW w:w="3600" w:type="dxa"/>
          </w:tcPr>
          <w:p w14:paraId="34350DA3" w14:textId="77777777">
            <w:pPr>
              <w:pBdr/>
              <w:spacing/>
              <w:ind/>
              <w:rPr/>
            </w:pPr>
            <w:r>
              <w:rPr>
                <w:b/>
                <w:sz w:val="17"/>
              </w:rPr>
              <w:t xml:space="preserve">Punto de equilibrio operativo</w:t>
            </w:r>
            <w:r/>
          </w:p>
        </w:tc>
        <w:tc>
          <w:tcPr>
            <w:tcBorders/>
            <w:tcW w:w="4600" w:type="dxa"/>
          </w:tcPr>
          <w:p w14:paraId="7258F733" w14:textId="77777777">
            <w:pPr>
              <w:pBdr/>
              <w:spacing/>
              <w:ind/>
              <w:rPr/>
            </w:pPr>
            <w:r>
              <w:rPr>
                <w:b/>
                <w:sz w:val="17"/>
              </w:rPr>
              <w:t xml:space="preserve">Costos fijos sobre margen de contribución unitario, 8.800.000 sobre 1.250</w:t>
            </w:r>
            <w:r/>
          </w:p>
        </w:tc>
        <w:tc>
          <w:tcPr>
            <w:tcBorders/>
            <w:tcW w:w="3000" w:type="dxa"/>
          </w:tcPr>
          <w:p w14:paraId="5A105E0B" w14:textId="77777777">
            <w:pPr>
              <w:pBdr/>
              <w:spacing/>
              <w:ind/>
              <w:rPr/>
            </w:pPr>
            <w:r>
              <w:rPr>
                <w:b/>
                <w:sz w:val="17"/>
              </w:rPr>
              <w:t xml:space="preserve">7.040 plantines/año</w:t>
            </w:r>
            <w:r/>
          </w:p>
        </w:tc>
      </w:tr>
      <w:tr>
        <w:trPr/>
        <w:tc>
          <w:tcPr>
            <w:tcBorders/>
            <w:tcW w:w="3600" w:type="dxa"/>
          </w:tcPr>
          <w:p w14:paraId="05B5C6F8" w14:textId="77777777">
            <w:pPr>
              <w:pBdr/>
              <w:spacing/>
              <w:ind/>
              <w:rPr/>
            </w:pPr>
            <w:r>
              <w:rPr>
                <w:sz w:val="17"/>
              </w:rPr>
              <w:t xml:space="preserve">Cobertura con preventa mínima del 60 %</w:t>
            </w:r>
            <w:r/>
          </w:p>
        </w:tc>
        <w:tc>
          <w:tcPr>
            <w:tcBorders/>
            <w:tcW w:w="4600" w:type="dxa"/>
          </w:tcPr>
          <w:p w14:paraId="299EC487" w14:textId="77777777">
            <w:pPr>
              <w:pBdr/>
              <w:spacing/>
              <w:ind/>
              <w:rPr/>
            </w:pPr>
            <w:r>
              <w:rPr>
                <w:sz w:val="17"/>
              </w:rPr>
              <w:t xml:space="preserve">Meta del primer año de 20.000 plantines, con 12.000 unidades reservadas</w:t>
            </w:r>
            <w:r/>
          </w:p>
        </w:tc>
        <w:tc>
          <w:tcPr>
            <w:tcBorders/>
            <w:tcW w:w="3000" w:type="dxa"/>
          </w:tcPr>
          <w:p w14:paraId="4AE63DDE" w14:textId="77777777">
            <w:pPr>
              <w:pBdr/>
              <w:spacing/>
              <w:ind/>
              <w:rPr/>
            </w:pPr>
            <w:r>
              <w:rPr>
                <w:sz w:val="17"/>
              </w:rPr>
              <w:t xml:space="preserve">12.000 plantines, equivalente al 170 % del punto de equilibrio</w:t>
            </w:r>
            <w:r/>
          </w:p>
        </w:tc>
      </w:tr>
    </w:tbl>
    <w:p w14:paraId="20A1D265" w14:textId="77777777">
      <w:pPr>
        <w:pBdr/>
        <w:spacing/>
        <w:ind/>
        <w:rPr/>
      </w:pPr>
      <w:r>
        <w:rPr>
          <w:sz w:val="20"/>
        </w:rPr>
        <w:t xml:space="preserve">El punto de equilibrio operativo se alcanza al comercializar 7.040 plantines al año, lo que representa apenas el 35,2 % de la meta operativa de </w:t>
      </w:r>
      <w:r>
        <w:rPr>
          <w:sz w:val="20"/>
        </w:rPr>
        <w:t xml:space="preserve">20.000 unidades del primer año. Al exigir contractualmente el 60 % de reservas anticipadas (12.000 unidades) antes de iniciar la siembra, el proyecto garantiza operar en zona de rentabilidad positiva antes de comprometer los costos variables de producción.</w:t>
      </w:r>
      <w:r/>
    </w:p>
    <w:p w14:paraId="7B112A5B" w14:textId="77777777">
      <w:pPr>
        <w:pStyle w:val="797"/>
        <w:pBdr/>
        <w:spacing/>
        <w:ind/>
        <w:rPr/>
      </w:pPr>
      <w:r>
        <w:rPr>
          <w:sz w:val="22"/>
        </w:rPr>
        <w:t xml:space="preserve">Retorno económico de la inversión para el productor</w:t>
      </w:r>
      <w:r/>
    </w:p>
    <w:p w14:paraId="5C92D1B4" w14:textId="77777777">
      <w:pPr>
        <w:pBdr/>
        <w:spacing/>
        <w:ind/>
        <w:rPr/>
      </w:pPr>
      <w:r>
        <w:rPr>
          <w:sz w:val="20"/>
        </w:rPr>
        <w:t xml:space="preserve">Un factor determinante para la adopción es la conveniencia económica del productor. En tomate bajo cubierta, el vigor radicular del plantín injertado permite conduci</w:t>
      </w:r>
      <w:r>
        <w:rPr>
          <w:sz w:val="20"/>
        </w:rPr>
        <w:t xml:space="preserve">rlo habitualmente a dos guías principales en lugar de una, lo que reduce la densidad de plantación a la mitad. Como se observa en la tabla siguiente, esta práctica neutraliza el sobrecosto unitario y genera una ganancia neta superior desde el primer ciclo:</w:t>
      </w:r>
      <w:r/>
    </w:p>
    <w:tbl>
      <w:tblPr>
        <w:tblStyle w:val="805"/>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606"/>
        <w:gridCol w:w="2283"/>
        <w:gridCol w:w="2424"/>
        <w:gridCol w:w="2429"/>
      </w:tblGrid>
      <w:tr>
        <w:trPr/>
        <w:tc>
          <w:tcPr>
            <w:shd w:val="clear" w:color="auto" w:fill="f0f4f3"/>
            <w:tcBorders/>
            <w:tcW w:w="3000" w:type="dxa"/>
          </w:tcPr>
          <w:p w14:paraId="0783CEEB" w14:textId="77777777">
            <w:pPr>
              <w:pBdr/>
              <w:spacing/>
              <w:ind/>
              <w:rPr/>
            </w:pPr>
            <w:r>
              <w:rPr>
                <w:b/>
                <w:sz w:val="17"/>
              </w:rPr>
              <w:t xml:space="preserve">Variable productiva</w:t>
            </w:r>
            <w:r/>
          </w:p>
        </w:tc>
        <w:tc>
          <w:tcPr>
            <w:shd w:val="clear" w:color="auto" w:fill="f0f4f3"/>
            <w:tcBorders/>
            <w:tcW w:w="2600" w:type="dxa"/>
          </w:tcPr>
          <w:p w14:paraId="66A5CFC1" w14:textId="77777777">
            <w:pPr>
              <w:pBdr/>
              <w:spacing/>
              <w:ind/>
              <w:rPr/>
            </w:pPr>
            <w:r>
              <w:rPr>
                <w:b/>
                <w:sz w:val="17"/>
              </w:rPr>
              <w:t xml:space="preserve">Plantín común franco</w:t>
            </w:r>
            <w:r/>
          </w:p>
        </w:tc>
        <w:tc>
          <w:tcPr>
            <w:shd w:val="clear" w:color="auto" w:fill="f0f4f3"/>
            <w:tcBorders/>
            <w:tcW w:w="2800" w:type="dxa"/>
          </w:tcPr>
          <w:p w14:paraId="02201CC6" w14:textId="77777777">
            <w:pPr>
              <w:pBdr/>
              <w:spacing/>
              <w:ind/>
              <w:rPr/>
            </w:pPr>
            <w:r>
              <w:rPr>
                <w:b/>
                <w:sz w:val="17"/>
              </w:rPr>
              <w:t xml:space="preserve">Plantín injertado VFW</w:t>
            </w:r>
            <w:r/>
          </w:p>
        </w:tc>
        <w:tc>
          <w:tcPr>
            <w:shd w:val="clear" w:color="auto" w:fill="f0f4f3"/>
            <w:tcBorders/>
            <w:tcW w:w="2800" w:type="dxa"/>
          </w:tcPr>
          <w:p w14:paraId="24FC7C7F" w14:textId="77777777">
            <w:pPr>
              <w:pBdr/>
              <w:spacing/>
              <w:ind/>
              <w:rPr/>
            </w:pPr>
            <w:r>
              <w:rPr>
                <w:b/>
                <w:sz w:val="17"/>
              </w:rPr>
              <w:t xml:space="preserve">Impacto económico</w:t>
            </w:r>
            <w:r/>
          </w:p>
        </w:tc>
      </w:tr>
      <w:tr>
        <w:trPr/>
        <w:tc>
          <w:tcPr>
            <w:tcBorders/>
            <w:tcW w:w="3000" w:type="dxa"/>
          </w:tcPr>
          <w:p w14:paraId="24E5904B" w14:textId="77777777">
            <w:pPr>
              <w:pBdr/>
              <w:spacing/>
              <w:ind/>
              <w:rPr/>
            </w:pPr>
            <w:r>
              <w:rPr>
                <w:sz w:val="17"/>
              </w:rPr>
              <w:t xml:space="preserve">Densidad de plantación</w:t>
            </w:r>
            <w:r/>
          </w:p>
        </w:tc>
        <w:tc>
          <w:tcPr>
            <w:tcBorders/>
            <w:tcW w:w="2600" w:type="dxa"/>
          </w:tcPr>
          <w:p w14:paraId="15DD5495" w14:textId="77777777">
            <w:pPr>
              <w:pBdr/>
              <w:spacing/>
              <w:ind/>
              <w:rPr/>
            </w:pPr>
            <w:r>
              <w:rPr>
                <w:sz w:val="17"/>
              </w:rPr>
              <w:t xml:space="preserve">2,5 plantas por metro cuadrado conducidas a un eje</w:t>
            </w:r>
            <w:r/>
          </w:p>
        </w:tc>
        <w:tc>
          <w:tcPr>
            <w:tcBorders/>
            <w:tcW w:w="2800" w:type="dxa"/>
          </w:tcPr>
          <w:p w14:paraId="6702889B" w14:textId="77777777">
            <w:pPr>
              <w:pBdr/>
              <w:spacing/>
              <w:ind/>
              <w:rPr/>
            </w:pPr>
            <w:r>
              <w:rPr>
                <w:sz w:val="17"/>
              </w:rPr>
              <w:t xml:space="preserve">1,25 plantas por metro cuadrado conducidas a dos ejes</w:t>
            </w:r>
            <w:r/>
          </w:p>
        </w:tc>
        <w:tc>
          <w:tcPr>
            <w:tcBorders/>
            <w:tcW w:w="2800" w:type="dxa"/>
          </w:tcPr>
          <w:p w14:paraId="673F9027" w14:textId="77777777">
            <w:pPr>
              <w:pBdr/>
              <w:spacing/>
              <w:ind/>
              <w:rPr/>
            </w:pPr>
            <w:r>
              <w:rPr>
                <w:sz w:val="17"/>
              </w:rPr>
              <w:t xml:space="preserve">Ahorro del 50 % en cantidad de plantines</w:t>
            </w:r>
            <w:r/>
          </w:p>
        </w:tc>
      </w:tr>
      <w:tr>
        <w:trPr/>
        <w:tc>
          <w:tcPr>
            <w:tcBorders/>
            <w:tcW w:w="3000" w:type="dxa"/>
          </w:tcPr>
          <w:p w14:paraId="271F8585" w14:textId="77777777">
            <w:pPr>
              <w:pBdr/>
              <w:spacing/>
              <w:ind/>
              <w:rPr/>
            </w:pPr>
            <w:r>
              <w:rPr>
                <w:sz w:val="17"/>
              </w:rPr>
              <w:t xml:space="preserve">Precio unitario del plantín</w:t>
            </w:r>
            <w:r/>
          </w:p>
        </w:tc>
        <w:tc>
          <w:tcPr>
            <w:tcBorders/>
            <w:tcW w:w="2600" w:type="dxa"/>
          </w:tcPr>
          <w:p w14:paraId="7F51FE7A" w14:textId="77777777">
            <w:pPr>
              <w:pBdr/>
              <w:spacing/>
              <w:ind/>
              <w:rPr/>
            </w:pPr>
            <w:r>
              <w:rPr>
                <w:sz w:val="17"/>
              </w:rPr>
              <w:t xml:space="preserve">$ 1.000 / planta</w:t>
            </w:r>
            <w:r/>
          </w:p>
        </w:tc>
        <w:tc>
          <w:tcPr>
            <w:tcBorders/>
            <w:tcW w:w="2800" w:type="dxa"/>
          </w:tcPr>
          <w:p w14:paraId="079C933F" w14:textId="77777777">
            <w:pPr>
              <w:pBdr/>
              <w:spacing/>
              <w:ind/>
              <w:rPr/>
            </w:pPr>
            <w:r>
              <w:rPr>
                <w:sz w:val="17"/>
              </w:rPr>
              <w:t xml:space="preserve">$ 2.000 / planta</w:t>
            </w:r>
            <w:r/>
          </w:p>
        </w:tc>
        <w:tc>
          <w:tcPr>
            <w:tcBorders/>
            <w:tcW w:w="2800" w:type="dxa"/>
          </w:tcPr>
          <w:p w14:paraId="1CC9945B" w14:textId="77777777">
            <w:pPr>
              <w:pBdr/>
              <w:spacing/>
              <w:ind/>
              <w:rPr/>
            </w:pPr>
            <w:r>
              <w:rPr>
                <w:sz w:val="17"/>
              </w:rPr>
              <w:t xml:space="preserve">Incremento nominal del 100 %</w:t>
            </w:r>
            <w:r/>
          </w:p>
        </w:tc>
      </w:tr>
      <w:tr>
        <w:trPr/>
        <w:tc>
          <w:tcPr>
            <w:tcBorders/>
            <w:tcW w:w="3000" w:type="dxa"/>
          </w:tcPr>
          <w:p w14:paraId="385B44C6" w14:textId="77777777">
            <w:pPr>
              <w:pBdr/>
              <w:spacing/>
              <w:ind/>
              <w:rPr/>
            </w:pPr>
            <w:r>
              <w:rPr>
                <w:sz w:val="17"/>
              </w:rPr>
              <w:t xml:space="preserve">Costo en plantines por metro cuadrado</w:t>
            </w:r>
            <w:r/>
          </w:p>
        </w:tc>
        <w:tc>
          <w:tcPr>
            <w:tcBorders/>
            <w:tcW w:w="2600" w:type="dxa"/>
          </w:tcPr>
          <w:p w14:paraId="206A34D3" w14:textId="77777777">
            <w:pPr>
              <w:pBdr/>
              <w:spacing/>
              <w:ind/>
              <w:rPr/>
            </w:pPr>
            <w:r>
              <w:rPr>
                <w:sz w:val="17"/>
              </w:rPr>
              <w:t xml:space="preserve">$ 2.500 / m²</w:t>
            </w:r>
            <w:r/>
          </w:p>
        </w:tc>
        <w:tc>
          <w:tcPr>
            <w:tcBorders/>
            <w:tcW w:w="2800" w:type="dxa"/>
          </w:tcPr>
          <w:p w14:paraId="257954C7" w14:textId="77777777">
            <w:pPr>
              <w:pBdr/>
              <w:spacing/>
              <w:ind/>
              <w:rPr/>
            </w:pPr>
            <w:r>
              <w:rPr>
                <w:sz w:val="17"/>
              </w:rPr>
              <w:t xml:space="preserve">$ 2.500 / m²</w:t>
            </w:r>
            <w:r/>
          </w:p>
        </w:tc>
        <w:tc>
          <w:tcPr>
            <w:tcBorders/>
            <w:tcW w:w="2800" w:type="dxa"/>
          </w:tcPr>
          <w:p w14:paraId="3AB60CC4" w14:textId="77777777">
            <w:pPr>
              <w:pBdr/>
              <w:spacing/>
              <w:ind/>
              <w:rPr/>
            </w:pPr>
            <w:r>
              <w:rPr>
                <w:sz w:val="17"/>
              </w:rPr>
              <w:t xml:space="preserve">Sobrecosto en plantines: cero pesos por metro cuadrado</w:t>
            </w:r>
            <w:r/>
          </w:p>
        </w:tc>
      </w:tr>
      <w:tr>
        <w:trPr/>
        <w:tc>
          <w:tcPr>
            <w:tcBorders/>
            <w:tcW w:w="3000" w:type="dxa"/>
          </w:tcPr>
          <w:p w14:paraId="31F4352D" w14:textId="77777777">
            <w:pPr>
              <w:pBdr/>
              <w:spacing/>
              <w:ind/>
              <w:rPr/>
            </w:pPr>
            <w:r>
              <w:rPr>
                <w:sz w:val="17"/>
              </w:rPr>
              <w:t xml:space="preserve">Costo con precio alternativo de 2.500 pesos</w:t>
            </w:r>
            <w:r/>
          </w:p>
        </w:tc>
        <w:tc>
          <w:tcPr>
            <w:tcBorders/>
            <w:tcW w:w="2600" w:type="dxa"/>
          </w:tcPr>
          <w:p w14:paraId="00A8DCA3" w14:textId="77777777">
            <w:pPr>
              <w:pBdr/>
              <w:spacing/>
              <w:ind/>
              <w:rPr/>
            </w:pPr>
            <w:r>
              <w:rPr>
                <w:sz w:val="17"/>
              </w:rPr>
              <w:t xml:space="preserve">$ 2.500 / m²</w:t>
            </w:r>
            <w:r/>
          </w:p>
        </w:tc>
        <w:tc>
          <w:tcPr>
            <w:tcBorders/>
            <w:tcW w:w="2800" w:type="dxa"/>
          </w:tcPr>
          <w:p w14:paraId="69251228" w14:textId="77777777">
            <w:pPr>
              <w:pBdr/>
              <w:spacing/>
              <w:ind/>
              <w:rPr/>
            </w:pPr>
            <w:r>
              <w:rPr>
                <w:sz w:val="17"/>
              </w:rPr>
              <w:t xml:space="preserve">$ 3.125 / m²</w:t>
            </w:r>
            <w:r/>
          </w:p>
        </w:tc>
        <w:tc>
          <w:tcPr>
            <w:tcBorders/>
            <w:tcW w:w="2800" w:type="dxa"/>
          </w:tcPr>
          <w:p w14:paraId="4E368A88" w14:textId="77777777">
            <w:pPr>
              <w:pBdr/>
              <w:spacing/>
              <w:ind/>
              <w:rPr/>
            </w:pPr>
            <w:r>
              <w:rPr>
                <w:sz w:val="17"/>
              </w:rPr>
              <w:t xml:space="preserve">Sobrecosto máximo de 625 pesos por metro cuadrado</w:t>
            </w:r>
            <w:r/>
          </w:p>
        </w:tc>
      </w:tr>
      <w:tr>
        <w:trPr/>
        <w:tc>
          <w:tcPr>
            <w:tcBorders/>
            <w:tcW w:w="3000" w:type="dxa"/>
          </w:tcPr>
          <w:p w14:paraId="0A2E6E13" w14:textId="77777777">
            <w:pPr>
              <w:pBdr/>
              <w:spacing/>
              <w:ind/>
              <w:rPr/>
            </w:pPr>
            <w:r>
              <w:rPr>
                <w:sz w:val="17"/>
              </w:rPr>
              <w:t xml:space="preserve">Rendimiento base en suelo infestado</w:t>
            </w:r>
            <w:r/>
          </w:p>
        </w:tc>
        <w:tc>
          <w:tcPr>
            <w:tcBorders/>
            <w:tcW w:w="2600" w:type="dxa"/>
          </w:tcPr>
          <w:p w14:paraId="32419569" w14:textId="77777777">
            <w:pPr>
              <w:pBdr/>
              <w:spacing/>
              <w:ind/>
              <w:rPr/>
            </w:pPr>
            <w:r>
              <w:rPr>
                <w:sz w:val="17"/>
              </w:rPr>
              <w:t xml:space="preserve">8 kilos por metro cuadrado, equivalente a 80 toneladas por hectárea</w:t>
            </w:r>
            <w:r/>
          </w:p>
        </w:tc>
        <w:tc>
          <w:tcPr>
            <w:tcBorders/>
            <w:tcW w:w="2800" w:type="dxa"/>
          </w:tcPr>
          <w:p w14:paraId="190DB410" w14:textId="77777777">
            <w:pPr>
              <w:pBdr/>
              <w:spacing/>
              <w:ind/>
              <w:rPr/>
            </w:pPr>
            <w:r>
              <w:rPr>
                <w:sz w:val="17"/>
              </w:rPr>
              <w:t xml:space="preserve">11,2 kilos por metro cuadrado, 40 % más por vigor y tolerancia radicular</w:t>
            </w:r>
            <w:r/>
          </w:p>
        </w:tc>
        <w:tc>
          <w:tcPr>
            <w:tcBorders/>
            <w:tcW w:w="2800" w:type="dxa"/>
          </w:tcPr>
          <w:p w14:paraId="3DC19843" w14:textId="77777777">
            <w:pPr>
              <w:pBdr/>
              <w:spacing/>
              <w:ind/>
              <w:rPr/>
            </w:pPr>
            <w:r>
              <w:rPr>
                <w:sz w:val="17"/>
              </w:rPr>
              <w:t xml:space="preserve">Cosecha adicional de 3,2 kilos por metro cuadrado</w:t>
            </w:r>
            <w:r/>
          </w:p>
        </w:tc>
      </w:tr>
      <w:tr>
        <w:trPr/>
        <w:tc>
          <w:tcPr>
            <w:tcBorders/>
            <w:tcW w:w="3000" w:type="dxa"/>
          </w:tcPr>
          <w:p w14:paraId="2B7A769E" w14:textId="77777777">
            <w:pPr>
              <w:pBdr/>
              <w:spacing/>
              <w:ind/>
              <w:rPr/>
            </w:pPr>
            <w:r>
              <w:rPr>
                <w:sz w:val="17"/>
              </w:rPr>
              <w:t xml:space="preserve">Ingreso bruto con tomate a 500 pesos por kilo</w:t>
            </w:r>
            <w:r/>
          </w:p>
        </w:tc>
        <w:tc>
          <w:tcPr>
            <w:tcBorders/>
            <w:tcW w:w="2600" w:type="dxa"/>
          </w:tcPr>
          <w:p w14:paraId="1425470B" w14:textId="77777777">
            <w:pPr>
              <w:pBdr/>
              <w:spacing/>
              <w:ind/>
              <w:rPr/>
            </w:pPr>
            <w:r>
              <w:rPr>
                <w:sz w:val="17"/>
              </w:rPr>
              <w:t xml:space="preserve">$ 4.000 / m²</w:t>
            </w:r>
            <w:r/>
          </w:p>
        </w:tc>
        <w:tc>
          <w:tcPr>
            <w:tcBorders/>
            <w:tcW w:w="2800" w:type="dxa"/>
          </w:tcPr>
          <w:p w14:paraId="75233AF3" w14:textId="77777777">
            <w:pPr>
              <w:pBdr/>
              <w:spacing/>
              <w:ind/>
              <w:rPr/>
            </w:pPr>
            <w:r>
              <w:rPr>
                <w:sz w:val="17"/>
              </w:rPr>
              <w:t xml:space="preserve">$ 5.600 / m²</w:t>
            </w:r>
            <w:r/>
          </w:p>
        </w:tc>
        <w:tc>
          <w:tcPr>
            <w:tcBorders/>
            <w:tcW w:w="2800" w:type="dxa"/>
          </w:tcPr>
          <w:p w14:paraId="639960D4" w14:textId="77777777">
            <w:pPr>
              <w:pBdr/>
              <w:spacing/>
              <w:ind/>
              <w:rPr/>
            </w:pPr>
            <w:r>
              <w:rPr>
                <w:sz w:val="17"/>
              </w:rPr>
              <w:t xml:space="preserve">Ingreso bruto adicional de 1.600 pesos por metro cuadrado</w:t>
            </w:r>
            <w:r/>
          </w:p>
        </w:tc>
      </w:tr>
      <w:tr>
        <w:trPr/>
        <w:tc>
          <w:tcPr>
            <w:tcBorders/>
            <w:tcW w:w="3000" w:type="dxa"/>
          </w:tcPr>
          <w:p w14:paraId="2D8A3689" w14:textId="77777777">
            <w:pPr>
              <w:pBdr/>
              <w:spacing/>
              <w:ind/>
              <w:rPr/>
            </w:pPr>
            <w:r>
              <w:rPr>
                <w:b/>
                <w:sz w:val="17"/>
              </w:rPr>
              <w:t xml:space="preserve">Beneficio neto para el productor</w:t>
            </w:r>
            <w:r/>
          </w:p>
        </w:tc>
        <w:tc>
          <w:tcPr>
            <w:tcBorders/>
            <w:tcW w:w="2600" w:type="dxa"/>
          </w:tcPr>
          <w:p w14:paraId="2A5AFAF7" w14:textId="77777777">
            <w:pPr>
              <w:pBdr/>
              <w:spacing/>
              <w:ind/>
              <w:rPr/>
            </w:pPr>
            <w:r>
              <w:rPr>
                <w:b/>
                <w:sz w:val="17"/>
              </w:rPr>
              <w:t xml:space="preserve">Línea base</w:t>
            </w:r>
            <w:r/>
          </w:p>
        </w:tc>
        <w:tc>
          <w:tcPr>
            <w:tcBorders/>
            <w:tcW w:w="2800" w:type="dxa"/>
          </w:tcPr>
          <w:p w14:paraId="7F5A9D5C" w14:textId="77777777">
            <w:pPr>
              <w:pBdr/>
              <w:spacing/>
              <w:ind/>
              <w:rPr/>
            </w:pPr>
            <w:r>
              <w:rPr>
                <w:b/>
                <w:sz w:val="17"/>
              </w:rPr>
              <w:t xml:space="preserve">Entre 975 y 1.600 pesos extra por metro cuadrado</w:t>
            </w:r>
            <w:r/>
          </w:p>
        </w:tc>
        <w:tc>
          <w:tcPr>
            <w:tcBorders/>
            <w:tcW w:w="2800" w:type="dxa"/>
          </w:tcPr>
          <w:p w14:paraId="5253C523" w14:textId="77777777">
            <w:pPr>
              <w:pBdr/>
              <w:spacing/>
              <w:ind/>
              <w:rPr/>
            </w:pPr>
            <w:r>
              <w:rPr>
                <w:b/>
                <w:sz w:val="17"/>
              </w:rPr>
              <w:t xml:space="preserve">Ganancia neta extra de 9,7 a 16 millones de pesos por hectárea</w:t>
            </w:r>
            <w:r/>
          </w:p>
        </w:tc>
      </w:tr>
      <w:tr>
        <w:trPr/>
        <w:tc>
          <w:tcPr>
            <w:tcBorders/>
            <w:tcW w:w="3000" w:type="dxa"/>
          </w:tcPr>
          <w:p w14:paraId="1805780E" w14:textId="77777777">
            <w:pPr>
              <w:pBdr/>
              <w:spacing/>
              <w:ind/>
              <w:rPr/>
            </w:pPr>
            <w:r>
              <w:rPr>
                <w:sz w:val="17"/>
              </w:rPr>
              <w:t xml:space="preserve">Con Fase 2: suelo tratado a 750 pesos por metro cuadrado</w:t>
            </w:r>
            <w:r/>
          </w:p>
        </w:tc>
        <w:tc>
          <w:tcPr>
            <w:tcBorders/>
            <w:tcW w:w="2600" w:type="dxa"/>
          </w:tcPr>
          <w:p w14:paraId="24DB5E45" w14:textId="77777777">
            <w:pPr>
              <w:pBdr/>
              <w:spacing/>
              <w:ind/>
              <w:rPr/>
            </w:pPr>
            <w:r>
              <w:rPr>
                <w:sz w:val="17"/>
              </w:rPr>
              <w:t xml:space="preserve">Suelo sin desinfección</w:t>
            </w:r>
            <w:r/>
          </w:p>
        </w:tc>
        <w:tc>
          <w:tcPr>
            <w:tcBorders/>
            <w:tcW w:w="2800" w:type="dxa"/>
          </w:tcPr>
          <w:p w14:paraId="0EBC44DA" w14:textId="77777777">
            <w:pPr>
              <w:pBdr/>
              <w:spacing/>
              <w:ind/>
              <w:rPr/>
            </w:pPr>
            <w:r>
              <w:rPr>
                <w:sz w:val="17"/>
              </w:rPr>
              <w:t xml:space="preserve">Inversión total de 3.875 pesos por metro cuadrado</w:t>
            </w:r>
            <w:r/>
          </w:p>
        </w:tc>
        <w:tc>
          <w:tcPr>
            <w:tcBorders/>
            <w:tcW w:w="2800" w:type="dxa"/>
          </w:tcPr>
          <w:p w14:paraId="67AA131E" w14:textId="77777777">
            <w:pPr>
              <w:pBdr/>
              <w:spacing/>
              <w:ind/>
              <w:rPr/>
            </w:pPr>
            <w:r>
              <w:rPr>
                <w:sz w:val="17"/>
              </w:rPr>
              <w:t xml:space="preserve">Rinde superior a 12 kilos por metro cuadrado, repaga y deja más de 1.500 pesos netos extra por metro cuadrado</w:t>
            </w:r>
            <w:r/>
          </w:p>
        </w:tc>
      </w:tr>
    </w:tbl>
    <w:p w14:paraId="2A20AD44" w14:textId="77777777">
      <w:pPr>
        <w:pBdr/>
        <w:spacing w:after="60"/>
        <w:ind/>
        <w:rPr/>
      </w:pPr>
      <w:r>
        <w:t xml:space="preserve">Los márgenes </w:t>
      </w:r>
      <w:r>
        <w:t xml:space="preserve">indicados son umbrales de decisión para la etapa piloto, no rentabilidad demostrada. Precio menos costo variable es margen de contribución; la utilidad final se determinará después de incorporar costos fijos, amortizaciones, impuestos y capital de trabajo.</w:t>
      </w:r>
      <w:r/>
    </w:p>
    <w:p w14:paraId="42A3DA2E" w14:textId="77777777">
      <w:pPr>
        <w:pStyle w:val="797"/>
        <w:keepNext w:val="true"/>
        <w:pBdr/>
        <w:spacing/>
        <w:ind/>
        <w:rPr/>
      </w:pPr>
      <w:r>
        <w:t xml:space="preserve">Escalado comercial</w:t>
      </w:r>
      <w:r/>
    </w:p>
    <w:tbl>
      <w:tblPr>
        <w:tblStyle w:val="822"/>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2150"/>
        <w:gridCol w:w="1300"/>
        <w:gridCol w:w="2150"/>
        <w:gridCol w:w="1300"/>
        <w:gridCol w:w="15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300" w:type="dxa"/>
          </w:tcPr>
          <w:p w14:paraId="22F5E457" w14:textId="77777777">
            <w:pPr>
              <w:pBdr/>
              <w:spacing/>
              <w:ind/>
              <w:rPr/>
            </w:pPr>
            <w:r>
              <w:rPr>
                <w:b/>
                <w:bCs/>
                <w:color w:val="ffffff"/>
                <w:sz w:val="17"/>
                <w:szCs w:val="17"/>
              </w:rPr>
              <w:t xml:space="preserve">Año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150" w:type="dxa"/>
          </w:tcPr>
          <w:p w14:paraId="4E4597F9" w14:textId="77777777">
            <w:pPr>
              <w:pBdr/>
              <w:spacing/>
              <w:ind/>
              <w:rPr/>
            </w:pPr>
            <w:r>
              <w:rPr>
                <w:b/>
                <w:bCs/>
                <w:color w:val="ffffff"/>
                <w:sz w:val="17"/>
                <w:szCs w:val="17"/>
              </w:rPr>
              <w:t xml:space="preserve">Meta total</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300" w:type="dxa"/>
          </w:tcPr>
          <w:p w14:paraId="5EE41867" w14:textId="77777777">
            <w:pPr>
              <w:pBdr/>
              <w:spacing/>
              <w:ind/>
              <w:rPr/>
            </w:pPr>
            <w:r>
              <w:rPr>
                <w:b/>
                <w:bCs/>
                <w:color w:val="ffffff"/>
                <w:sz w:val="17"/>
                <w:szCs w:val="17"/>
              </w:rPr>
              <w:t xml:space="preserve">Tomate</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150" w:type="dxa"/>
          </w:tcPr>
          <w:p w14:paraId="6F89054D" w14:textId="77777777">
            <w:pPr>
              <w:pBdr/>
              <w:spacing/>
              <w:ind/>
              <w:rPr/>
            </w:pPr>
            <w:r>
              <w:rPr>
                <w:b/>
                <w:bCs/>
                <w:color w:val="ffffff"/>
                <w:sz w:val="17"/>
                <w:szCs w:val="17"/>
              </w:rPr>
              <w:t xml:space="preserve">Pimiento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300" w:type="dxa"/>
          </w:tcPr>
          <w:p w14:paraId="769D4BA9" w14:textId="77777777">
            <w:pPr>
              <w:pBdr/>
              <w:spacing/>
              <w:ind/>
              <w:rPr/>
            </w:pPr>
            <w:r>
              <w:rPr>
                <w:b/>
                <w:bCs/>
                <w:color w:val="ffffff"/>
                <w:sz w:val="17"/>
                <w:szCs w:val="17"/>
              </w:rPr>
              <w:t xml:space="preserve">Berenjena</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552" w:type="dxa"/>
          </w:tcPr>
          <w:p w14:paraId="0B6C99CB" w14:textId="77777777">
            <w:pPr>
              <w:pBdr/>
              <w:spacing/>
              <w:ind/>
              <w:rPr/>
            </w:pPr>
            <w:r>
              <w:rPr>
                <w:b/>
                <w:bCs/>
                <w:color w:val="ffffff"/>
                <w:sz w:val="17"/>
                <w:szCs w:val="17"/>
              </w:rPr>
              <w:t xml:space="preserve">Condición de avance</w:t>
            </w:r>
            <w:r/>
          </w:p>
        </w:tc>
      </w:tr>
      <w:tr>
        <w:trPr>
          <w:cantSplit/>
        </w:trPr>
        <w:tc>
          <w:tcPr>
            <w:tcBorders/>
            <w:tcW w:w="1300" w:type="dxa"/>
          </w:tcPr>
          <w:p w14:paraId="2DE03161" w14:textId="77777777">
            <w:pPr>
              <w:pBdr/>
              <w:spacing/>
              <w:ind/>
              <w:rPr/>
            </w:pPr>
            <w:r>
              <w:rPr>
                <w:sz w:val="17"/>
                <w:szCs w:val="17"/>
              </w:rPr>
              <w:t xml:space="preserve">1</w:t>
            </w:r>
            <w:r/>
          </w:p>
        </w:tc>
        <w:tc>
          <w:tcPr>
            <w:tcBorders/>
            <w:tcW w:w="2150" w:type="dxa"/>
          </w:tcPr>
          <w:p w14:paraId="0CD31DF3" w14:textId="77777777">
            <w:pPr>
              <w:pBdr/>
              <w:spacing/>
              <w:ind/>
              <w:rPr/>
            </w:pPr>
            <w:r>
              <w:rPr>
                <w:sz w:val="17"/>
                <w:szCs w:val="17"/>
              </w:rPr>
              <w:t xml:space="preserve">20.000</w:t>
            </w:r>
            <w:r/>
          </w:p>
        </w:tc>
        <w:tc>
          <w:tcPr>
            <w:tcBorders/>
            <w:tcW w:w="1300" w:type="dxa"/>
          </w:tcPr>
          <w:p w14:paraId="1A30A03D" w14:textId="77777777">
            <w:pPr>
              <w:pBdr/>
              <w:spacing/>
              <w:ind/>
              <w:rPr/>
            </w:pPr>
            <w:r>
              <w:rPr>
                <w:sz w:val="17"/>
                <w:szCs w:val="17"/>
              </w:rPr>
              <w:t xml:space="preserve">Producto tractor</w:t>
            </w:r>
            <w:r/>
          </w:p>
        </w:tc>
        <w:tc>
          <w:tcPr>
            <w:tcBorders/>
            <w:tcW w:w="2150" w:type="dxa"/>
          </w:tcPr>
          <w:p w14:paraId="567FF709" w14:textId="77777777">
            <w:pPr>
              <w:pBdr/>
              <w:spacing/>
              <w:ind/>
              <w:rPr/>
            </w:pPr>
            <w:r>
              <w:rPr>
                <w:sz w:val="17"/>
                <w:szCs w:val="17"/>
              </w:rPr>
              <w:t xml:space="preserve">Lotes piloto</w:t>
            </w:r>
            <w:r/>
          </w:p>
        </w:tc>
        <w:tc>
          <w:tcPr>
            <w:tcBorders/>
            <w:tcW w:w="1300" w:type="dxa"/>
          </w:tcPr>
          <w:p w14:paraId="0634FAED" w14:textId="77777777">
            <w:pPr>
              <w:pBdr/>
              <w:spacing/>
              <w:ind/>
              <w:rPr/>
            </w:pPr>
            <w:r>
              <w:rPr>
                <w:sz w:val="17"/>
                <w:szCs w:val="17"/>
              </w:rPr>
              <w:t xml:space="preserve">Contra pedido</w:t>
            </w:r>
            <w:r/>
          </w:p>
        </w:tc>
        <w:tc>
          <w:tcPr>
            <w:tcBorders/>
            <w:tcW w:w="1552" w:type="dxa"/>
          </w:tcPr>
          <w:p w14:paraId="398B03BB" w14:textId="77777777">
            <w:pPr>
              <w:pBdr/>
              <w:spacing/>
              <w:ind/>
              <w:rPr/>
            </w:pPr>
            <w:r>
              <w:rPr>
                <w:sz w:val="17"/>
                <w:szCs w:val="17"/>
              </w:rPr>
              <w:t xml:space="preserve">≥ 60 % reservado y proceso estable.</w:t>
            </w:r>
            <w:r/>
          </w:p>
        </w:tc>
      </w:tr>
      <w:tr>
        <w:trPr>
          <w:cantSplit/>
        </w:trPr>
        <w:tc>
          <w:tcPr>
            <w:tcBorders/>
            <w:tcW w:w="1300" w:type="dxa"/>
          </w:tcPr>
          <w:p w14:paraId="144954D3" w14:textId="77777777">
            <w:pPr>
              <w:pBdr/>
              <w:spacing/>
              <w:ind/>
              <w:rPr/>
            </w:pPr>
            <w:r>
              <w:rPr>
                <w:sz w:val="17"/>
                <w:szCs w:val="17"/>
              </w:rPr>
              <w:t xml:space="preserve">2</w:t>
            </w:r>
            <w:r/>
          </w:p>
        </w:tc>
        <w:tc>
          <w:tcPr>
            <w:tcBorders/>
            <w:tcW w:w="2150" w:type="dxa"/>
          </w:tcPr>
          <w:p w14:paraId="5C47D3A7" w14:textId="77777777">
            <w:pPr>
              <w:pBdr/>
              <w:spacing/>
              <w:ind/>
              <w:rPr/>
            </w:pPr>
            <w:r>
              <w:rPr>
                <w:sz w:val="17"/>
                <w:szCs w:val="17"/>
              </w:rPr>
              <w:t xml:space="preserve">40.000</w:t>
            </w:r>
            <w:r/>
          </w:p>
        </w:tc>
        <w:tc>
          <w:tcPr>
            <w:tcBorders/>
            <w:tcW w:w="1300" w:type="dxa"/>
          </w:tcPr>
          <w:p w14:paraId="4A8FA5ED" w14:textId="77777777">
            <w:pPr>
              <w:pBdr/>
              <w:spacing/>
              <w:ind/>
              <w:rPr/>
            </w:pPr>
            <w:r>
              <w:rPr>
                <w:sz w:val="17"/>
                <w:szCs w:val="17"/>
              </w:rPr>
              <w:t xml:space="preserve">Volumen principal</w:t>
            </w:r>
            <w:r/>
          </w:p>
        </w:tc>
        <w:tc>
          <w:tcPr>
            <w:tcBorders/>
            <w:tcW w:w="2150" w:type="dxa"/>
          </w:tcPr>
          <w:p w14:paraId="03DD6365" w14:textId="77777777">
            <w:pPr>
              <w:pBdr/>
              <w:spacing/>
              <w:ind/>
              <w:rPr/>
            </w:pPr>
            <w:r>
              <w:rPr>
                <w:sz w:val="17"/>
                <w:szCs w:val="17"/>
              </w:rPr>
              <w:t xml:space="preserve">Ampliar según supervivencia</w:t>
            </w:r>
            <w:r/>
          </w:p>
        </w:tc>
        <w:tc>
          <w:tcPr>
            <w:tcBorders/>
            <w:tcW w:w="1300" w:type="dxa"/>
          </w:tcPr>
          <w:p w14:paraId="5F3ADB8D" w14:textId="77777777">
            <w:pPr>
              <w:pBdr/>
              <w:spacing/>
              <w:ind/>
              <w:rPr/>
            </w:pPr>
            <w:r>
              <w:rPr>
                <w:sz w:val="17"/>
                <w:szCs w:val="17"/>
              </w:rPr>
              <w:t xml:space="preserve">Según recompra</w:t>
            </w:r>
            <w:r/>
          </w:p>
        </w:tc>
        <w:tc>
          <w:tcPr>
            <w:tcBorders/>
            <w:tcW w:w="1552" w:type="dxa"/>
          </w:tcPr>
          <w:p w14:paraId="7005A376" w14:textId="77777777">
            <w:pPr>
              <w:pBdr/>
              <w:spacing/>
              <w:ind/>
              <w:rPr/>
            </w:pPr>
            <w:r>
              <w:rPr>
                <w:sz w:val="17"/>
                <w:szCs w:val="17"/>
              </w:rPr>
              <w:t xml:space="preserve">Costo real y capacidad confirmada.</w:t>
            </w:r>
            <w:r/>
          </w:p>
        </w:tc>
      </w:tr>
      <w:tr>
        <w:trPr>
          <w:cantSplit/>
        </w:trPr>
        <w:tc>
          <w:tcPr>
            <w:tcBorders/>
            <w:tcW w:w="1300" w:type="dxa"/>
          </w:tcPr>
          <w:p w14:paraId="3A49FC72" w14:textId="77777777">
            <w:pPr>
              <w:pBdr/>
              <w:spacing/>
              <w:ind/>
              <w:rPr/>
            </w:pPr>
            <w:r>
              <w:rPr>
                <w:sz w:val="17"/>
                <w:szCs w:val="17"/>
              </w:rPr>
              <w:t xml:space="preserve">3</w:t>
            </w:r>
            <w:r/>
          </w:p>
        </w:tc>
        <w:tc>
          <w:tcPr>
            <w:tcBorders/>
            <w:tcW w:w="2150" w:type="dxa"/>
          </w:tcPr>
          <w:p w14:paraId="43668285" w14:textId="77777777">
            <w:pPr>
              <w:pBdr/>
              <w:spacing/>
              <w:ind/>
              <w:rPr/>
            </w:pPr>
            <w:r>
              <w:rPr>
                <w:sz w:val="17"/>
                <w:szCs w:val="17"/>
              </w:rPr>
              <w:t xml:space="preserve">60.000</w:t>
            </w:r>
            <w:r/>
          </w:p>
        </w:tc>
        <w:tc>
          <w:tcPr>
            <w:tcBorders/>
            <w:tcW w:w="1300" w:type="dxa"/>
          </w:tcPr>
          <w:p w14:paraId="4EAA11BD" w14:textId="77777777">
            <w:pPr>
              <w:pBdr/>
              <w:spacing/>
              <w:ind/>
              <w:rPr/>
            </w:pPr>
            <w:r>
              <w:rPr>
                <w:sz w:val="17"/>
                <w:szCs w:val="17"/>
              </w:rPr>
              <w:t xml:space="preserve">Escala consolidada</w:t>
            </w:r>
            <w:r/>
          </w:p>
        </w:tc>
        <w:tc>
          <w:tcPr>
            <w:tcBorders/>
            <w:tcW w:w="2150" w:type="dxa"/>
          </w:tcPr>
          <w:p w14:paraId="6D776F4D" w14:textId="77777777">
            <w:pPr>
              <w:pBdr/>
              <w:spacing/>
              <w:ind/>
              <w:rPr/>
            </w:pPr>
            <w:r>
              <w:rPr>
                <w:sz w:val="17"/>
                <w:szCs w:val="17"/>
              </w:rPr>
              <w:t xml:space="preserve">Mix</w:t>
            </w:r>
            <w:r>
              <w:rPr>
                <w:sz w:val="17"/>
                <w:szCs w:val="17"/>
              </w:rPr>
              <w:t xml:space="preserve"> validado</w:t>
            </w:r>
            <w:r/>
          </w:p>
        </w:tc>
        <w:tc>
          <w:tcPr>
            <w:tcBorders/>
            <w:tcW w:w="1300" w:type="dxa"/>
          </w:tcPr>
          <w:p w14:paraId="19F5CF8A" w14:textId="77777777">
            <w:pPr>
              <w:pBdr/>
              <w:spacing/>
              <w:ind/>
              <w:rPr/>
            </w:pPr>
            <w:r>
              <w:rPr>
                <w:sz w:val="17"/>
                <w:szCs w:val="17"/>
              </w:rPr>
              <w:t xml:space="preserve">Mix</w:t>
            </w:r>
            <w:r>
              <w:rPr>
                <w:sz w:val="17"/>
                <w:szCs w:val="17"/>
              </w:rPr>
              <w:t xml:space="preserve"> validado</w:t>
            </w:r>
            <w:r/>
          </w:p>
        </w:tc>
        <w:tc>
          <w:tcPr>
            <w:tcBorders/>
            <w:tcW w:w="1552" w:type="dxa"/>
          </w:tcPr>
          <w:p w14:paraId="0627B0A3" w14:textId="77777777">
            <w:pPr>
              <w:pBdr/>
              <w:spacing/>
              <w:ind/>
              <w:rPr/>
            </w:pPr>
            <w:r>
              <w:rPr>
                <w:sz w:val="17"/>
                <w:szCs w:val="17"/>
              </w:rPr>
              <w:t xml:space="preserve">Demanda repetida y margen sostenido.</w:t>
            </w:r>
            <w:r/>
          </w:p>
        </w:tc>
      </w:tr>
    </w:tbl>
    <w:p w14:paraId="6AE21A77" w14:textId="77777777">
      <w:pPr>
        <w:pBdr/>
        <w:spacing w:after="120" w:line="252" w:lineRule="auto"/>
        <w:ind/>
        <w:rPr/>
      </w:pPr>
      <w:r>
        <w:t xml:space="preserve">Año 1: hasta 20.000 plantines, predomin</w:t>
      </w:r>
      <w:r>
        <w:t xml:space="preserve">antemente tomate; pimiento en lotes limitados después de validar supervivencia y berenjena contra pedido. Año 2: hasta 40.000. Año 3: hasta 60.000. Cada ampliación se habilita únicamente con reservas, recompra, costo real controlado y capacidad disponible.</w:t>
      </w:r>
      <w:r/>
    </w:p>
    <w:p w14:paraId="7F1E2E7A" w14:textId="77777777">
      <w:pPr>
        <w:keepNext w:val="true"/>
        <w:pBdr/>
        <w:spacing w:after="120" w:line="276" w:lineRule="auto"/>
        <w:ind/>
        <w:jc w:val="both"/>
        <w:rPr/>
      </w:pPr>
      <w:r>
        <w:t xml:space="preserve">Con los precios propuestos, 20.000 plantines generarían como referencia al menos $ 40 millones brutos si todo el </w:t>
      </w:r>
      <w:r>
        <w:t xml:space="preserve">mix</w:t>
      </w:r>
      <w:r>
        <w:t xml:space="preserve"> fuera tomate a $ 2.000. No es una proyección de ventas: el valor real dependerá del </w:t>
      </w:r>
      <w:r>
        <w:t xml:space="preserve">mix</w:t>
      </w:r>
      <w:r>
        <w:t xml:space="preserve"> de especies, descuentos, volumen efectivamente reservado y costos vigentes.</w:t>
      </w:r>
      <w:r/>
    </w:p>
    <w:tbl>
      <w:tblPr>
        <w:tblStyle w:val="823"/>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400"/>
        <w:gridCol w:w="2500"/>
        <w:gridCol w:w="2500"/>
        <w:gridCol w:w="23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400" w:type="dxa"/>
          </w:tcPr>
          <w:p w14:paraId="43EA0A36" w14:textId="77777777">
            <w:pPr>
              <w:pBdr/>
              <w:spacing/>
              <w:ind/>
              <w:rPr/>
            </w:pPr>
            <w:r>
              <w:rPr>
                <w:b/>
                <w:bCs/>
                <w:color w:val="ffffff"/>
                <w:sz w:val="17"/>
                <w:szCs w:val="17"/>
              </w:rPr>
              <w:t xml:space="preserve">Dato crítico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500" w:type="dxa"/>
          </w:tcPr>
          <w:p w14:paraId="04969841" w14:textId="77777777">
            <w:pPr>
              <w:pBdr/>
              <w:spacing/>
              <w:ind/>
              <w:rPr/>
            </w:pPr>
            <w:r>
              <w:rPr>
                <w:b/>
                <w:bCs/>
                <w:color w:val="ffffff"/>
                <w:sz w:val="17"/>
                <w:szCs w:val="17"/>
              </w:rPr>
              <w:t xml:space="preserve">Estado actual</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500" w:type="dxa"/>
          </w:tcPr>
          <w:p w14:paraId="205BB8E7" w14:textId="77777777">
            <w:pPr>
              <w:pBdr/>
              <w:spacing/>
              <w:ind/>
              <w:rPr/>
            </w:pPr>
            <w:r>
              <w:rPr>
                <w:b/>
                <w:bCs/>
                <w:color w:val="ffffff"/>
                <w:sz w:val="17"/>
                <w:szCs w:val="17"/>
              </w:rPr>
              <w:t xml:space="preserve">Regla antes de invertir / escalar</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352" w:type="dxa"/>
          </w:tcPr>
          <w:p w14:paraId="79D12DBD" w14:textId="77777777">
            <w:pPr>
              <w:pBdr/>
              <w:spacing/>
              <w:ind/>
              <w:rPr/>
            </w:pPr>
            <w:r>
              <w:rPr>
                <w:b/>
                <w:bCs/>
                <w:color w:val="ffffff"/>
                <w:sz w:val="17"/>
                <w:szCs w:val="17"/>
              </w:rPr>
              <w:t xml:space="preserve">Acción</w:t>
            </w:r>
            <w:r/>
          </w:p>
        </w:tc>
      </w:tr>
      <w:tr>
        <w:trPr>
          <w:cantSplit/>
        </w:trPr>
        <w:tc>
          <w:tcPr>
            <w:tcBorders/>
            <w:tcW w:w="2400" w:type="dxa"/>
          </w:tcPr>
          <w:p w14:paraId="3DEC9BD5" w14:textId="77777777">
            <w:pPr>
              <w:pBdr/>
              <w:spacing/>
              <w:ind/>
              <w:rPr/>
            </w:pPr>
            <w:r>
              <w:rPr>
                <w:sz w:val="17"/>
                <w:szCs w:val="17"/>
              </w:rPr>
              <w:t xml:space="preserve">Precio B2B de injertados</w:t>
            </w:r>
            <w:r/>
          </w:p>
        </w:tc>
        <w:tc>
          <w:tcPr>
            <w:tcBorders/>
            <w:tcW w:w="2500" w:type="dxa"/>
          </w:tcPr>
          <w:p w14:paraId="39231E56" w14:textId="77777777">
            <w:pPr>
              <w:pBdr/>
              <w:spacing/>
              <w:ind/>
              <w:rPr/>
            </w:pPr>
            <w:r>
              <w:rPr>
                <w:sz w:val="17"/>
                <w:szCs w:val="17"/>
              </w:rPr>
              <w:t xml:space="preserve">No público / sin cotización local equivalente</w:t>
            </w:r>
            <w:r/>
          </w:p>
        </w:tc>
        <w:tc>
          <w:tcPr>
            <w:tcBorders/>
            <w:tcW w:w="2500" w:type="dxa"/>
          </w:tcPr>
          <w:p w14:paraId="134F888F" w14:textId="77777777">
            <w:pPr>
              <w:pBdr/>
              <w:spacing/>
              <w:ind/>
              <w:rPr/>
            </w:pPr>
            <w:r>
              <w:rPr>
                <w:sz w:val="17"/>
                <w:szCs w:val="17"/>
              </w:rPr>
              <w:t xml:space="preserve">No fijar precio definitivo sin contraste.</w:t>
            </w:r>
            <w:r/>
          </w:p>
        </w:tc>
        <w:tc>
          <w:tcPr>
            <w:tcBorders/>
            <w:tcW w:w="2352" w:type="dxa"/>
          </w:tcPr>
          <w:p w14:paraId="6D369C14" w14:textId="77777777">
            <w:pPr>
              <w:pBdr/>
              <w:spacing/>
              <w:ind/>
              <w:rPr/>
            </w:pPr>
            <w:r>
              <w:rPr>
                <w:sz w:val="17"/>
                <w:szCs w:val="17"/>
              </w:rPr>
              <w:t xml:space="preserve">Obtener ≥ 3 cotizaciones puestas en Allen.</w:t>
            </w:r>
            <w:r/>
          </w:p>
        </w:tc>
      </w:tr>
      <w:tr>
        <w:trPr>
          <w:cantSplit/>
        </w:trPr>
        <w:tc>
          <w:tcPr>
            <w:tcBorders/>
            <w:tcW w:w="2400" w:type="dxa"/>
          </w:tcPr>
          <w:p w14:paraId="44EBEB4E" w14:textId="77777777">
            <w:pPr>
              <w:pBdr/>
              <w:spacing/>
              <w:ind/>
              <w:rPr/>
            </w:pPr>
            <w:r>
              <w:rPr>
                <w:sz w:val="17"/>
                <w:szCs w:val="17"/>
              </w:rPr>
              <w:t xml:space="preserve">Adopción regional</w:t>
            </w:r>
            <w:r/>
          </w:p>
        </w:tc>
        <w:tc>
          <w:tcPr>
            <w:tcBorders/>
            <w:tcW w:w="2500" w:type="dxa"/>
          </w:tcPr>
          <w:p w14:paraId="29AEF517" w14:textId="77777777">
            <w:pPr>
              <w:pBdr/>
              <w:spacing/>
              <w:ind/>
              <w:rPr/>
            </w:pPr>
            <w:r>
              <w:rPr>
                <w:sz w:val="17"/>
                <w:szCs w:val="17"/>
              </w:rPr>
              <w:t xml:space="preserve">Sin estadística pública</w:t>
            </w:r>
            <w:r/>
          </w:p>
        </w:tc>
        <w:tc>
          <w:tcPr>
            <w:tcBorders/>
            <w:tcW w:w="2500" w:type="dxa"/>
          </w:tcPr>
          <w:p w14:paraId="37FD4075" w14:textId="77777777">
            <w:pPr>
              <w:pBdr/>
              <w:spacing/>
              <w:ind/>
              <w:rPr/>
            </w:pPr>
            <w:r>
              <w:rPr>
                <w:sz w:val="17"/>
                <w:szCs w:val="17"/>
              </w:rPr>
              <w:t xml:space="preserve">No usar 20 % como hecho.</w:t>
            </w:r>
            <w:r/>
          </w:p>
        </w:tc>
        <w:tc>
          <w:tcPr>
            <w:tcBorders/>
            <w:tcW w:w="2352" w:type="dxa"/>
          </w:tcPr>
          <w:p w14:paraId="099E9ED3" w14:textId="77777777">
            <w:pPr>
              <w:pBdr/>
              <w:spacing/>
              <w:ind/>
              <w:rPr/>
            </w:pPr>
            <w:r>
              <w:rPr>
                <w:sz w:val="17"/>
                <w:szCs w:val="17"/>
              </w:rPr>
              <w:t xml:space="preserve">Validar con preventa y cartera VFW.</w:t>
            </w:r>
            <w:r/>
          </w:p>
        </w:tc>
      </w:tr>
      <w:tr>
        <w:trPr>
          <w:cantSplit/>
        </w:trPr>
        <w:tc>
          <w:tcPr>
            <w:tcBorders/>
            <w:tcW w:w="2400" w:type="dxa"/>
          </w:tcPr>
          <w:p w14:paraId="19F78B1C" w14:textId="77777777">
            <w:pPr>
              <w:pBdr/>
              <w:spacing/>
              <w:ind/>
              <w:rPr/>
            </w:pPr>
            <w:r>
              <w:rPr>
                <w:sz w:val="17"/>
                <w:szCs w:val="17"/>
              </w:rPr>
              <w:t xml:space="preserve">Costo por planta vendible</w:t>
            </w:r>
            <w:r/>
          </w:p>
        </w:tc>
        <w:tc>
          <w:tcPr>
            <w:tcBorders/>
            <w:tcW w:w="2500" w:type="dxa"/>
          </w:tcPr>
          <w:p w14:paraId="48A06DCA" w14:textId="77777777">
            <w:pPr>
              <w:pBdr/>
              <w:spacing/>
              <w:ind/>
              <w:rPr/>
            </w:pPr>
            <w:r>
              <w:rPr>
                <w:sz w:val="17"/>
                <w:szCs w:val="17"/>
              </w:rPr>
              <w:t xml:space="preserve">Preliminar</w:t>
            </w:r>
            <w:r/>
          </w:p>
        </w:tc>
        <w:tc>
          <w:tcPr>
            <w:tcBorders/>
            <w:tcW w:w="2500" w:type="dxa"/>
          </w:tcPr>
          <w:p w14:paraId="4DA0B633" w14:textId="77777777">
            <w:pPr>
              <w:pBdr/>
              <w:spacing/>
              <w:ind/>
              <w:rPr/>
            </w:pPr>
            <w:r>
              <w:rPr>
                <w:sz w:val="17"/>
                <w:szCs w:val="17"/>
              </w:rPr>
              <w:t xml:space="preserve">Debe incluir descarte y estructura incremental.</w:t>
            </w:r>
            <w:r/>
          </w:p>
        </w:tc>
        <w:tc>
          <w:tcPr>
            <w:tcBorders/>
            <w:tcW w:w="2352" w:type="dxa"/>
          </w:tcPr>
          <w:p w14:paraId="297A97DF" w14:textId="77777777">
            <w:pPr>
              <w:pBdr/>
              <w:spacing/>
              <w:ind/>
              <w:rPr/>
            </w:pPr>
            <w:r>
              <w:rPr>
                <w:sz w:val="17"/>
                <w:szCs w:val="17"/>
              </w:rPr>
              <w:t xml:space="preserve">Lotes piloto por especie.</w:t>
            </w:r>
            <w:r/>
          </w:p>
        </w:tc>
      </w:tr>
      <w:tr>
        <w:trPr>
          <w:cantSplit/>
        </w:trPr>
        <w:tc>
          <w:tcPr>
            <w:tcBorders/>
            <w:tcW w:w="2400" w:type="dxa"/>
          </w:tcPr>
          <w:p w14:paraId="142BE73E" w14:textId="77777777">
            <w:pPr>
              <w:pBdr/>
              <w:spacing/>
              <w:ind/>
              <w:rPr/>
            </w:pPr>
            <w:r>
              <w:rPr>
                <w:sz w:val="17"/>
                <w:szCs w:val="17"/>
              </w:rPr>
              <w:t xml:space="preserve">Capacidad ociosa VFW</w:t>
            </w:r>
            <w:r/>
          </w:p>
        </w:tc>
        <w:tc>
          <w:tcPr>
            <w:tcBorders/>
            <w:tcW w:w="2500" w:type="dxa"/>
          </w:tcPr>
          <w:p w14:paraId="7352ED44" w14:textId="77777777">
            <w:pPr>
              <w:pBdr/>
              <w:spacing/>
              <w:ind/>
              <w:rPr/>
            </w:pPr>
            <w:r>
              <w:rPr>
                <w:sz w:val="17"/>
                <w:szCs w:val="17"/>
              </w:rPr>
              <w:t xml:space="preserve">No auditada</w:t>
            </w:r>
            <w:r/>
          </w:p>
        </w:tc>
        <w:tc>
          <w:tcPr>
            <w:tcBorders/>
            <w:tcW w:w="2500" w:type="dxa"/>
          </w:tcPr>
          <w:p w14:paraId="4F654F4D" w14:textId="77777777">
            <w:pPr>
              <w:pBdr/>
              <w:spacing/>
              <w:ind/>
              <w:rPr/>
            </w:pPr>
            <w:r>
              <w:rPr>
                <w:sz w:val="17"/>
                <w:szCs w:val="17"/>
              </w:rPr>
              <w:t xml:space="preserve">No asumir las 3 ha como disponibles.</w:t>
            </w:r>
            <w:r/>
          </w:p>
        </w:tc>
        <w:tc>
          <w:tcPr>
            <w:tcBorders/>
            <w:tcW w:w="2352" w:type="dxa"/>
          </w:tcPr>
          <w:p w14:paraId="7CA011B7" w14:textId="77777777">
            <w:pPr>
              <w:pBdr/>
              <w:spacing/>
              <w:ind/>
              <w:rPr/>
            </w:pPr>
            <w:r>
              <w:rPr>
                <w:sz w:val="17"/>
                <w:szCs w:val="17"/>
              </w:rPr>
              <w:t xml:space="preserve">Auditoría por temporada.</w:t>
            </w:r>
            <w:r/>
          </w:p>
        </w:tc>
      </w:tr>
    </w:tbl>
    <w:p w14:paraId="2AD9E5C6" w14:textId="77777777">
      <w:pPr>
        <w:pBdr/>
        <w:spacing w:after="60"/>
        <w:ind/>
        <w:rPr/>
      </w:pPr>
      <w:r>
        <w:t xml:space="preserve">La Fase 2 no se cuenta como i</w:t>
      </w:r>
      <w:r>
        <w:t xml:space="preserve">ngreso recurrente hasta validar eficacia y costo. Los primeros tratamientos pueden realizarse como piloto pago o cofinanciado; sólo después de resultados repetibles se incorpora el diagnóstico, tratamiento por m² y seguimiento como línea comercial estable.</w:t>
      </w:r>
      <w:r/>
    </w:p>
    <w:p w14:paraId="04509F9F" w14:textId="77777777">
      <w:pPr>
        <w:pBdr/>
        <w:spacing w:after="120" w:line="276" w:lineRule="auto"/>
        <w:ind/>
        <w:jc w:val="both"/>
        <w:rPr/>
      </w:pPr>
      <w:r>
        <w:t xml:space="preserve">Antes del </w:t>
      </w:r>
      <w:r>
        <w:t xml:space="preserve">lanzamiento deben obtenerse al menos tres cotizaciones comparables de injertados puestos en Allen y medirse el costo real por planta vendible en VFW. Esas dos referencias reemplazarán los precios de lanzamiento en el modelo económico-financiero definitivo.</w:t>
      </w:r>
      <w:r/>
    </w:p>
    <w:p w14:paraId="24083D34" w14:textId="77777777">
      <w:pPr>
        <w:pBdr/>
        <w:spacing w:after="120" w:line="276" w:lineRule="auto"/>
        <w:ind/>
        <w:jc w:val="both"/>
        <w:rPr/>
      </w:pPr>
      <w:r/>
      <w:r/>
    </w:p>
    <w:p w14:paraId="6B20AE55" w14:textId="77777777">
      <w:pPr>
        <w:pStyle w:val="796"/>
        <w:keepNext w:val="true"/>
        <w:pBdr/>
        <w:spacing/>
        <w:ind/>
        <w:rPr/>
      </w:pPr>
      <w:r>
        <w:t xml:space="preserve">8. Competencia en plantines y ventaja difícil de copiar</w:t>
      </w:r>
      <w:r/>
    </w:p>
    <w:p w14:paraId="5FCCE6CB" w14:textId="77777777">
      <w:pPr>
        <w:pBdr/>
        <w:spacing w:after="120" w:line="276" w:lineRule="auto"/>
        <w:ind/>
        <w:jc w:val="both"/>
        <w:rPr/>
      </w:pPr>
      <w:r>
        <w:t xml:space="preserve">En plantines injertados —la Fase 1— la competencia ya existe: </w:t>
      </w:r>
      <w:r>
        <w:t xml:space="preserve">Tecnoflor</w:t>
      </w:r>
      <w:r>
        <w:t xml:space="preserve"> es el referente técnico nacional, aunque su cobertura publicada no incluye Patagonia Norte [S6]; </w:t>
      </w:r>
      <w:r>
        <w:t xml:space="preserve">Proplanta</w:t>
      </w:r>
      <w:r>
        <w:t xml:space="preserve"> declara distribución nacional [S7][S8]; y Brest &amp; Brest despacha injertados desde Mendoza hacia Neuquén y Río Negro [S9]. No se identificó oferta regional que combine el plantín con el diagnóstico y el tratamiento del suelo.</w:t>
      </w:r>
      <w:r/>
    </w:p>
    <w:p w14:paraId="52BED396" w14:textId="77777777">
      <w:pPr>
        <w:pBdr/>
        <w:spacing w:after="120" w:line="276" w:lineRule="auto"/>
        <w:ind/>
        <w:jc w:val="both"/>
        <w:rPr/>
      </w:pPr>
      <w:r>
        <w:t xml:space="preserve">La ventaja de VFW, entonces, no está en el plantín sino en el conocimiento que se acumula en la Fase 2:</w:t>
      </w:r>
      <w:r/>
    </w:p>
    <w:tbl>
      <w:tblPr>
        <w:tblStyle w:val="824"/>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876"/>
        <w:gridCol w:w="4876"/>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876" w:type="dxa"/>
          </w:tcPr>
          <w:p w14:paraId="7DC7F329" w14:textId="77777777">
            <w:pPr>
              <w:pBdr/>
              <w:spacing w:line="252" w:lineRule="auto"/>
              <w:ind/>
              <w:rPr/>
            </w:pPr>
            <w:r>
              <w:rPr>
                <w:b/>
                <w:bCs/>
                <w:color w:val="ffffff"/>
                <w:sz w:val="18"/>
                <w:szCs w:val="18"/>
              </w:rPr>
              <w:t xml:space="preserve">Elemento replicable</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876" w:type="dxa"/>
          </w:tcPr>
          <w:p w14:paraId="7AC86BA5" w14:textId="77777777">
            <w:pPr>
              <w:pBdr/>
              <w:spacing w:line="252" w:lineRule="auto"/>
              <w:ind/>
              <w:rPr/>
            </w:pPr>
            <w:r>
              <w:rPr>
                <w:b/>
                <w:bCs/>
                <w:color w:val="ffffff"/>
                <w:sz w:val="18"/>
                <w:szCs w:val="18"/>
              </w:rPr>
              <w:t xml:space="preserve">Elemento defendible</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876" w:type="dxa"/>
          </w:tcPr>
          <w:p w14:paraId="4303461B" w14:textId="77777777">
            <w:pPr>
              <w:pBdr/>
              <w:spacing w:line="252" w:lineRule="auto"/>
              <w:ind/>
              <w:rPr/>
            </w:pPr>
            <w:r>
              <w:rPr>
                <w:sz w:val="18"/>
                <w:szCs w:val="18"/>
              </w:rPr>
              <w:t xml:space="preserve">Comprar la misma genética</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876" w:type="dxa"/>
          </w:tcPr>
          <w:p w14:paraId="6FA548B5" w14:textId="77777777">
            <w:pPr>
              <w:pBdr/>
              <w:spacing w:line="252" w:lineRule="auto"/>
              <w:ind/>
              <w:rPr/>
            </w:pPr>
            <w:r>
              <w:rPr>
                <w:sz w:val="18"/>
                <w:szCs w:val="18"/>
              </w:rPr>
              <w:t xml:space="preserve">Combinaciones pie–</w:t>
            </w:r>
            <w:r>
              <w:rPr>
                <w:sz w:val="18"/>
                <w:szCs w:val="18"/>
              </w:rPr>
              <w:t xml:space="preserve">copa validadas</w:t>
            </w:r>
            <w:r>
              <w:rPr>
                <w:sz w:val="18"/>
                <w:szCs w:val="18"/>
              </w:rPr>
              <w:t xml:space="preserve"> en suelos regionales.</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876" w:type="dxa"/>
          </w:tcPr>
          <w:p w14:paraId="5016642C" w14:textId="77777777">
            <w:pPr>
              <w:pBdr/>
              <w:spacing w:line="252" w:lineRule="auto"/>
              <w:ind/>
              <w:rPr/>
            </w:pPr>
            <w:r>
              <w:rPr>
                <w:sz w:val="18"/>
                <w:szCs w:val="18"/>
              </w:rPr>
              <w:t xml:space="preserve">Construir una cámara de cicatrización</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876" w:type="dxa"/>
          </w:tcPr>
          <w:p w14:paraId="060DD03E" w14:textId="77777777">
            <w:pPr>
              <w:pBdr/>
              <w:spacing w:line="252" w:lineRule="auto"/>
              <w:ind/>
              <w:rPr/>
            </w:pPr>
            <w:r>
              <w:rPr>
                <w:sz w:val="18"/>
                <w:szCs w:val="18"/>
              </w:rPr>
              <w:t xml:space="preserve">Dominio de prendimiento, mermas y protocolos de calidad.</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876" w:type="dxa"/>
          </w:tcPr>
          <w:p w14:paraId="595A2558" w14:textId="77777777">
            <w:pPr>
              <w:pBdr/>
              <w:spacing w:line="252" w:lineRule="auto"/>
              <w:ind/>
              <w:rPr/>
            </w:pPr>
            <w:r>
              <w:rPr>
                <w:sz w:val="18"/>
                <w:szCs w:val="18"/>
              </w:rPr>
              <w:t xml:space="preserve">Enviar plantines desde otra provincia</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876" w:type="dxa"/>
          </w:tcPr>
          <w:p w14:paraId="72577CE7" w14:textId="77777777">
            <w:pPr>
              <w:pBdr/>
              <w:spacing w:line="252" w:lineRule="auto"/>
              <w:ind/>
              <w:rPr/>
            </w:pPr>
            <w:r>
              <w:rPr>
                <w:sz w:val="18"/>
                <w:szCs w:val="18"/>
              </w:rPr>
              <w:t xml:space="preserve">Diagnóstico, tratamiento y seguimiento en el invernadero del productor.</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876" w:type="dxa"/>
          </w:tcPr>
          <w:p w14:paraId="6D53617D" w14:textId="77777777">
            <w:pPr>
              <w:pBdr/>
              <w:spacing w:line="252" w:lineRule="auto"/>
              <w:ind/>
              <w:rPr/>
            </w:pPr>
            <w:r>
              <w:rPr>
                <w:sz w:val="18"/>
                <w:szCs w:val="18"/>
              </w:rPr>
              <w:t xml:space="preserve">Usar un residuo orgánico</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876" w:type="dxa"/>
          </w:tcPr>
          <w:p w14:paraId="32CFDF10" w14:textId="77777777">
            <w:pPr>
              <w:pBdr/>
              <w:spacing w:line="252" w:lineRule="auto"/>
              <w:ind/>
              <w:rPr/>
            </w:pPr>
            <w:r>
              <w:rPr>
                <w:sz w:val="18"/>
                <w:szCs w:val="18"/>
              </w:rPr>
              <w:t xml:space="preserve">Saber qué mezcla, proporción, dosis y duración funciona para cada tipo de suelo, con abastecimiento asegurado.</w:t>
            </w:r>
            <w:r/>
          </w:p>
        </w:tc>
      </w:tr>
    </w:tbl>
    <w:p w14:paraId="70085C2A" w14:textId="77777777">
      <w:pPr>
        <w:pStyle w:val="796"/>
        <w:keepNext w:val="true"/>
        <w:pBdr/>
        <w:spacing/>
        <w:ind/>
        <w:rPr/>
      </w:pPr>
      <w:r>
        <w:t xml:space="preserve">9. Fase 2 en detalle: </w:t>
      </w:r>
      <w:r>
        <w:t xml:space="preserve">biosolarización</w:t>
      </w:r>
      <w:r>
        <w:t xml:space="preserve"> con orujo de manzana y uva</w:t>
      </w:r>
      <w:r/>
    </w:p>
    <w:p w14:paraId="0BC4BD75" w14:textId="77777777">
      <w:pPr>
        <w:pStyle w:val="797"/>
        <w:keepNext w:val="true"/>
        <w:pBdr/>
        <w:spacing/>
        <w:ind/>
        <w:rPr/>
      </w:pPr>
      <w:r>
        <w:t xml:space="preserve">Antecedente experimental</w:t>
      </w:r>
      <w:r/>
    </w:p>
    <w:p w14:paraId="15A4F145" w14:textId="77777777">
      <w:pPr>
        <w:pBdr/>
        <w:spacing w:after="120" w:line="276" w:lineRule="auto"/>
        <w:ind/>
        <w:jc w:val="both"/>
        <w:rPr/>
      </w:pPr>
      <w:r>
        <w:t xml:space="preserve">La Universidad de Maryland ensayó </w:t>
      </w:r>
      <w:r>
        <w:t xml:space="preserve">biosolarización</w:t>
      </w:r>
      <w:r>
        <w:t xml:space="preserve"> en berenjena con una </w:t>
      </w:r>
      <w:r>
        <w:rPr>
          <w:b/>
          <w:bCs/>
        </w:rPr>
        <w:t xml:space="preserve">mezcla de orujo de manzana y uva en proporción 3:1</w:t>
      </w:r>
      <w:r>
        <w:t xml:space="preserve">, incorporada al suelo y cubierta con plástico transparente du</w:t>
      </w:r>
      <w:r>
        <w:t xml:space="preserve">rante 12 días, con 7 días de espera antes del trasplante. El ensayo muestreó nematodos antes del tratamiento, al trasplante y en cosecha, y planteó que distintas fuentes de orujo, dosis y tiempos de tratamiento requieren mayor investigación [S17]. Además, </w:t>
      </w:r>
      <w:r>
        <w:t xml:space="preserve">Achmon</w:t>
      </w:r>
      <w:r>
        <w:t xml:space="preserve"> y colaboradores evaluaron residuos de vinificación (orujo de uva) como enmienda para </w:t>
      </w:r>
      <w:r>
        <w:t xml:space="preserve">biosolarización</w:t>
      </w:r>
      <w:r>
        <w:t xml:space="preserve"> [S18].</w:t>
      </w:r>
      <w:r/>
    </w:p>
    <w:p w14:paraId="73C8ADA5" w14:textId="77777777">
      <w:pPr>
        <w:pBdr/>
        <w:spacing w:after="120" w:line="276" w:lineRule="auto"/>
        <w:ind/>
        <w:jc w:val="both"/>
        <w:rPr/>
      </w:pPr>
      <w:r>
        <w:t xml:space="preserve">La conclusión para VFW es clara: el 3:1 es un </w:t>
      </w:r>
      <w:r>
        <w:rPr>
          <w:b/>
          <w:bCs/>
        </w:rPr>
        <w:t xml:space="preserve">punto de partida, no la respuesta</w:t>
      </w:r>
      <w:r>
        <w:t xml:space="preserve">. El objetivo del piloto es encontrar la mezcla y proporción más eficientes según las características de cada suelo —textura, materia orgánica, nivel de infestación— y de cada orujo —humedad, relación carbono/nitrógeno, azúcares—.</w:t>
      </w:r>
      <w:r/>
    </w:p>
    <w:p w14:paraId="74BA7B04" w14:textId="77777777">
      <w:pPr>
        <w:pStyle w:val="797"/>
        <w:keepNext w:val="true"/>
        <w:pBdr/>
        <w:spacing/>
        <w:ind/>
        <w:rPr/>
      </w:pPr>
      <w:r>
        <w:t xml:space="preserve">Disponibilidad regional</w:t>
      </w:r>
      <w:r/>
    </w:p>
    <w:tbl>
      <w:tblPr>
        <w:tblStyle w:val="825"/>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00"/>
        <w:gridCol w:w="4600"/>
        <w:gridCol w:w="28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300" w:type="dxa"/>
          </w:tcPr>
          <w:p w14:paraId="310E2DD5" w14:textId="77777777">
            <w:pPr>
              <w:pBdr/>
              <w:spacing/>
              <w:ind/>
              <w:rPr/>
            </w:pPr>
            <w:r>
              <w:rPr>
                <w:b/>
                <w:bCs/>
                <w:color w:val="ffffff"/>
              </w:rPr>
              <w:t xml:space="preserve">Recurso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600" w:type="dxa"/>
          </w:tcPr>
          <w:p w14:paraId="08011515" w14:textId="77777777">
            <w:pPr>
              <w:pBdr/>
              <w:spacing w:line="252" w:lineRule="auto"/>
              <w:ind/>
              <w:rPr/>
            </w:pPr>
            <w:r>
              <w:rPr>
                <w:b/>
                <w:bCs/>
                <w:color w:val="ffffff"/>
                <w:sz w:val="18"/>
                <w:szCs w:val="18"/>
              </w:rPr>
              <w:t xml:space="preserve">Disponibilidad</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852" w:type="dxa"/>
          </w:tcPr>
          <w:p w14:paraId="2C926BCB" w14:textId="77777777">
            <w:pPr>
              <w:pBdr/>
              <w:spacing w:line="252" w:lineRule="auto"/>
              <w:ind/>
              <w:rPr/>
            </w:pPr>
            <w:r>
              <w:rPr>
                <w:b/>
                <w:bCs/>
                <w:color w:val="ffffff"/>
                <w:sz w:val="18"/>
                <w:szCs w:val="18"/>
              </w:rPr>
              <w:t xml:space="preserve">Qué falta verificar</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300" w:type="dxa"/>
          </w:tcPr>
          <w:p w14:paraId="539859F5" w14:textId="77777777">
            <w:pPr>
              <w:pBdr/>
              <w:spacing w:line="252" w:lineRule="auto"/>
              <w:ind/>
              <w:rPr/>
            </w:pPr>
            <w:r>
              <w:rPr>
                <w:sz w:val="18"/>
                <w:szCs w:val="18"/>
              </w:rPr>
              <w:t xml:space="preserve">Orujo de manzana</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600" w:type="dxa"/>
          </w:tcPr>
          <w:p w14:paraId="16BFDF67" w14:textId="77777777">
            <w:pPr>
              <w:pBdr/>
              <w:spacing w:line="252" w:lineRule="auto"/>
              <w:ind/>
              <w:rPr/>
            </w:pPr>
            <w:r>
              <w:rPr>
                <w:sz w:val="18"/>
                <w:szCs w:val="18"/>
              </w:rPr>
              <w:t xml:space="preserve">Más de 115.000 t generadas en Río Negro en 2024; 25–30 % del peso de la fruta industrializada [S16].</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852" w:type="dxa"/>
          </w:tcPr>
          <w:p w14:paraId="59EA2C43" w14:textId="77777777">
            <w:pPr>
              <w:pBdr/>
              <w:spacing w:line="252" w:lineRule="auto"/>
              <w:ind/>
              <w:rPr/>
            </w:pPr>
            <w:r>
              <w:rPr>
                <w:sz w:val="18"/>
                <w:szCs w:val="18"/>
              </w:rPr>
              <w:t xml:space="preserve">Convenio con jugueras/sidreras, precio, homogeneidad y conservación.</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300" w:type="dxa"/>
          </w:tcPr>
          <w:p w14:paraId="28E28762" w14:textId="77777777">
            <w:pPr>
              <w:pBdr/>
              <w:spacing w:line="252" w:lineRule="auto"/>
              <w:ind/>
              <w:rPr/>
            </w:pPr>
            <w:r>
              <w:rPr>
                <w:sz w:val="18"/>
                <w:szCs w:val="18"/>
              </w:rPr>
              <w:t xml:space="preserve">Orujo de uva</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600" w:type="dxa"/>
          </w:tcPr>
          <w:p w14:paraId="15708250" w14:textId="77777777">
            <w:pPr>
              <w:pBdr/>
              <w:spacing w:line="252" w:lineRule="auto"/>
              <w:ind/>
              <w:rPr/>
            </w:pPr>
            <w:r>
              <w:rPr>
                <w:sz w:val="18"/>
                <w:szCs w:val="18"/>
              </w:rPr>
              <w:t xml:space="preserve">Pronóstico INV 2025: ~7.000 t de uva en Neuquén y ~4.000 t en Río Negro [S19]; el orujo representa hasta 30 % del peso de la uva [S20]. Estimación propia: hasta ~3.300 t/año de orujo.</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852" w:type="dxa"/>
          </w:tcPr>
          <w:p w14:paraId="1843E406" w14:textId="77777777">
            <w:pPr>
              <w:pBdr/>
              <w:spacing w:line="252" w:lineRule="auto"/>
              <w:ind/>
              <w:rPr/>
            </w:pPr>
            <w:r>
              <w:rPr>
                <w:sz w:val="18"/>
                <w:szCs w:val="18"/>
              </w:rPr>
              <w:t xml:space="preserve">Convenio con bodegas; la superficie de viñedos está en baja [S19].</w:t>
            </w:r>
            <w:r/>
          </w:p>
        </w:tc>
      </w:tr>
    </w:tbl>
    <w:p w14:paraId="3C5798BD" w14:textId="77777777">
      <w:pPr>
        <w:pBdr/>
        <w:spacing w:after="60"/>
        <w:ind/>
        <w:rPr/>
      </w:pPr>
      <w:r/>
      <w:r/>
    </w:p>
    <w:p w14:paraId="078B5ECF" w14:textId="77777777">
      <w:pPr>
        <w:pBdr/>
        <w:spacing w:after="120" w:line="276" w:lineRule="auto"/>
        <w:ind/>
        <w:jc w:val="both"/>
        <w:rPr/>
      </w:pPr>
      <w:r>
        <w:t xml:space="preserve">Ambos subproductos son abundantes para la escala de un piloto y de un primer servicio comercial. Usarlos como enmienda le da al protocolo identidad regional y un enfoque de </w:t>
      </w:r>
      <w:r>
        <w:rPr>
          <w:b/>
          <w:bCs/>
        </w:rPr>
        <w:t xml:space="preserve">economía circular</w:t>
      </w:r>
      <w:r>
        <w:t xml:space="preserve">. El punto crítico es la estacionalidad: la industrialización de manzana y la vendimia se concentran a fines del verano, por lo que habrá que resolver cómo conservar la enmienda hasta la ventana de tratamiento.</w:t>
      </w:r>
      <w:r/>
    </w:p>
    <w:p w14:paraId="08C0DE01" w14:textId="77777777">
      <w:pPr>
        <w:pStyle w:val="797"/>
        <w:pBdr/>
        <w:spacing/>
        <w:ind/>
        <w:rPr/>
      </w:pPr>
      <w:r>
        <w:rPr>
          <w:sz w:val="22"/>
        </w:rPr>
        <w:t xml:space="preserve">Resolución operativa y estacionalidad del orujo</w:t>
      </w:r>
      <w:r/>
    </w:p>
    <w:p w14:paraId="6A1185AE" w14:textId="77777777">
      <w:pPr>
        <w:pBdr/>
        <w:spacing/>
        <w:ind/>
        <w:rPr/>
      </w:pPr>
      <w:r>
        <w:rPr>
          <w:sz w:val="20"/>
        </w:rPr>
        <w:t xml:space="preserve">La industrialización de manzana y la vendimia se concentran entre febrero y abril, mientras que los tratamientos en invernadero requier</w:t>
      </w:r>
      <w:r>
        <w:rPr>
          <w:sz w:val="20"/>
        </w:rPr>
        <w:t xml:space="preserve">en alta radiación solar y temperaturas elevadas. Para resolver este desfase temporal, VFW adopta el ensilado anaeróbico en silo bolsa plásticos herméticos, una tecnología ampliamente validada en el Alto Valle para subproductos de sidrería y jugueras [S30].</w:t>
      </w:r>
      <w:r/>
    </w:p>
    <w:p w14:paraId="3D4262B1" w14:textId="77777777">
      <w:pPr>
        <w:pBdr/>
        <w:spacing/>
        <w:ind/>
        <w:rPr/>
      </w:pPr>
      <w:r>
        <w:rPr>
          <w:sz w:val="20"/>
        </w:rPr>
        <w:t xml:space="preserve">El orujo fresco recibido en otoño se</w:t>
      </w:r>
      <w:r>
        <w:rPr>
          <w:sz w:val="20"/>
        </w:rPr>
        <w:t xml:space="preserve"> compacta mecánicamente dentro de bolsas tubulares de polietileno de alta densidad sin oxígeno. La fermentación láctica anaeróbica genera ácido láctico y reduce el pH por debajo de 4,0 en pocos días. Este ambiente ácido estabiliza los subproductos durante </w:t>
      </w:r>
      <w:r>
        <w:rPr>
          <w:sz w:val="20"/>
        </w:rPr>
        <w:t xml:space="preserve">diez a doce meses sin descomposición, sin olores desagradables y sin pérdida de biomasa activa. Al momento de abrir el silo bolsa en primavera o verano, los ácidos orgánicos acumulados potencian la liberación de compuestos volátiles nematicidas durante la </w:t>
      </w:r>
      <w:r>
        <w:rPr>
          <w:sz w:val="20"/>
        </w:rPr>
        <w:t xml:space="preserve">biosolarización</w:t>
      </w:r>
      <w:r>
        <w:rPr>
          <w:sz w:val="20"/>
        </w:rPr>
        <w:t xml:space="preserve">.</w:t>
      </w:r>
      <w:r/>
    </w:p>
    <w:p w14:paraId="36D0EB28" w14:textId="77777777">
      <w:pPr>
        <w:pBdr/>
        <w:spacing/>
        <w:ind/>
        <w:rPr/>
      </w:pPr>
      <w:r>
        <w:rPr>
          <w:sz w:val="20"/>
        </w:rPr>
        <w:t xml:space="preserve">El calendario de aplicación en el Alto Valle contempla dos ventanas operativas principales:</w:t>
      </w:r>
      <w:r/>
    </w:p>
    <w:p w14:paraId="07DA229E" w14:textId="77777777">
      <w:pPr>
        <w:pBdr/>
        <w:spacing/>
        <w:ind/>
        <w:rPr/>
      </w:pPr>
      <w:r>
        <w:rPr>
          <w:sz w:val="20"/>
        </w:rPr>
        <w:t xml:space="preserve">Ventana principal de </w:t>
      </w:r>
      <w:r>
        <w:rPr>
          <w:sz w:val="20"/>
        </w:rPr>
        <w:t xml:space="preserve">post-cosecha</w:t>
      </w:r>
      <w:r>
        <w:rPr>
          <w:sz w:val="20"/>
        </w:rPr>
        <w:t xml:space="preserve">: febrero y marzo. Se aplica inmediatamente después de cosechar el tomate temprano de verano, cuando la radiación solar y las temperaturas diarias superan los 30 grados, dejando el suelo desinfectado antes del invierno.</w:t>
      </w:r>
      <w:r/>
    </w:p>
    <w:p w14:paraId="566ECD01" w14:textId="77777777">
      <w:pPr>
        <w:pBdr/>
        <w:spacing/>
        <w:ind/>
        <w:rPr/>
      </w:pPr>
      <w:r>
        <w:rPr>
          <w:sz w:val="20"/>
        </w:rPr>
        <w:t xml:space="preserve">Ventana secundaria de primavera: noviembre y diciembre, previa a trasplantes tardíos de verano.</w:t>
      </w:r>
      <w:r/>
    </w:p>
    <w:p w14:paraId="73BB95BF" w14:textId="77777777">
      <w:pPr>
        <w:pBdr/>
        <w:spacing/>
        <w:ind/>
        <w:rPr/>
      </w:pPr>
      <w:r>
        <w:rPr>
          <w:sz w:val="20"/>
        </w:rPr>
        <w:t xml:space="preserve">La logística de campo utiliza una dosis estándar de 2,5 kilos de orujo por metro cuadrado, requiriendo 2,5 toneladas por nave de 1.000 m². El material se descarga con minitractor y se incorpora homogéneamente a 15 o 20 cm de profundidad con </w:t>
      </w:r>
      <w:r>
        <w:rPr>
          <w:sz w:val="20"/>
        </w:rPr>
        <w:t xml:space="preserve">rotovator</w:t>
      </w:r>
      <w:r>
        <w:rPr>
          <w:sz w:val="20"/>
        </w:rPr>
        <w:t xml:space="preserve"> o </w:t>
      </w:r>
      <w:r>
        <w:rPr>
          <w:sz w:val="20"/>
        </w:rPr>
        <w:t xml:space="preserve">motocultivador</w:t>
      </w:r>
      <w:r>
        <w:rPr>
          <w:sz w:val="20"/>
        </w:rPr>
        <w:t xml:space="preserve">. Luego se aplica un riego profundo a capacidad de campo y se cubre con film de polietileno transparente de 50 a 100 micrones durante 30 a 45 días continuos.</w:t>
      </w:r>
      <w:r/>
    </w:p>
    <w:p w14:paraId="7E6CC049" w14:textId="77777777">
      <w:pPr>
        <w:pStyle w:val="797"/>
        <w:keepNext w:val="true"/>
        <w:pBdr/>
        <w:spacing/>
        <w:ind/>
        <w:rPr/>
      </w:pPr>
      <w:r>
        <w:t xml:space="preserve">Diseño del piloto</w:t>
      </w:r>
      <w:r/>
    </w:p>
    <w:tbl>
      <w:tblPr>
        <w:tblStyle w:val="826"/>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900"/>
        <w:gridCol w:w="2000"/>
        <w:gridCol w:w="38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900" w:type="dxa"/>
          </w:tcPr>
          <w:p w14:paraId="2D19B31F" w14:textId="77777777">
            <w:pPr>
              <w:pBdr/>
              <w:spacing w:line="252" w:lineRule="auto"/>
              <w:ind/>
              <w:rPr/>
            </w:pPr>
            <w:r>
              <w:rPr>
                <w:b/>
                <w:bCs/>
                <w:color w:val="ffffff"/>
                <w:sz w:val="18"/>
                <w:szCs w:val="18"/>
              </w:rPr>
              <w:t xml:space="preserve">Tratamiento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4DF976D1" w14:textId="77777777">
            <w:pPr>
              <w:pBdr/>
              <w:spacing w:line="252" w:lineRule="auto"/>
              <w:ind/>
              <w:rPr/>
            </w:pPr>
            <w:r>
              <w:rPr>
                <w:b/>
                <w:bCs/>
                <w:color w:val="ffffff"/>
                <w:sz w:val="18"/>
                <w:szCs w:val="18"/>
              </w:rPr>
              <w:t xml:space="preserve">Función</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52" w:type="dxa"/>
          </w:tcPr>
          <w:p w14:paraId="764FFF7F" w14:textId="77777777">
            <w:pPr>
              <w:pBdr/>
              <w:spacing w:line="252" w:lineRule="auto"/>
              <w:ind/>
              <w:rPr/>
            </w:pPr>
            <w:r>
              <w:rPr>
                <w:b/>
                <w:bCs/>
                <w:color w:val="ffffff"/>
                <w:sz w:val="18"/>
                <w:szCs w:val="18"/>
              </w:rPr>
              <w:t xml:space="preserve">Pregunta</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900" w:type="dxa"/>
          </w:tcPr>
          <w:p w14:paraId="6B6F40D1" w14:textId="77777777">
            <w:pPr>
              <w:pBdr/>
              <w:spacing w:line="252" w:lineRule="auto"/>
              <w:ind/>
              <w:rPr/>
            </w:pPr>
            <w:r>
              <w:rPr>
                <w:sz w:val="18"/>
                <w:szCs w:val="18"/>
              </w:rPr>
              <w:t xml:space="preserve">T0 — Planta franca, sin tratamiento</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26168099" w14:textId="77777777">
            <w:pPr>
              <w:pBdr/>
              <w:spacing w:line="252" w:lineRule="auto"/>
              <w:ind/>
              <w:rPr/>
            </w:pPr>
            <w:r>
              <w:rPr>
                <w:sz w:val="18"/>
                <w:szCs w:val="18"/>
              </w:rPr>
              <w:t xml:space="preserve">Control base</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52" w:type="dxa"/>
          </w:tcPr>
          <w:p w14:paraId="48502BFF" w14:textId="77777777">
            <w:pPr>
              <w:pBdr/>
              <w:spacing w:line="252" w:lineRule="auto"/>
              <w:ind/>
              <w:rPr/>
            </w:pPr>
            <w:r>
              <w:rPr>
                <w:sz w:val="18"/>
                <w:szCs w:val="18"/>
              </w:rPr>
              <w:t xml:space="preserve">¿Cuál es el daño sin injerto ni tratamiento?</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900" w:type="dxa"/>
          </w:tcPr>
          <w:p w14:paraId="1E7FF8B1" w14:textId="77777777">
            <w:pPr>
              <w:pBdr/>
              <w:spacing w:line="252" w:lineRule="auto"/>
              <w:ind/>
              <w:rPr/>
            </w:pPr>
            <w:r>
              <w:rPr>
                <w:sz w:val="18"/>
                <w:szCs w:val="18"/>
              </w:rPr>
              <w:t xml:space="preserve">T1 — Injertado, sin tratamiento</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2E745680" w14:textId="77777777">
            <w:pPr>
              <w:pBdr/>
              <w:spacing w:line="252" w:lineRule="auto"/>
              <w:ind/>
              <w:rPr/>
            </w:pPr>
            <w:r>
              <w:rPr>
                <w:sz w:val="18"/>
                <w:szCs w:val="18"/>
              </w:rPr>
              <w:t xml:space="preserve">Efecto de la Fase 1</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52" w:type="dxa"/>
          </w:tcPr>
          <w:p w14:paraId="402728D1" w14:textId="77777777">
            <w:pPr>
              <w:pBdr/>
              <w:spacing w:line="252" w:lineRule="auto"/>
              <w:ind/>
              <w:rPr/>
            </w:pPr>
            <w:r>
              <w:rPr>
                <w:sz w:val="18"/>
                <w:szCs w:val="18"/>
              </w:rPr>
              <w:t xml:space="preserve">¿Qué aporta el plantín injertado por sí solo?</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900" w:type="dxa"/>
          </w:tcPr>
          <w:p w14:paraId="29230943" w14:textId="77777777">
            <w:pPr>
              <w:pBdr/>
              <w:spacing w:line="252" w:lineRule="auto"/>
              <w:ind/>
              <w:rPr/>
            </w:pPr>
            <w:r>
              <w:rPr>
                <w:sz w:val="18"/>
                <w:szCs w:val="18"/>
              </w:rPr>
              <w:t xml:space="preserve">T2 — Injertado + </w:t>
            </w:r>
            <w:r>
              <w:rPr>
                <w:sz w:val="18"/>
                <w:szCs w:val="18"/>
              </w:rPr>
              <w:t xml:space="preserve">biosolarización</w:t>
            </w:r>
            <w:r>
              <w:rPr>
                <w:sz w:val="18"/>
                <w:szCs w:val="18"/>
              </w:rPr>
              <w:t xml:space="preserve"> de referencia</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40272369" w14:textId="77777777">
            <w:pPr>
              <w:pBdr/>
              <w:spacing w:line="252" w:lineRule="auto"/>
              <w:ind/>
              <w:rPr/>
            </w:pPr>
            <w:r>
              <w:rPr>
                <w:sz w:val="18"/>
                <w:szCs w:val="18"/>
              </w:rPr>
              <w:t xml:space="preserve">Referencia técnica</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52" w:type="dxa"/>
          </w:tcPr>
          <w:p w14:paraId="38864557" w14:textId="77777777">
            <w:pPr>
              <w:pBdr/>
              <w:spacing w:line="252" w:lineRule="auto"/>
              <w:ind/>
              <w:rPr/>
            </w:pPr>
            <w:r>
              <w:rPr>
                <w:sz w:val="18"/>
                <w:szCs w:val="18"/>
              </w:rPr>
              <w:t xml:space="preserve">¿El tratamiento del suelo mejora el resultado del injerto?</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900" w:type="dxa"/>
          </w:tcPr>
          <w:p w14:paraId="4A12D9E3" w14:textId="77777777">
            <w:pPr>
              <w:pBdr/>
              <w:spacing w:line="252" w:lineRule="auto"/>
              <w:ind/>
              <w:rPr/>
            </w:pPr>
            <w:r>
              <w:rPr>
                <w:sz w:val="18"/>
                <w:szCs w:val="18"/>
              </w:rPr>
              <w:t xml:space="preserve">T3 — Injertado + orujo sólo de manzana</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503DA7D7" w14:textId="77777777">
            <w:pPr>
              <w:pBdr/>
              <w:spacing w:line="252" w:lineRule="auto"/>
              <w:ind/>
              <w:rPr/>
            </w:pPr>
            <w:r>
              <w:rPr>
                <w:sz w:val="18"/>
                <w:szCs w:val="18"/>
              </w:rPr>
              <w:t xml:space="preserve">Variante de mezcla</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52" w:type="dxa"/>
          </w:tcPr>
          <w:p w14:paraId="685CBCCB" w14:textId="77777777">
            <w:pPr>
              <w:pBdr/>
              <w:spacing w:line="252" w:lineRule="auto"/>
              <w:ind/>
              <w:rPr/>
            </w:pPr>
            <w:r>
              <w:rPr>
                <w:sz w:val="18"/>
                <w:szCs w:val="18"/>
              </w:rPr>
              <w:t xml:space="preserve">¿Alcanza con el subproducto más abundante?</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900" w:type="dxa"/>
          </w:tcPr>
          <w:p w14:paraId="1424BD1A" w14:textId="77777777">
            <w:pPr>
              <w:pBdr/>
              <w:spacing w:line="252" w:lineRule="auto"/>
              <w:ind/>
              <w:rPr/>
            </w:pPr>
            <w:r>
              <w:rPr>
                <w:sz w:val="18"/>
                <w:szCs w:val="18"/>
              </w:rPr>
              <w:t xml:space="preserve">T4 — Injertado + orujo </w:t>
            </w:r>
            <w:r>
              <w:rPr>
                <w:sz w:val="18"/>
                <w:szCs w:val="18"/>
              </w:rPr>
              <w:t xml:space="preserve">manzana:uva</w:t>
            </w:r>
            <w:r>
              <w:rPr>
                <w:sz w:val="18"/>
                <w:szCs w:val="18"/>
              </w:rPr>
              <w:t xml:space="preserve"> 3:1</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60775BEB" w14:textId="77777777">
            <w:pPr>
              <w:pBdr/>
              <w:spacing w:line="252" w:lineRule="auto"/>
              <w:ind/>
              <w:rPr/>
            </w:pPr>
            <w:r>
              <w:rPr>
                <w:sz w:val="18"/>
                <w:szCs w:val="18"/>
              </w:rPr>
              <w:t xml:space="preserve">Réplica del antecedente</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52" w:type="dxa"/>
          </w:tcPr>
          <w:p w14:paraId="5E0E3F87" w14:textId="77777777">
            <w:pPr>
              <w:pBdr/>
              <w:spacing w:line="252" w:lineRule="auto"/>
              <w:ind/>
              <w:rPr/>
            </w:pPr>
            <w:r>
              <w:rPr>
                <w:sz w:val="18"/>
                <w:szCs w:val="18"/>
              </w:rPr>
              <w:t xml:space="preserve">¿El resultado de Maryland se repite en la región?</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900" w:type="dxa"/>
          </w:tcPr>
          <w:p w14:paraId="41F69B92" w14:textId="77777777">
            <w:pPr>
              <w:pBdr/>
              <w:spacing w:line="252" w:lineRule="auto"/>
              <w:ind/>
              <w:rPr/>
            </w:pPr>
            <w:r>
              <w:rPr>
                <w:sz w:val="18"/>
                <w:szCs w:val="18"/>
              </w:rPr>
              <w:t xml:space="preserve">T5 — Injertado + orujo </w:t>
            </w:r>
            <w:r>
              <w:rPr>
                <w:sz w:val="18"/>
                <w:szCs w:val="18"/>
              </w:rPr>
              <w:t xml:space="preserve">manzana:uva</w:t>
            </w:r>
            <w:r>
              <w:rPr>
                <w:sz w:val="18"/>
                <w:szCs w:val="18"/>
              </w:rPr>
              <w:t xml:space="preserve"> 1:1</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2CBB016A" w14:textId="77777777">
            <w:pPr>
              <w:pBdr/>
              <w:spacing w:line="252" w:lineRule="auto"/>
              <w:ind/>
              <w:rPr/>
            </w:pPr>
            <w:r>
              <w:rPr>
                <w:sz w:val="18"/>
                <w:szCs w:val="18"/>
              </w:rPr>
              <w:t xml:space="preserve">Variante de mezcla</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52" w:type="dxa"/>
          </w:tcPr>
          <w:p w14:paraId="1D31FD07" w14:textId="77777777">
            <w:pPr>
              <w:pBdr/>
              <w:spacing w:line="252" w:lineRule="auto"/>
              <w:ind/>
              <w:rPr/>
            </w:pPr>
            <w:r>
              <w:rPr>
                <w:sz w:val="18"/>
                <w:szCs w:val="18"/>
              </w:rPr>
              <w:t xml:space="preserve">¿Más uva mejora el efecto?</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900" w:type="dxa"/>
          </w:tcPr>
          <w:p w14:paraId="114FCE16" w14:textId="77777777">
            <w:pPr>
              <w:pBdr/>
              <w:spacing w:line="252" w:lineRule="auto"/>
              <w:ind/>
              <w:rPr/>
            </w:pPr>
            <w:r>
              <w:rPr>
                <w:sz w:val="18"/>
                <w:szCs w:val="18"/>
              </w:rPr>
              <w:t xml:space="preserve">T6 — Injertado + orujo sólo de uva</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3DA1D5B1" w14:textId="77777777">
            <w:pPr>
              <w:pBdr/>
              <w:spacing w:line="252" w:lineRule="auto"/>
              <w:ind/>
              <w:rPr/>
            </w:pPr>
            <w:r>
              <w:rPr>
                <w:sz w:val="18"/>
                <w:szCs w:val="18"/>
              </w:rPr>
              <w:t xml:space="preserve">Variante de mezcla</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52" w:type="dxa"/>
          </w:tcPr>
          <w:p w14:paraId="048FCDE2" w14:textId="77777777">
            <w:pPr>
              <w:pBdr/>
              <w:spacing w:line="252" w:lineRule="auto"/>
              <w:ind/>
              <w:rPr/>
            </w:pPr>
            <w:r>
              <w:rPr>
                <w:sz w:val="18"/>
                <w:szCs w:val="18"/>
              </w:rPr>
              <w:t xml:space="preserve">¿Qué aporta el orujo de uva por sí solo?</w:t>
            </w:r>
            <w:r/>
          </w:p>
        </w:tc>
      </w:tr>
    </w:tbl>
    <w:p w14:paraId="14E9178E" w14:textId="77777777">
      <w:pPr>
        <w:pBdr/>
        <w:spacing w:after="60"/>
        <w:ind/>
        <w:rPr/>
      </w:pPr>
      <w:r/>
      <w:r/>
    </w:p>
    <w:p w14:paraId="4D3963C6" w14:textId="77777777">
      <w:pPr>
        <w:pBdr/>
        <w:spacing w:after="120" w:line="276" w:lineRule="auto"/>
        <w:ind/>
        <w:jc w:val="both"/>
        <w:rPr/>
      </w:pPr>
      <w:r>
        <w:t xml:space="preserve">Las mezclas con mejores resultados se repiten con </w:t>
      </w:r>
      <w:r>
        <w:rPr>
          <w:b/>
          <w:bCs/>
        </w:rPr>
        <w:t xml:space="preserve">dos dosis y dos duraciones</w:t>
      </w:r>
      <w:r>
        <w:t xml:space="preserve"> de tratamiento, en suelos con distintas características. </w:t>
      </w:r>
      <w:r>
        <w:rPr>
          <w:b/>
          <w:bCs/>
        </w:rPr>
        <w:t xml:space="preserve">Variables a medir:</w:t>
      </w:r>
      <w:r>
        <w:t xml:space="preserve"> población de nematodos antes y después, temperatura del suelo durante el proceso, índice de </w:t>
      </w:r>
      <w:r>
        <w:t xml:space="preserve">agallamiento</w:t>
      </w:r>
      <w:r>
        <w:t xml:space="preserve">, prendimiento, rendimiento comercial y costo por m² tratado. El resultado esperado es una </w:t>
      </w:r>
      <w:r>
        <w:rPr>
          <w:b/>
          <w:bCs/>
        </w:rPr>
        <w:t xml:space="preserve">matriz de recomendación</w:t>
      </w:r>
      <w:r>
        <w:t xml:space="preserve"> —tipo de suelo y nivel de infestación → mezcla, proporción, dosis y duración— que se convierte en el protocolo propio de VFW.</w:t>
      </w:r>
      <w:r/>
    </w:p>
    <w:tbl>
      <w:tblPr>
        <w:tblStyle w:val="827"/>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200"/>
        <w:gridCol w:w="55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200" w:type="dxa"/>
          </w:tcPr>
          <w:p w14:paraId="2DB57DD2" w14:textId="77777777">
            <w:pPr>
              <w:pBdr/>
              <w:spacing w:line="252" w:lineRule="auto"/>
              <w:ind/>
              <w:rPr/>
            </w:pPr>
            <w:r>
              <w:rPr>
                <w:b/>
                <w:bCs/>
                <w:color w:val="ffffff"/>
                <w:sz w:val="18"/>
                <w:szCs w:val="18"/>
              </w:rPr>
              <w:t xml:space="preserve">Resultado del piloto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552" w:type="dxa"/>
          </w:tcPr>
          <w:p w14:paraId="26A8A16E" w14:textId="77777777">
            <w:pPr>
              <w:pBdr/>
              <w:spacing w:line="252" w:lineRule="auto"/>
              <w:ind/>
              <w:rPr/>
            </w:pPr>
            <w:r>
              <w:rPr>
                <w:b/>
                <w:bCs/>
                <w:color w:val="ffffff"/>
                <w:sz w:val="18"/>
                <w:szCs w:val="18"/>
              </w:rPr>
              <w:t xml:space="preserve">Decisión</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200" w:type="dxa"/>
          </w:tcPr>
          <w:p w14:paraId="44BDF649" w14:textId="77777777">
            <w:pPr>
              <w:pBdr/>
              <w:spacing w:line="252" w:lineRule="auto"/>
              <w:ind/>
              <w:rPr/>
            </w:pPr>
            <w:r>
              <w:rPr>
                <w:sz w:val="18"/>
                <w:szCs w:val="18"/>
              </w:rPr>
              <w:t xml:space="preserve">Ninguna mezcla de orujo mejora frente al testigo</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552" w:type="dxa"/>
          </w:tcPr>
          <w:p w14:paraId="469E35B2" w14:textId="77777777">
            <w:pPr>
              <w:pBdr/>
              <w:spacing w:line="252" w:lineRule="auto"/>
              <w:ind/>
              <w:rPr/>
            </w:pPr>
            <w:r>
              <w:rPr>
                <w:sz w:val="18"/>
                <w:szCs w:val="18"/>
              </w:rPr>
              <w:t xml:space="preserve">Continuar con </w:t>
            </w:r>
            <w:r>
              <w:rPr>
                <w:sz w:val="18"/>
                <w:szCs w:val="18"/>
              </w:rPr>
              <w:t xml:space="preserve">biosolarización</w:t>
            </w:r>
            <w:r>
              <w:rPr>
                <w:sz w:val="18"/>
                <w:szCs w:val="18"/>
              </w:rPr>
              <w:t xml:space="preserve"> de referencia (T2) o sólo con la Fase 1.</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200" w:type="dxa"/>
          </w:tcPr>
          <w:p w14:paraId="2167C9A6" w14:textId="77777777">
            <w:pPr>
              <w:pBdr/>
              <w:spacing w:line="252" w:lineRule="auto"/>
              <w:ind/>
              <w:rPr/>
            </w:pPr>
            <w:r>
              <w:rPr>
                <w:sz w:val="18"/>
                <w:szCs w:val="18"/>
              </w:rPr>
              <w:t xml:space="preserve">Mejora técnica con costo excesivo</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552" w:type="dxa"/>
          </w:tcPr>
          <w:p w14:paraId="25AFA97E" w14:textId="77777777">
            <w:pPr>
              <w:pBdr/>
              <w:spacing w:line="252" w:lineRule="auto"/>
              <w:ind/>
              <w:rPr/>
            </w:pPr>
            <w:r>
              <w:rPr>
                <w:sz w:val="18"/>
                <w:szCs w:val="18"/>
              </w:rPr>
              <w:t xml:space="preserve">Ajustar proporción, dosis o logística antes de ofrecer el servicio.</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200" w:type="dxa"/>
          </w:tcPr>
          <w:p w14:paraId="050D6787" w14:textId="77777777">
            <w:pPr>
              <w:pBdr/>
              <w:spacing w:line="252" w:lineRule="auto"/>
              <w:ind/>
              <w:rPr/>
            </w:pPr>
            <w:r>
              <w:rPr>
                <w:sz w:val="18"/>
                <w:szCs w:val="18"/>
              </w:rPr>
              <w:t xml:space="preserve">Mejora técnica y económica</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552" w:type="dxa"/>
          </w:tcPr>
          <w:p w14:paraId="6E4954B9" w14:textId="77777777">
            <w:pPr>
              <w:pBdr/>
              <w:spacing w:line="252" w:lineRule="auto"/>
              <w:ind/>
              <w:rPr/>
            </w:pPr>
            <w:r>
              <w:rPr>
                <w:sz w:val="18"/>
                <w:szCs w:val="18"/>
              </w:rPr>
              <w:t xml:space="preserve">Estandarizar el protocolo y ofrecer la Fase 2 como servicio.</w:t>
            </w:r>
            <w:r/>
          </w:p>
        </w:tc>
      </w:tr>
    </w:tbl>
    <w:p w14:paraId="66238E72" w14:textId="77777777">
      <w:pPr>
        <w:pBdr/>
        <w:spacing/>
        <w:ind/>
        <w:rPr/>
        <w:sectPr>
          <w:headerReference w:type="default" r:id="rId9"/>
          <w:footerReference w:type="default" r:id="rId12"/>
          <w:footnotePr/>
          <w:endnotePr/>
          <w:type w:val="nextPage"/>
          <w:pgSz w:h="16838" w:orient="portrait" w:w="11906"/>
          <w:pgMar w:top="964" w:right="1077" w:bottom="907" w:left="1077" w:header="454" w:footer="454" w:gutter="0"/>
          <w:pgNumType w:start="1"/>
          <w:cols w:num="1" w:sep="0" w:space="720" w:equalWidth="1"/>
        </w:sectPr>
      </w:pPr>
      <w:r/>
      <w:r/>
    </w:p>
    <w:p w14:paraId="7D1C95F5" w14:textId="77777777">
      <w:pPr>
        <w:pStyle w:val="796"/>
        <w:pBdr/>
        <w:spacing w:after="100" w:before="0"/>
        <w:ind/>
        <w:rPr/>
      </w:pPr>
      <w:r>
        <w:t xml:space="preserve">10. Modelo de Negocio </w:t>
      </w:r>
      <w:r>
        <w:t xml:space="preserve">Canvas</w:t>
      </w:r>
      <w:r/>
    </w:p>
    <w:p w14:paraId="4CB1E372" w14:textId="77777777">
      <w:pPr>
        <w:pBdr/>
        <w:spacing w:after="120"/>
        <w:ind/>
        <w:rPr/>
      </w:pPr>
      <w:r>
        <w:rPr>
          <w:i/>
          <w:iCs/>
          <w:color w:val="52606d"/>
          <w:sz w:val="18"/>
          <w:szCs w:val="18"/>
        </w:rPr>
        <w:t xml:space="preserve">Regla de escala: no ampliar hasta demostrar reservas y recompra, un proceso de injerto estable y resultados medibles del tratamiento del suelo frente al testigo.</w:t>
      </w:r>
      <w:r/>
    </w:p>
    <w:tbl>
      <w:tblPr>
        <w:tblStyle w:val="828"/>
        <w:tblInd w:w="0" w:type="dxa"/>
        <w:tblW w:w="153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072"/>
        <w:gridCol w:w="3073"/>
        <w:gridCol w:w="1536"/>
        <w:gridCol w:w="1536"/>
        <w:gridCol w:w="3073"/>
        <w:gridCol w:w="3073"/>
      </w:tblGrid>
      <w:tr>
        <w:trPr>
          <w:cantSplit/>
          <w:trHeight w:val="3000"/>
          <w:tblHeader/>
        </w:trPr>
        <w:tc>
          <w:tcPr>
            <w:shd w:val="clear" w:color="auto" w:fill="fafbfb"/>
            <w:tcBorders>
              <w:top w:val="single" w:color="1f6f63" w:sz="6" w:space="0"/>
              <w:left w:val="single" w:color="1f6f63" w:sz="6" w:space="0"/>
              <w:bottom w:val="single" w:color="1f6f63" w:sz="6" w:space="0"/>
              <w:right w:val="single" w:color="1f6f63" w:sz="6" w:space="0"/>
            </w:tcBorders>
            <w:tcMar>
              <w:left w:w="110" w:type="dxa"/>
              <w:top w:w="90" w:type="dxa"/>
              <w:right w:w="110" w:type="dxa"/>
              <w:bottom w:w="90" w:type="dxa"/>
            </w:tcMar>
            <w:tcW w:w="3073" w:type="dxa"/>
            <w:vMerge w:val="restart"/>
          </w:tcPr>
          <w:p w14:paraId="5F6F679A" w14:textId="77777777">
            <w:pPr>
              <w:pBdr/>
              <w:spacing/>
              <w:ind/>
              <w:rPr/>
            </w:pPr>
            <w:r>
              <w:rPr>
                <w:b/>
                <w:bCs/>
                <w:color w:val="0e5a4f"/>
                <w:sz w:val="18"/>
                <w:szCs w:val="18"/>
              </w:rPr>
              <w:t xml:space="preserve">Socios clave</w:t>
            </w:r>
            <w:r/>
          </w:p>
          <w:p w14:paraId="4FE65AF5"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Semilleras y proveedores de portainjertos registrados</w:t>
            </w:r>
            <w:r/>
          </w:p>
          <w:p w14:paraId="533C44F1"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Jugueras y sidreras (orujo de manzana)</w:t>
            </w:r>
            <w:r/>
          </w:p>
          <w:p w14:paraId="4A2DA685"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Bodegas de Neuquén y Río Negro (orujo de uva)</w:t>
            </w:r>
            <w:r/>
          </w:p>
          <w:p w14:paraId="545A1568"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Laboratorio de nematodos; INTA / </w:t>
            </w:r>
            <w:r>
              <w:rPr>
                <w:b/>
                <w:bCs/>
                <w:color w:val="1f2a26"/>
                <w:sz w:val="16"/>
                <w:szCs w:val="16"/>
              </w:rPr>
              <w:t xml:space="preserve">UNCo</w:t>
            </w:r>
            <w:r/>
          </w:p>
          <w:p w14:paraId="1EF40F80"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Productores demostradores</w:t>
            </w:r>
            <w:r/>
          </w:p>
          <w:p w14:paraId="14035760"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Proveedores de cámara, clips, plástico y sensores</w:t>
            </w:r>
            <w:r/>
          </w:p>
        </w:tc>
        <w:tc>
          <w:tcPr>
            <w:shd w:val="clear" w:color="auto" w:fill="fafbfb"/>
            <w:tcBorders>
              <w:top w:val="single" w:color="1f6f63" w:sz="6" w:space="0"/>
              <w:left w:val="single" w:color="1f6f63" w:sz="6" w:space="0"/>
              <w:bottom w:val="single" w:color="1f6f63" w:sz="6" w:space="0"/>
              <w:right w:val="single" w:color="1f6f63" w:sz="6" w:space="0"/>
            </w:tcBorders>
            <w:tcMar>
              <w:left w:w="110" w:type="dxa"/>
              <w:top w:w="90" w:type="dxa"/>
              <w:right w:w="110" w:type="dxa"/>
              <w:bottom w:w="90" w:type="dxa"/>
            </w:tcMar>
            <w:tcW w:w="3073" w:type="dxa"/>
          </w:tcPr>
          <w:p w14:paraId="5F3BC85A" w14:textId="77777777">
            <w:pPr>
              <w:pBdr/>
              <w:spacing/>
              <w:ind/>
              <w:rPr/>
            </w:pPr>
            <w:r>
              <w:rPr>
                <w:b/>
                <w:bCs/>
                <w:color w:val="0e5a4f"/>
                <w:sz w:val="18"/>
                <w:szCs w:val="18"/>
              </w:rPr>
              <w:t xml:space="preserve">Actividades clave</w:t>
            </w:r>
            <w:r/>
          </w:p>
          <w:p w14:paraId="138213AB"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Preventa y planificación de pedidos</w:t>
            </w:r>
            <w:r/>
          </w:p>
          <w:p w14:paraId="00393AFA"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Siembra sincronizada, injerto, cicatrización y aclimatación</w:t>
            </w:r>
            <w:r/>
          </w:p>
          <w:p w14:paraId="2E98309C"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Diagnóstico de suelo y raíces</w:t>
            </w:r>
            <w:r/>
          </w:p>
          <w:p w14:paraId="1F8D9576"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Biosolarización</w:t>
            </w:r>
            <w:r>
              <w:rPr>
                <w:b/>
                <w:bCs/>
                <w:color w:val="1f2a26"/>
                <w:sz w:val="16"/>
                <w:szCs w:val="16"/>
              </w:rPr>
              <w:t xml:space="preserve"> y monitoreo de temperatura</w:t>
            </w:r>
            <w:r/>
          </w:p>
          <w:p w14:paraId="15AB87FE"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Acopio y preparación de las mezclas de orujo</w:t>
            </w:r>
            <w:r/>
          </w:p>
          <w:p w14:paraId="708CD09F"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Ensayos de mezclas y registro de datos por campaña</w:t>
            </w:r>
            <w:r/>
          </w:p>
          <w:p w14:paraId="652C4A30"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Control de calidad y posventa</w:t>
            </w:r>
            <w:r/>
          </w:p>
        </w:tc>
        <w:tc>
          <w:tcPr>
            <w:gridSpan w:val="2"/>
            <w:shd w:val="clear" w:color="auto" w:fill="fff4d6"/>
            <w:tcBorders>
              <w:top w:val="single" w:color="1f6f63" w:sz="6" w:space="0"/>
              <w:left w:val="single" w:color="1f6f63" w:sz="6" w:space="0"/>
              <w:bottom w:val="single" w:color="1f6f63" w:sz="6" w:space="0"/>
              <w:right w:val="single" w:color="1f6f63" w:sz="6" w:space="0"/>
            </w:tcBorders>
            <w:tcMar>
              <w:left w:w="110" w:type="dxa"/>
              <w:top w:w="90" w:type="dxa"/>
              <w:right w:w="110" w:type="dxa"/>
              <w:bottom w:w="90" w:type="dxa"/>
            </w:tcMar>
            <w:tcW w:w="3072" w:type="dxa"/>
            <w:vMerge w:val="restart"/>
          </w:tcPr>
          <w:p w14:paraId="6F26F8F6" w14:textId="588E7BB0">
            <w:pPr>
              <w:pBdr/>
              <w:spacing/>
              <w:ind/>
              <w:rPr/>
            </w:pPr>
            <w:r>
              <w:rPr>
                <w:b/>
                <w:bCs/>
                <w:color w:val="0e5a4f"/>
                <w:sz w:val="17"/>
                <w:szCs w:val="17"/>
              </w:rPr>
              <w:t xml:space="preserve">Propuesta de valor</w:t>
            </w:r>
            <w:r>
              <w:rPr>
                <w:b/>
                <w:bCs/>
                <w:color w:val="0e5a4f"/>
                <w:sz w:val="17"/>
                <w:szCs w:val="17"/>
              </w:rPr>
              <w:br/>
            </w:r>
            <w:r>
              <w:rPr>
                <w:b/>
                <w:bCs/>
                <w:color w:val="auto"/>
                <w:sz w:val="17"/>
                <w:szCs w:val="17"/>
              </w:rPr>
              <w:t xml:space="preserve">•</w:t>
            </w:r>
            <w:r>
              <w:rPr>
                <w:b/>
                <w:bCs/>
                <w:color w:val="auto"/>
                <w:sz w:val="17"/>
                <w:szCs w:val="17"/>
              </w:rPr>
              <w:t xml:space="preserve"> </w:t>
            </w:r>
            <w:r>
              <w:rPr>
                <w:b/>
                <w:bCs/>
                <w:color w:val="auto"/>
                <w:sz w:val="17"/>
                <w:szCs w:val="17"/>
              </w:rPr>
              <w:t xml:space="preserve">Plantín injertado regional bajo pedido, con fecha pactada y trazabilidad</w:t>
            </w:r>
            <w:r>
              <w:rPr>
                <w:b/>
                <w:bCs/>
                <w:color w:val="auto"/>
                <w:sz w:val="17"/>
                <w:szCs w:val="17"/>
              </w:rPr>
              <w:br/>
              <w:t xml:space="preserve">• Diagnóstico y manejo </w:t>
            </w:r>
            <w:r>
              <w:rPr>
                <w:b/>
                <w:bCs/>
                <w:color w:val="auto"/>
                <w:sz w:val="17"/>
                <w:szCs w:val="17"/>
              </w:rPr>
              <w:t xml:space="preserve">pretrasplante</w:t>
            </w:r>
            <w:r>
              <w:rPr>
                <w:b/>
                <w:bCs/>
                <w:color w:val="auto"/>
                <w:sz w:val="17"/>
                <w:szCs w:val="17"/>
              </w:rPr>
              <w:t xml:space="preserve"> contratables aun sin comprar el plantín</w:t>
            </w:r>
            <w:r>
              <w:rPr>
                <w:b/>
                <w:bCs/>
                <w:color w:val="auto"/>
                <w:sz w:val="17"/>
                <w:szCs w:val="17"/>
              </w:rPr>
              <w:br/>
              <w:t xml:space="preserve">• Programa integral «suelo + plantín + seguimiento»</w:t>
            </w:r>
            <w:r>
              <w:rPr>
                <w:b/>
                <w:bCs/>
                <w:color w:val="auto"/>
                <w:sz w:val="17"/>
                <w:szCs w:val="17"/>
              </w:rPr>
              <w:br/>
              <w:t xml:space="preserve">• Aprendizaje y protocolo regional basado en resultados medidos</w:t>
            </w:r>
            <w:r/>
          </w:p>
        </w:tc>
        <w:tc>
          <w:tcPr>
            <w:shd w:val="clear" w:color="auto" w:fill="fafbfb"/>
            <w:tcBorders>
              <w:top w:val="single" w:color="1f6f63" w:sz="6" w:space="0"/>
              <w:left w:val="single" w:color="1f6f63" w:sz="6" w:space="0"/>
              <w:bottom w:val="single" w:color="1f6f63" w:sz="6" w:space="0"/>
              <w:right w:val="single" w:color="1f6f63" w:sz="6" w:space="0"/>
            </w:tcBorders>
            <w:tcMar>
              <w:left w:w="110" w:type="dxa"/>
              <w:top w:w="90" w:type="dxa"/>
              <w:right w:w="110" w:type="dxa"/>
              <w:bottom w:w="90" w:type="dxa"/>
            </w:tcMar>
            <w:tcW w:w="3073" w:type="dxa"/>
          </w:tcPr>
          <w:p w14:paraId="4529FA4A" w14:textId="77777777">
            <w:pPr>
              <w:pBdr/>
              <w:spacing/>
              <w:ind/>
              <w:rPr/>
            </w:pPr>
            <w:r>
              <w:rPr>
                <w:b/>
                <w:bCs/>
                <w:color w:val="0e5a4f"/>
                <w:sz w:val="18"/>
                <w:szCs w:val="18"/>
              </w:rPr>
              <w:t xml:space="preserve">Relación con clientes</w:t>
            </w:r>
            <w:r/>
          </w:p>
          <w:p w14:paraId="7673CBB6"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Venta consultiva basada en diagnóstico</w:t>
            </w:r>
            <w:r/>
          </w:p>
          <w:p w14:paraId="535AF55C"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Reserva de pretemporada</w:t>
            </w:r>
            <w:r/>
          </w:p>
          <w:p w14:paraId="6383A828"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Ficha de lote y seguimiento de campaña</w:t>
            </w:r>
            <w:r/>
          </w:p>
          <w:p w14:paraId="4CD6E949"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Parcelas demostrativas con testigo</w:t>
            </w:r>
            <w:r/>
          </w:p>
        </w:tc>
        <w:tc>
          <w:tcPr>
            <w:shd w:val="clear" w:color="auto" w:fill="fafbfb"/>
            <w:tcBorders>
              <w:top w:val="single" w:color="1f6f63" w:sz="6" w:space="0"/>
              <w:left w:val="single" w:color="1f6f63" w:sz="6" w:space="0"/>
              <w:bottom w:val="single" w:color="1f6f63" w:sz="6" w:space="0"/>
              <w:right w:val="single" w:color="1f6f63" w:sz="6" w:space="0"/>
            </w:tcBorders>
            <w:tcMar>
              <w:left w:w="110" w:type="dxa"/>
              <w:top w:w="90" w:type="dxa"/>
              <w:right w:w="110" w:type="dxa"/>
              <w:bottom w:w="90" w:type="dxa"/>
            </w:tcMar>
            <w:tcW w:w="3073" w:type="dxa"/>
            <w:vMerge w:val="restart"/>
          </w:tcPr>
          <w:p w14:paraId="6BC07ECB" w14:textId="77777777">
            <w:pPr>
              <w:pBdr/>
              <w:spacing/>
              <w:ind/>
              <w:rPr/>
            </w:pPr>
            <w:r>
              <w:rPr>
                <w:b/>
                <w:bCs/>
                <w:color w:val="0e5a4f"/>
                <w:sz w:val="18"/>
                <w:szCs w:val="18"/>
              </w:rPr>
              <w:t xml:space="preserve">Segmentos de clientes</w:t>
            </w:r>
            <w:r/>
          </w:p>
          <w:p w14:paraId="52CD1374"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Productores bajo cubierta de tomate y morrón con problemas radiculares</w:t>
            </w:r>
            <w:r/>
          </w:p>
          <w:p w14:paraId="20701D96"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Productores que compran injertados fuera de la región</w:t>
            </w:r>
            <w:r/>
          </w:p>
          <w:p w14:paraId="082BD22C"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Productores con ciclos largos</w:t>
            </w:r>
            <w:r/>
          </w:p>
          <w:p w14:paraId="142A8AD3"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Cartera actual de VFW (Alto Valle, Valle Medio, Neuquén)</w:t>
            </w:r>
            <w:r/>
          </w:p>
        </w:tc>
      </w:tr>
      <w:tr>
        <w:trPr>
          <w:cantSplit/>
          <w:trHeight w:val="2600"/>
        </w:trPr>
        <w:tc>
          <w:tcPr>
            <w:shd w:val="clear" w:color="auto" w:fill="fafbfb"/>
            <w:tcBorders>
              <w:top w:val="single" w:color="1f6f63" w:sz="6" w:space="0"/>
              <w:left w:val="single" w:color="1f6f63" w:sz="6" w:space="0"/>
              <w:bottom w:val="single" w:color="1f6f63" w:sz="6" w:space="0"/>
              <w:right w:val="single" w:color="1f6f63" w:sz="6" w:space="0"/>
            </w:tcBorders>
            <w:tcMar>
              <w:left w:w="110" w:type="dxa"/>
              <w:top w:w="90" w:type="dxa"/>
              <w:right w:w="110" w:type="dxa"/>
              <w:bottom w:w="90" w:type="dxa"/>
            </w:tcMar>
            <w:tcW w:w="3073" w:type="dxa"/>
            <w:vMerge w:val="continue"/>
          </w:tcPr>
          <w:p w14:paraId="4197480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shd w:val="clear" w:color="auto" w:fill="fafbfb"/>
            <w:tcBorders>
              <w:top w:val="single" w:color="1f6f63" w:sz="6" w:space="0"/>
              <w:left w:val="single" w:color="1f6f63" w:sz="6" w:space="0"/>
              <w:bottom w:val="single" w:color="1f6f63" w:sz="6" w:space="0"/>
              <w:right w:val="single" w:color="1f6f63" w:sz="6" w:space="0"/>
            </w:tcBorders>
            <w:tcMar>
              <w:left w:w="110" w:type="dxa"/>
              <w:top w:w="90" w:type="dxa"/>
              <w:right w:w="110" w:type="dxa"/>
              <w:bottom w:w="90" w:type="dxa"/>
            </w:tcMar>
            <w:tcW w:w="3073" w:type="dxa"/>
          </w:tcPr>
          <w:p w14:paraId="43D5D808" w14:textId="77777777">
            <w:pPr>
              <w:pBdr/>
              <w:spacing/>
              <w:ind/>
              <w:rPr>
                <w:sz w:val="17"/>
              </w:rPr>
            </w:pPr>
            <w:r>
              <w:rPr>
                <w:b/>
                <w:bCs/>
                <w:color w:val="0e5a4f"/>
                <w:sz w:val="18"/>
                <w:szCs w:val="18"/>
              </w:rPr>
              <w:t xml:space="preserve">Recursos clave</w:t>
            </w:r>
            <w:r>
              <w:rPr>
                <w:sz w:val="17"/>
              </w:rPr>
            </w:r>
          </w:p>
          <w:p w14:paraId="6155078D" w14:textId="77777777">
            <w:pPr>
              <w:pStyle w:val="837"/>
              <w:numPr>
                <w:ilvl w:val="0"/>
                <w:numId w:val="1"/>
              </w:numPr>
              <w:pBdr/>
              <w:spacing/>
              <w:ind/>
              <w:rPr>
                <w:b/>
                <w:bCs/>
                <w:sz w:val="17"/>
              </w:rPr>
            </w:pPr>
            <w:r>
              <w:rPr>
                <w:b/>
                <w:bCs/>
                <w:color w:val="1f2a26"/>
                <w:sz w:val="16"/>
                <w:szCs w:val="16"/>
              </w:rPr>
              <w:t xml:space="preserve">Invernaderos, sembradora y cámara de germinación existentes de VFW</w:t>
            </w:r>
            <w:r>
              <w:rPr>
                <w:b/>
                <w:bCs/>
                <w:sz w:val="17"/>
              </w:rPr>
            </w:r>
          </w:p>
          <w:p w14:paraId="7F963208" w14:textId="77777777">
            <w:pPr>
              <w:pStyle w:val="837"/>
              <w:numPr>
                <w:ilvl w:val="0"/>
                <w:numId w:val="1"/>
              </w:numPr>
              <w:pBdr/>
              <w:spacing/>
              <w:ind/>
              <w:rPr>
                <w:b/>
                <w:bCs/>
                <w:sz w:val="17"/>
              </w:rPr>
            </w:pPr>
            <w:r>
              <w:rPr>
                <w:b/>
                <w:bCs/>
                <w:sz w:val="17"/>
              </w:rPr>
              <w:t xml:space="preserve">Inversión inicial de 14 millones de pesos en cámara de cicatrización de 18 m² e instrumental</w:t>
            </w:r>
            <w:r>
              <w:rPr>
                <w:b/>
                <w:bCs/>
                <w:sz w:val="17"/>
              </w:rPr>
            </w:r>
          </w:p>
          <w:p w14:paraId="1FB29589" w14:textId="77777777">
            <w:pPr>
              <w:pStyle w:val="837"/>
              <w:numPr>
                <w:ilvl w:val="0"/>
                <w:numId w:val="1"/>
              </w:numPr>
              <w:pBdr/>
              <w:spacing/>
              <w:ind/>
              <w:rPr>
                <w:b/>
                <w:bCs/>
                <w:sz w:val="17"/>
              </w:rPr>
            </w:pPr>
            <w:r>
              <w:rPr>
                <w:b/>
                <w:bCs/>
                <w:sz w:val="17"/>
              </w:rPr>
              <w:t xml:space="preserve">Dos operadores de injerto calificados y responsable técnico agrónomo</w:t>
            </w:r>
            <w:r>
              <w:rPr>
                <w:b/>
                <w:bCs/>
                <w:sz w:val="17"/>
              </w:rPr>
            </w:r>
          </w:p>
          <w:p w14:paraId="70B7E15F" w14:textId="77777777">
            <w:pPr>
              <w:pStyle w:val="837"/>
              <w:numPr>
                <w:ilvl w:val="0"/>
                <w:numId w:val="1"/>
              </w:numPr>
              <w:pBdr/>
              <w:spacing/>
              <w:ind/>
              <w:rPr>
                <w:b/>
                <w:bCs/>
                <w:sz w:val="17"/>
              </w:rPr>
            </w:pPr>
            <w:r>
              <w:rPr>
                <w:b/>
                <w:bCs/>
                <w:sz w:val="17"/>
              </w:rPr>
              <w:t xml:space="preserve">Stock de orujo de manzana y uva ensilado en silo bolsa</w:t>
            </w:r>
            <w:r>
              <w:rPr>
                <w:b/>
                <w:bCs/>
                <w:sz w:val="17"/>
              </w:rPr>
            </w:r>
          </w:p>
          <w:p w14:paraId="63B3DA1C" w14:textId="4CC65BAD">
            <w:pPr>
              <w:pStyle w:val="837"/>
              <w:numPr>
                <w:ilvl w:val="0"/>
                <w:numId w:val="1"/>
              </w:numPr>
              <w:pBdr/>
              <w:spacing/>
              <w:ind/>
              <w:rPr>
                <w:sz w:val="17"/>
              </w:rPr>
            </w:pPr>
            <w:r>
              <w:rPr>
                <w:b/>
                <w:bCs/>
                <w:sz w:val="17"/>
              </w:rPr>
              <w:t xml:space="preserve">Base de datos agronómica de suelos, mezclas y rendimientos regionales</w:t>
            </w:r>
            <w:r>
              <w:rPr>
                <w:sz w:val="17"/>
              </w:rPr>
            </w:r>
          </w:p>
        </w:tc>
        <w:tc>
          <w:tcPr>
            <w:gridSpan w:val="2"/>
            <w:shd w:val="clear" w:color="auto" w:fill="fff4d6"/>
            <w:tcBorders>
              <w:top w:val="single" w:color="1f6f63" w:sz="6" w:space="0"/>
              <w:left w:val="single" w:color="1f6f63" w:sz="6" w:space="0"/>
              <w:bottom w:val="single" w:color="1f6f63" w:sz="6" w:space="0"/>
              <w:right w:val="single" w:color="1f6f63" w:sz="6" w:space="0"/>
            </w:tcBorders>
            <w:tcMar>
              <w:left w:w="110" w:type="dxa"/>
              <w:top w:w="90" w:type="dxa"/>
              <w:right w:w="110" w:type="dxa"/>
              <w:bottom w:w="90" w:type="dxa"/>
            </w:tcMar>
            <w:tcW w:w="3072" w:type="dxa"/>
            <w:vMerge w:val="continue"/>
          </w:tcPr>
          <w:p w14:paraId="05C357A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shd w:val="clear" w:color="auto" w:fill="fafbfb"/>
            <w:tcBorders>
              <w:top w:val="single" w:color="1f6f63" w:sz="6" w:space="0"/>
              <w:left w:val="single" w:color="1f6f63" w:sz="6" w:space="0"/>
              <w:bottom w:val="single" w:color="1f6f63" w:sz="6" w:space="0"/>
              <w:right w:val="single" w:color="1f6f63" w:sz="6" w:space="0"/>
            </w:tcBorders>
            <w:tcMar>
              <w:left w:w="110" w:type="dxa"/>
              <w:top w:w="90" w:type="dxa"/>
              <w:right w:w="110" w:type="dxa"/>
              <w:bottom w:w="90" w:type="dxa"/>
            </w:tcMar>
            <w:tcW w:w="3073" w:type="dxa"/>
          </w:tcPr>
          <w:p w14:paraId="3205DE89" w14:textId="77777777">
            <w:pPr>
              <w:pBdr/>
              <w:spacing/>
              <w:ind/>
              <w:rPr/>
            </w:pPr>
            <w:r>
              <w:rPr>
                <w:b/>
                <w:bCs/>
                <w:color w:val="0e5a4f"/>
                <w:sz w:val="18"/>
                <w:szCs w:val="18"/>
              </w:rPr>
              <w:t xml:space="preserve">Canales</w:t>
            </w:r>
            <w:r/>
          </w:p>
          <w:p w14:paraId="2636EAD7"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b/>
                <w:bCs/>
              </w:rPr>
            </w:pPr>
            <w:r>
              <w:rPr>
                <w:b/>
                <w:bCs/>
                <w:color w:val="1f2a26"/>
                <w:sz w:val="16"/>
                <w:szCs w:val="16"/>
              </w:rPr>
              <w:t xml:space="preserve">Venta directa y visitas técnicas</w:t>
            </w:r>
            <w:r>
              <w:rPr>
                <w:b/>
                <w:bCs/>
              </w:rPr>
            </w:r>
          </w:p>
          <w:p w14:paraId="23DBEF02"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b/>
                <w:bCs/>
              </w:rPr>
            </w:pPr>
            <w:r>
              <w:rPr>
                <w:b/>
                <w:bCs/>
                <w:color w:val="1f2a26"/>
                <w:sz w:val="16"/>
                <w:szCs w:val="16"/>
              </w:rPr>
              <w:t xml:space="preserve">Cartera y logística de VFW</w:t>
            </w:r>
            <w:r>
              <w:rPr>
                <w:b/>
                <w:bCs/>
              </w:rPr>
            </w:r>
          </w:p>
          <w:p w14:paraId="476CDC58"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b/>
                <w:bCs/>
              </w:rPr>
            </w:pPr>
            <w:r>
              <w:rPr>
                <w:b/>
                <w:bCs/>
                <w:color w:val="1f2a26"/>
                <w:sz w:val="16"/>
                <w:szCs w:val="16"/>
              </w:rPr>
              <w:t xml:space="preserve">Jornadas y parcelas demostrativas</w:t>
            </w:r>
            <w:r>
              <w:rPr>
                <w:b/>
                <w:bCs/>
              </w:rPr>
            </w:r>
          </w:p>
          <w:p w14:paraId="364DF3C9" w14:textId="77777777">
            <w:pPr>
              <w:numPr>
                <w:ilvl w:val="0"/>
                <w:numId w:val="1"/>
              </w:numPr>
              <w:pBdr>
                <w:top w:val="none" w:color="000000" w:sz="4" w:space="0"/>
                <w:left w:val="none" w:color="000000" w:sz="4" w:space="0"/>
                <w:bottom w:val="none" w:color="000000" w:sz="4" w:space="0"/>
                <w:right w:val="none" w:color="000000" w:sz="4" w:space="0"/>
                <w:between w:val="none" w:color="000000" w:sz="4" w:space="0"/>
              </w:pBdr>
              <w:spacing/>
              <w:ind/>
              <w:rPr/>
            </w:pPr>
            <w:r>
              <w:rPr>
                <w:b/>
                <w:bCs/>
                <w:color w:val="1f2a26"/>
                <w:sz w:val="16"/>
                <w:szCs w:val="16"/>
              </w:rPr>
              <w:t xml:space="preserve">Asesores, cooperativas e instituciones técnicas</w:t>
            </w:r>
            <w:r/>
          </w:p>
        </w:tc>
        <w:tc>
          <w:tcPr>
            <w:shd w:val="clear" w:color="auto" w:fill="fafbfb"/>
            <w:tcBorders>
              <w:top w:val="single" w:color="1f6f63" w:sz="6" w:space="0"/>
              <w:left w:val="single" w:color="1f6f63" w:sz="6" w:space="0"/>
              <w:bottom w:val="single" w:color="1f6f63" w:sz="6" w:space="0"/>
              <w:right w:val="single" w:color="1f6f63" w:sz="6" w:space="0"/>
            </w:tcBorders>
            <w:tcMar>
              <w:left w:w="110" w:type="dxa"/>
              <w:top w:w="90" w:type="dxa"/>
              <w:right w:w="110" w:type="dxa"/>
              <w:bottom w:w="90" w:type="dxa"/>
            </w:tcMar>
            <w:tcW w:w="3073" w:type="dxa"/>
            <w:vMerge w:val="continue"/>
          </w:tcPr>
          <w:p w14:paraId="678E3B5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r>
      <w:tr>
        <w:trPr>
          <w:cantSplit/>
          <w:trHeight w:val="596"/>
        </w:trPr>
        <w:tc>
          <w:tcPr>
            <w:gridSpan w:val="3"/>
            <w:shd w:val="clear" w:color="auto" w:fill="e8f3ef"/>
            <w:tcBorders>
              <w:top w:val="single" w:color="1f6f63" w:sz="6" w:space="0"/>
              <w:left w:val="single" w:color="1f6f63" w:sz="6" w:space="0"/>
              <w:bottom w:val="single" w:color="1f6f63" w:sz="6" w:space="0"/>
              <w:right w:val="single" w:color="1f6f63" w:sz="6" w:space="0"/>
            </w:tcBorders>
            <w:tcMar>
              <w:left w:w="110" w:type="dxa"/>
              <w:top w:w="90" w:type="dxa"/>
              <w:right w:w="110" w:type="dxa"/>
              <w:bottom w:w="90" w:type="dxa"/>
            </w:tcMar>
            <w:tcW w:w="7682" w:type="dxa"/>
          </w:tcPr>
          <w:p w14:paraId="176CA7DC" w14:textId="560CE37D">
            <w:pPr>
              <w:pBdr/>
              <w:spacing/>
              <w:ind/>
              <w:rPr>
                <w:sz w:val="17"/>
              </w:rPr>
            </w:pPr>
            <w:r>
              <w:rPr>
                <w:b/>
                <w:bCs/>
                <w:color w:val="0e5a4f"/>
                <w:sz w:val="18"/>
                <w:szCs w:val="18"/>
              </w:rPr>
              <w:t xml:space="preserve">Estructura de Costos</w:t>
            </w:r>
            <w:r>
              <w:rPr>
                <w:sz w:val="17"/>
              </w:rPr>
            </w:r>
          </w:p>
          <w:p w14:paraId="28CB1E24" w14:textId="77777777">
            <w:pPr>
              <w:pStyle w:val="837"/>
              <w:numPr>
                <w:ilvl w:val="0"/>
                <w:numId w:val="2"/>
              </w:numPr>
              <w:pBdr/>
              <w:spacing/>
              <w:ind/>
              <w:rPr>
                <w:b/>
                <w:bCs/>
                <w:sz w:val="16"/>
                <w:szCs w:val="20"/>
              </w:rPr>
            </w:pPr>
            <w:r>
              <w:rPr>
                <w:b/>
                <w:bCs/>
                <w:sz w:val="16"/>
                <w:szCs w:val="20"/>
              </w:rPr>
              <w:t xml:space="preserve">Costo variable unitario de 750 pesos por planta vendible (semilla </w:t>
            </w:r>
            <w:r>
              <w:rPr>
                <w:b/>
                <w:bCs/>
                <w:sz w:val="16"/>
                <w:szCs w:val="20"/>
              </w:rPr>
              <w:t xml:space="preserve">Maxifort</w:t>
            </w:r>
            <w:r>
              <w:rPr>
                <w:b/>
                <w:bCs/>
                <w:sz w:val="16"/>
                <w:szCs w:val="20"/>
              </w:rPr>
              <w:t xml:space="preserve">, copa, clips, mano de obra, 20 % de merma)</w:t>
            </w:r>
            <w:r>
              <w:rPr>
                <w:b/>
                <w:bCs/>
                <w:sz w:val="16"/>
                <w:szCs w:val="20"/>
              </w:rPr>
            </w:r>
          </w:p>
          <w:p w14:paraId="5F119E7E" w14:textId="77777777">
            <w:pPr>
              <w:pStyle w:val="837"/>
              <w:numPr>
                <w:ilvl w:val="0"/>
                <w:numId w:val="2"/>
              </w:numPr>
              <w:pBdr/>
              <w:spacing/>
              <w:ind/>
              <w:rPr>
                <w:b/>
                <w:bCs/>
                <w:sz w:val="16"/>
                <w:szCs w:val="20"/>
              </w:rPr>
            </w:pPr>
            <w:r>
              <w:rPr>
                <w:b/>
                <w:bCs/>
                <w:sz w:val="16"/>
                <w:szCs w:val="20"/>
              </w:rPr>
              <w:t xml:space="preserve">Costos fijos anuales de 8.800.000 pesos (amortización a 5 años, agrónomo </w:t>
            </w:r>
            <w:r>
              <w:rPr>
                <w:b/>
                <w:bCs/>
                <w:sz w:val="16"/>
                <w:szCs w:val="20"/>
              </w:rPr>
              <w:t xml:space="preserve">part</w:t>
            </w:r>
            <w:r>
              <w:rPr>
                <w:b/>
                <w:bCs/>
                <w:sz w:val="16"/>
                <w:szCs w:val="20"/>
              </w:rPr>
              <w:t xml:space="preserve">-time, mantenimiento y energía base)</w:t>
            </w:r>
            <w:r>
              <w:rPr>
                <w:b/>
                <w:bCs/>
                <w:sz w:val="16"/>
                <w:szCs w:val="20"/>
              </w:rPr>
            </w:r>
          </w:p>
          <w:p w14:paraId="13FE73A9" w14:textId="77777777">
            <w:pPr>
              <w:pStyle w:val="837"/>
              <w:numPr>
                <w:ilvl w:val="0"/>
                <w:numId w:val="2"/>
              </w:numPr>
              <w:pBdr/>
              <w:spacing/>
              <w:ind/>
              <w:rPr>
                <w:b/>
                <w:bCs/>
                <w:sz w:val="16"/>
                <w:szCs w:val="20"/>
              </w:rPr>
            </w:pPr>
            <w:r>
              <w:rPr>
                <w:b/>
                <w:bCs/>
                <w:sz w:val="16"/>
                <w:szCs w:val="20"/>
              </w:rPr>
              <w:t xml:space="preserve">Inversión inicial de 14.000.000 pesos</w:t>
            </w:r>
            <w:r>
              <w:rPr>
                <w:b/>
                <w:bCs/>
                <w:sz w:val="16"/>
                <w:szCs w:val="20"/>
              </w:rPr>
              <w:br/>
              <w:t xml:space="preserve">Punto de equilibrio operativo en 7.040 plantines al año</w:t>
            </w:r>
            <w:r>
              <w:rPr>
                <w:b/>
                <w:bCs/>
                <w:sz w:val="16"/>
                <w:szCs w:val="20"/>
              </w:rPr>
            </w:r>
          </w:p>
          <w:p w14:paraId="424D4B2B" w14:textId="37DC282F">
            <w:pPr>
              <w:pStyle w:val="837"/>
              <w:numPr>
                <w:ilvl w:val="0"/>
                <w:numId w:val="2"/>
              </w:numPr>
              <w:pBdr/>
              <w:spacing/>
              <w:ind/>
              <w:rPr>
                <w:sz w:val="17"/>
              </w:rPr>
            </w:pPr>
            <w:r>
              <w:rPr>
                <w:b/>
                <w:bCs/>
                <w:sz w:val="16"/>
                <w:szCs w:val="20"/>
              </w:rPr>
              <w:t xml:space="preserve">Logística de orujo, film de solarización y análisis de laboratorio para Fase 2</w:t>
            </w:r>
            <w:r>
              <w:rPr>
                <w:sz w:val="17"/>
              </w:rPr>
            </w:r>
          </w:p>
        </w:tc>
        <w:tc>
          <w:tcPr>
            <w:gridSpan w:val="3"/>
            <w:shd w:val="clear" w:color="auto" w:fill="e8f3ef"/>
            <w:tcBorders>
              <w:top w:val="single" w:color="1f6f63" w:sz="6" w:space="0"/>
              <w:left w:val="single" w:color="1f6f63" w:sz="6" w:space="0"/>
              <w:bottom w:val="single" w:color="1f6f63" w:sz="6" w:space="0"/>
              <w:right w:val="single" w:color="1f6f63" w:sz="6" w:space="0"/>
            </w:tcBorders>
            <w:tcMar>
              <w:left w:w="110" w:type="dxa"/>
              <w:top w:w="90" w:type="dxa"/>
              <w:right w:w="110" w:type="dxa"/>
              <w:bottom w:w="90" w:type="dxa"/>
            </w:tcMar>
            <w:tcW w:w="7682" w:type="dxa"/>
          </w:tcPr>
          <w:p w14:paraId="0A494810" w14:textId="0B68012C">
            <w:pPr>
              <w:pBdr/>
              <w:spacing/>
              <w:ind/>
              <w:rPr>
                <w:b/>
                <w:bCs/>
                <w:color w:val="0e5a4f"/>
                <w:sz w:val="17"/>
                <w:szCs w:val="17"/>
              </w:rPr>
            </w:pPr>
            <w:r>
              <w:rPr>
                <w:b/>
                <w:bCs/>
                <w:color w:val="0e5a4f"/>
                <w:sz w:val="17"/>
                <w:szCs w:val="17"/>
              </w:rPr>
              <w:t xml:space="preserve">Fuentes de ingreso</w:t>
            </w:r>
            <w:r>
              <w:rPr>
                <w:b/>
                <w:bCs/>
                <w:color w:val="0e5a4f"/>
                <w:sz w:val="17"/>
                <w:szCs w:val="17"/>
              </w:rPr>
            </w:r>
          </w:p>
          <w:p w14:paraId="77ADC1BF" w14:textId="77777777">
            <w:pPr>
              <w:pStyle w:val="837"/>
              <w:numPr>
                <w:ilvl w:val="0"/>
                <w:numId w:val="4"/>
              </w:numPr>
              <w:pBdr/>
              <w:spacing/>
              <w:ind/>
              <w:rPr>
                <w:b/>
                <w:bCs/>
                <w:sz w:val="20"/>
                <w:szCs w:val="20"/>
              </w:rPr>
            </w:pPr>
            <w:r>
              <w:rPr>
                <w:b/>
                <w:bCs/>
                <w:color w:val="auto"/>
                <w:sz w:val="16"/>
                <w:szCs w:val="16"/>
              </w:rPr>
              <w:t xml:space="preserve">Venta por plantín injertado entregado</w:t>
            </w:r>
            <w:r>
              <w:rPr>
                <w:b/>
                <w:bCs/>
                <w:sz w:val="20"/>
                <w:szCs w:val="20"/>
              </w:rPr>
            </w:r>
          </w:p>
          <w:p w14:paraId="04548A03" w14:textId="3A3F3EC0">
            <w:pPr>
              <w:pStyle w:val="837"/>
              <w:numPr>
                <w:ilvl w:val="0"/>
                <w:numId w:val="4"/>
              </w:numPr>
              <w:pBdr/>
              <w:spacing/>
              <w:ind/>
              <w:rPr>
                <w:b/>
                <w:bCs/>
                <w:sz w:val="20"/>
                <w:szCs w:val="20"/>
              </w:rPr>
            </w:pPr>
            <w:r>
              <w:rPr>
                <w:b/>
                <w:bCs/>
                <w:color w:val="auto"/>
                <w:sz w:val="16"/>
                <w:szCs w:val="16"/>
              </w:rPr>
              <w:t xml:space="preserve">Diagnóstico y plan sanitario por lote/establecimiento</w:t>
            </w:r>
            <w:r>
              <w:rPr>
                <w:b/>
                <w:bCs/>
                <w:sz w:val="20"/>
                <w:szCs w:val="20"/>
              </w:rPr>
            </w:r>
          </w:p>
          <w:p w14:paraId="3282AEBD" w14:textId="77777777">
            <w:pPr>
              <w:pStyle w:val="837"/>
              <w:numPr>
                <w:ilvl w:val="0"/>
                <w:numId w:val="4"/>
              </w:numPr>
              <w:pBdr/>
              <w:spacing/>
              <w:ind/>
              <w:rPr>
                <w:b/>
                <w:bCs/>
                <w:sz w:val="20"/>
                <w:szCs w:val="20"/>
              </w:rPr>
            </w:pPr>
            <w:r>
              <w:rPr>
                <w:b/>
                <w:bCs/>
                <w:color w:val="auto"/>
                <w:sz w:val="16"/>
                <w:szCs w:val="16"/>
              </w:rPr>
              <w:t xml:space="preserve">Tratamiento </w:t>
            </w:r>
            <w:r>
              <w:rPr>
                <w:b/>
                <w:bCs/>
                <w:color w:val="auto"/>
                <w:sz w:val="16"/>
                <w:szCs w:val="16"/>
              </w:rPr>
              <w:t xml:space="preserve">pretrasplante</w:t>
            </w:r>
            <w:r>
              <w:rPr>
                <w:b/>
                <w:bCs/>
                <w:color w:val="auto"/>
                <w:sz w:val="16"/>
                <w:szCs w:val="16"/>
              </w:rPr>
              <w:t xml:space="preserve"> por m², sólo después de validación</w:t>
            </w:r>
            <w:r>
              <w:rPr>
                <w:b/>
                <w:bCs/>
                <w:sz w:val="20"/>
                <w:szCs w:val="20"/>
              </w:rPr>
            </w:r>
          </w:p>
          <w:p w14:paraId="46F1281A" w14:textId="77777777">
            <w:pPr>
              <w:pStyle w:val="837"/>
              <w:numPr>
                <w:ilvl w:val="0"/>
                <w:numId w:val="4"/>
              </w:numPr>
              <w:pBdr/>
              <w:spacing/>
              <w:ind/>
              <w:rPr>
                <w:b/>
                <w:bCs/>
                <w:sz w:val="20"/>
                <w:szCs w:val="20"/>
              </w:rPr>
            </w:pPr>
            <w:r>
              <w:rPr>
                <w:b/>
                <w:bCs/>
                <w:color w:val="auto"/>
                <w:sz w:val="16"/>
                <w:szCs w:val="16"/>
              </w:rPr>
              <w:t xml:space="preserve">Monitoreo/seguimiento por visita o campaña</w:t>
            </w:r>
            <w:r>
              <w:rPr>
                <w:b/>
                <w:bCs/>
                <w:sz w:val="20"/>
                <w:szCs w:val="20"/>
              </w:rPr>
            </w:r>
          </w:p>
          <w:p w14:paraId="741AC54F" w14:textId="77777777">
            <w:pPr>
              <w:pStyle w:val="837"/>
              <w:numPr>
                <w:ilvl w:val="0"/>
                <w:numId w:val="4"/>
              </w:numPr>
              <w:pBdr/>
              <w:spacing/>
              <w:ind/>
              <w:rPr>
                <w:b/>
                <w:bCs/>
                <w:sz w:val="20"/>
                <w:szCs w:val="20"/>
              </w:rPr>
            </w:pPr>
            <w:r>
              <w:rPr>
                <w:b/>
                <w:bCs/>
                <w:color w:val="auto"/>
                <w:sz w:val="16"/>
                <w:szCs w:val="16"/>
              </w:rPr>
              <w:t xml:space="preserve"> Programa integral «suelo + plantín»</w:t>
            </w:r>
            <w:r>
              <w:rPr>
                <w:b/>
                <w:bCs/>
                <w:sz w:val="20"/>
                <w:szCs w:val="20"/>
              </w:rPr>
            </w:r>
          </w:p>
          <w:p w14:paraId="2A498EBC" w14:textId="0E0BC1E9">
            <w:pPr>
              <w:pStyle w:val="837"/>
              <w:numPr>
                <w:ilvl w:val="0"/>
                <w:numId w:val="4"/>
              </w:numPr>
              <w:pBdr/>
              <w:spacing/>
              <w:ind/>
              <w:rPr/>
            </w:pPr>
            <w:r>
              <w:rPr>
                <w:b/>
                <w:bCs/>
                <w:color w:val="auto"/>
                <w:sz w:val="16"/>
                <w:szCs w:val="16"/>
              </w:rPr>
              <w:t xml:space="preserve">Reserva anticipada de capacidad (seña acreditable)</w:t>
            </w:r>
            <w:r/>
          </w:p>
        </w:tc>
      </w:tr>
    </w:tbl>
    <w:p w14:paraId="7E82F549" w14:textId="77777777">
      <w:pPr>
        <w:pBdr/>
        <w:spacing/>
        <w:ind/>
        <w:rPr/>
        <w:sectPr>
          <w:headerReference w:type="default" r:id="rId10"/>
          <w:footerReference w:type="default" r:id="rId13"/>
          <w:footnotePr/>
          <w:endnotePr/>
          <w:type w:val="nextPage"/>
          <w:pgSz w:h="11906" w:orient="landscape" w:w="16838"/>
          <w:pgMar w:top="737" w:right="737" w:bottom="737" w:left="737" w:header="454" w:footer="454" w:gutter="0"/>
          <w:cols w:num="1" w:sep="0" w:space="720" w:equalWidth="1"/>
        </w:sectPr>
      </w:pPr>
      <w:r/>
      <w:r/>
    </w:p>
    <w:p w14:paraId="0108FB77" w14:textId="77777777">
      <w:pPr>
        <w:pStyle w:val="796"/>
        <w:keepNext w:val="true"/>
        <w:pBdr/>
        <w:spacing/>
        <w:ind/>
        <w:rPr/>
      </w:pPr>
      <w:r>
        <w:t xml:space="preserve">11. Sostenibilidad del proyecto</w:t>
      </w:r>
      <w:r/>
    </w:p>
    <w:tbl>
      <w:tblPr>
        <w:tblStyle w:val="829"/>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000"/>
        <w:gridCol w:w="77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50A3C724" w14:textId="77777777">
            <w:pPr>
              <w:pBdr/>
              <w:spacing w:line="252" w:lineRule="auto"/>
              <w:ind/>
              <w:rPr/>
            </w:pPr>
            <w:r>
              <w:rPr>
                <w:b/>
                <w:bCs/>
                <w:color w:val="ffffff"/>
                <w:sz w:val="18"/>
                <w:szCs w:val="18"/>
              </w:rPr>
              <w:t xml:space="preserve">Dimensión</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7752" w:type="dxa"/>
          </w:tcPr>
          <w:p w14:paraId="361B91C9" w14:textId="77777777">
            <w:pPr>
              <w:pBdr/>
              <w:spacing w:line="252" w:lineRule="auto"/>
              <w:ind/>
              <w:rPr/>
            </w:pPr>
            <w:r>
              <w:rPr>
                <w:b/>
                <w:bCs/>
                <w:color w:val="ffffff"/>
                <w:sz w:val="18"/>
                <w:szCs w:val="18"/>
              </w:rPr>
              <w:t xml:space="preserve">Cómo se sostiene</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6034901E" w14:textId="77777777">
            <w:pPr>
              <w:pBdr/>
              <w:spacing w:line="252" w:lineRule="auto"/>
              <w:ind/>
              <w:rPr/>
            </w:pPr>
            <w:r>
              <w:rPr>
                <w:sz w:val="18"/>
                <w:szCs w:val="18"/>
              </w:rPr>
              <w:t xml:space="preserve">Económica</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7752" w:type="dxa"/>
          </w:tcPr>
          <w:p w14:paraId="5B89B3C0" w14:textId="77777777">
            <w:pPr>
              <w:pBdr/>
              <w:spacing w:line="252" w:lineRule="auto"/>
              <w:ind/>
              <w:rPr/>
            </w:pPr>
            <w:r>
              <w:rPr>
                <w:sz w:val="18"/>
                <w:szCs w:val="18"/>
              </w:rPr>
              <w:t xml:space="preserve">Producción contra pedido y reserva, catálogo corto, crecimiento por módulos y resultados de la nueva línea separados de los plantines convencionales. La Fase 2 aumenta el valor por cliente y genera recompra.</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3EEF6032" w14:textId="77777777">
            <w:pPr>
              <w:pBdr/>
              <w:spacing w:line="252" w:lineRule="auto"/>
              <w:ind/>
              <w:rPr/>
            </w:pPr>
            <w:r>
              <w:rPr>
                <w:sz w:val="18"/>
                <w:szCs w:val="18"/>
              </w:rPr>
              <w:t xml:space="preserve">Operativa</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7752" w:type="dxa"/>
          </w:tcPr>
          <w:p w14:paraId="004A3D1A" w14:textId="77777777">
            <w:pPr>
              <w:pBdr/>
              <w:spacing w:line="252" w:lineRule="auto"/>
              <w:ind/>
              <w:rPr/>
            </w:pPr>
            <w:r>
              <w:rPr>
                <w:sz w:val="18"/>
                <w:szCs w:val="18"/>
              </w:rPr>
              <w:t xml:space="preserve">Prendimiento y descarte medidos, dos operadores entrenados, contingencia energética y calendario de tratamientos de suelo.</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73E66339" w14:textId="77777777">
            <w:pPr>
              <w:pBdr/>
              <w:spacing w:line="252" w:lineRule="auto"/>
              <w:ind/>
              <w:rPr/>
            </w:pPr>
            <w:r>
              <w:rPr>
                <w:sz w:val="18"/>
                <w:szCs w:val="18"/>
              </w:rPr>
              <w:t xml:space="preserve">Sanitaria</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7752" w:type="dxa"/>
          </w:tcPr>
          <w:p w14:paraId="687977CB" w14:textId="77777777">
            <w:pPr>
              <w:pBdr/>
              <w:spacing w:line="252" w:lineRule="auto"/>
              <w:ind/>
              <w:rPr/>
            </w:pPr>
            <w:r>
              <w:rPr>
                <w:sz w:val="18"/>
                <w:szCs w:val="18"/>
              </w:rPr>
              <w:t xml:space="preserve">Diagnóstico previo, lotes identificados desde la semilla, seguimiento de campo y protocolo de reclamos.</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64D9BA93" w14:textId="77777777">
            <w:pPr>
              <w:pBdr/>
              <w:spacing w:line="252" w:lineRule="auto"/>
              <w:ind/>
              <w:rPr/>
            </w:pPr>
            <w:r>
              <w:rPr>
                <w:sz w:val="18"/>
                <w:szCs w:val="18"/>
              </w:rPr>
              <w:t xml:space="preserve">Ambiental</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7752" w:type="dxa"/>
          </w:tcPr>
          <w:p w14:paraId="0FD781C8" w14:textId="77777777">
            <w:pPr>
              <w:pBdr/>
              <w:spacing w:line="252" w:lineRule="auto"/>
              <w:ind/>
              <w:rPr/>
            </w:pPr>
            <w:r>
              <w:rPr>
                <w:sz w:val="18"/>
                <w:szCs w:val="18"/>
              </w:rPr>
              <w:t xml:space="preserve">Economía circular: valoriza el orujo de manzana y uva de la industria regional como enmienda en lugar de tratarlo como residuo, y ofrece una alternativa a la desinfección química del suelo.</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000" w:type="dxa"/>
          </w:tcPr>
          <w:p w14:paraId="18B10D58" w14:textId="77777777">
            <w:pPr>
              <w:pBdr/>
              <w:spacing w:line="252" w:lineRule="auto"/>
              <w:ind/>
              <w:rPr/>
            </w:pPr>
            <w:r>
              <w:rPr>
                <w:sz w:val="18"/>
                <w:szCs w:val="18"/>
              </w:rPr>
              <w:t xml:space="preserve">Territorial</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7752" w:type="dxa"/>
          </w:tcPr>
          <w:p w14:paraId="5B59B325" w14:textId="77777777">
            <w:pPr>
              <w:pBdr/>
              <w:spacing w:line="252" w:lineRule="auto"/>
              <w:ind/>
              <w:rPr/>
            </w:pPr>
            <w:r>
              <w:rPr>
                <w:sz w:val="18"/>
                <w:szCs w:val="18"/>
              </w:rPr>
              <w:t xml:space="preserve">Servicio técnico regional y conocimiento acumulado de los suelos del Alto Valle.</w:t>
            </w:r>
            <w:r/>
          </w:p>
        </w:tc>
      </w:tr>
    </w:tbl>
    <w:p w14:paraId="3015E141" w14:textId="77777777">
      <w:pPr>
        <w:pStyle w:val="796"/>
        <w:keepNext w:val="true"/>
        <w:pBdr/>
        <w:spacing/>
        <w:ind/>
        <w:rPr/>
      </w:pPr>
      <w:r>
        <w:t xml:space="preserve">12. Riesgos y hoja de validación</w:t>
      </w:r>
      <w:r/>
    </w:p>
    <w:tbl>
      <w:tblPr>
        <w:tblStyle w:val="830"/>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800"/>
        <w:gridCol w:w="59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00" w:type="dxa"/>
          </w:tcPr>
          <w:p w14:paraId="526F4744" w14:textId="77777777">
            <w:pPr>
              <w:pBdr/>
              <w:spacing w:line="252" w:lineRule="auto"/>
              <w:ind/>
              <w:rPr/>
            </w:pPr>
            <w:r>
              <w:rPr>
                <w:b/>
                <w:bCs/>
                <w:color w:val="ffffff"/>
                <w:sz w:val="18"/>
                <w:szCs w:val="18"/>
              </w:rPr>
              <w:t xml:space="preserve">Riesgo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952" w:type="dxa"/>
          </w:tcPr>
          <w:p w14:paraId="120DCE94" w14:textId="77777777">
            <w:pPr>
              <w:pBdr/>
              <w:spacing w:line="252" w:lineRule="auto"/>
              <w:ind/>
              <w:rPr/>
            </w:pPr>
            <w:r>
              <w:rPr>
                <w:b/>
                <w:bCs/>
                <w:color w:val="ffffff"/>
                <w:sz w:val="18"/>
                <w:szCs w:val="18"/>
              </w:rPr>
              <w:t xml:space="preserve">Mitigación</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00" w:type="dxa"/>
          </w:tcPr>
          <w:p w14:paraId="33795E2E" w14:textId="77777777">
            <w:pPr>
              <w:pBdr/>
              <w:spacing w:line="252" w:lineRule="auto"/>
              <w:ind/>
              <w:rPr/>
            </w:pPr>
            <w:r>
              <w:rPr>
                <w:sz w:val="18"/>
                <w:szCs w:val="18"/>
              </w:rPr>
              <w:t xml:space="preserve">Competidores copian el plantín</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952" w:type="dxa"/>
          </w:tcPr>
          <w:p w14:paraId="521EDC75" w14:textId="77777777">
            <w:pPr>
              <w:pBdr/>
              <w:spacing w:line="252" w:lineRule="auto"/>
              <w:ind/>
              <w:rPr/>
            </w:pPr>
            <w:r>
              <w:rPr>
                <w:sz w:val="18"/>
                <w:szCs w:val="18"/>
              </w:rPr>
              <w:t xml:space="preserve">Diferenciar con la Fase 2: diagnóstico, tratamiento y datos regionales.</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00" w:type="dxa"/>
          </w:tcPr>
          <w:p w14:paraId="5F506C63" w14:textId="77777777">
            <w:pPr>
              <w:pBdr/>
              <w:spacing w:line="252" w:lineRule="auto"/>
              <w:ind/>
              <w:rPr/>
            </w:pPr>
            <w:r>
              <w:rPr>
                <w:sz w:val="18"/>
                <w:szCs w:val="18"/>
              </w:rPr>
              <w:t xml:space="preserve">Ninguna mezcla de orujo mejora el resultado</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952" w:type="dxa"/>
          </w:tcPr>
          <w:p w14:paraId="2B5B0475" w14:textId="77777777">
            <w:pPr>
              <w:pBdr/>
              <w:spacing w:line="252" w:lineRule="auto"/>
              <w:ind/>
              <w:rPr/>
            </w:pPr>
            <w:r>
              <w:rPr>
                <w:sz w:val="18"/>
                <w:szCs w:val="18"/>
              </w:rPr>
              <w:t xml:space="preserve">Continuar con </w:t>
            </w:r>
            <w:r>
              <w:rPr>
                <w:sz w:val="18"/>
                <w:szCs w:val="18"/>
              </w:rPr>
              <w:t xml:space="preserve">biosolarización</w:t>
            </w:r>
            <w:r>
              <w:rPr>
                <w:sz w:val="18"/>
                <w:szCs w:val="18"/>
              </w:rPr>
              <w:t xml:space="preserve"> de referencia o sólo con la Fase 1.</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00" w:type="dxa"/>
          </w:tcPr>
          <w:p w14:paraId="2D7EDDA5" w14:textId="77777777">
            <w:pPr>
              <w:pBdr/>
              <w:spacing w:line="252" w:lineRule="auto"/>
              <w:ind/>
              <w:rPr/>
            </w:pPr>
            <w:r>
              <w:rPr>
                <w:sz w:val="18"/>
                <w:szCs w:val="18"/>
              </w:rPr>
              <w:t xml:space="preserve">Suministro o estacionalidad del orujo</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952" w:type="dxa"/>
          </w:tcPr>
          <w:p w14:paraId="7709D955" w14:textId="77777777">
            <w:pPr>
              <w:pBdr/>
              <w:spacing w:line="252" w:lineRule="auto"/>
              <w:ind/>
              <w:rPr/>
            </w:pPr>
            <w:r>
              <w:rPr>
                <w:sz w:val="18"/>
                <w:szCs w:val="18"/>
              </w:rPr>
              <w:t xml:space="preserve">Convenios anticipados, pruebas de conservación y proveedores alternativos.</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00" w:type="dxa"/>
          </w:tcPr>
          <w:p w14:paraId="652386EF" w14:textId="77777777">
            <w:pPr>
              <w:pBdr/>
              <w:spacing w:line="252" w:lineRule="auto"/>
              <w:ind/>
              <w:rPr/>
            </w:pPr>
            <w:r>
              <w:rPr>
                <w:sz w:val="18"/>
                <w:szCs w:val="18"/>
              </w:rPr>
              <w:t xml:space="preserve">Prendimiento bajo o descarte alto</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952" w:type="dxa"/>
          </w:tcPr>
          <w:p w14:paraId="1EFC622E" w14:textId="77777777">
            <w:pPr>
              <w:pBdr/>
              <w:spacing w:line="252" w:lineRule="auto"/>
              <w:ind/>
              <w:rPr/>
            </w:pPr>
            <w:r>
              <w:rPr>
                <w:sz w:val="18"/>
                <w:szCs w:val="18"/>
              </w:rPr>
              <w:t xml:space="preserve">Producción contra pedido, entrenamiento y lotes internos previos.</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800" w:type="dxa"/>
          </w:tcPr>
          <w:p w14:paraId="25303477" w14:textId="77777777">
            <w:pPr>
              <w:pBdr/>
              <w:spacing w:line="252" w:lineRule="auto"/>
              <w:ind/>
              <w:rPr/>
            </w:pPr>
            <w:r>
              <w:rPr>
                <w:sz w:val="18"/>
                <w:szCs w:val="18"/>
              </w:rPr>
              <w:t xml:space="preserve">Demanda insuficiente</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952" w:type="dxa"/>
          </w:tcPr>
          <w:p w14:paraId="455990AC" w14:textId="77777777">
            <w:pPr>
              <w:pBdr/>
              <w:spacing w:line="252" w:lineRule="auto"/>
              <w:ind/>
              <w:rPr/>
            </w:pPr>
            <w:r>
              <w:rPr>
                <w:sz w:val="18"/>
                <w:szCs w:val="18"/>
              </w:rPr>
              <w:t xml:space="preserve">Preventa y parcelas demostrativas con testigo.</w:t>
            </w:r>
            <w:r/>
          </w:p>
        </w:tc>
      </w:tr>
    </w:tbl>
    <w:p w14:paraId="365E1382" w14:textId="77777777">
      <w:pPr>
        <w:pBdr/>
        <w:spacing w:after="60"/>
        <w:ind/>
        <w:rPr/>
      </w:pPr>
      <w:r/>
      <w:r/>
    </w:p>
    <w:tbl>
      <w:tblPr>
        <w:tblStyle w:val="831"/>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00"/>
        <w:gridCol w:w="5252"/>
        <w:gridCol w:w="3000"/>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500" w:type="dxa"/>
          </w:tcPr>
          <w:p w14:paraId="521F2476" w14:textId="77777777">
            <w:pPr>
              <w:pBdr/>
              <w:spacing w:line="252" w:lineRule="auto"/>
              <w:ind/>
              <w:rPr/>
            </w:pPr>
            <w:r>
              <w:rPr>
                <w:b/>
                <w:bCs/>
                <w:color w:val="ffffff"/>
                <w:sz w:val="18"/>
                <w:szCs w:val="18"/>
              </w:rPr>
              <w:t xml:space="preserve">Período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252" w:type="dxa"/>
          </w:tcPr>
          <w:p w14:paraId="0FC6B297" w14:textId="77777777">
            <w:pPr>
              <w:pBdr/>
              <w:spacing w:line="252" w:lineRule="auto"/>
              <w:ind/>
              <w:rPr/>
            </w:pPr>
            <w:r>
              <w:rPr>
                <w:b/>
                <w:bCs/>
                <w:color w:val="ffffff"/>
                <w:sz w:val="18"/>
                <w:szCs w:val="18"/>
              </w:rPr>
              <w:t xml:space="preserve">Acción</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000" w:type="dxa"/>
          </w:tcPr>
          <w:p w14:paraId="54BDF7A9" w14:textId="77777777">
            <w:pPr>
              <w:pBdr/>
              <w:spacing w:line="252" w:lineRule="auto"/>
              <w:ind/>
              <w:rPr/>
            </w:pPr>
            <w:r>
              <w:rPr>
                <w:b/>
                <w:bCs/>
                <w:color w:val="ffffff"/>
                <w:sz w:val="18"/>
                <w:szCs w:val="18"/>
              </w:rPr>
              <w:t xml:space="preserve">Condición de avance</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500" w:type="dxa"/>
          </w:tcPr>
          <w:p w14:paraId="37B62E58" w14:textId="77777777">
            <w:pPr>
              <w:pBdr/>
              <w:spacing w:line="252" w:lineRule="auto"/>
              <w:ind/>
              <w:rPr/>
            </w:pPr>
            <w:r>
              <w:rPr>
                <w:sz w:val="17"/>
                <w:szCs w:val="18"/>
              </w:rPr>
              <w:t xml:space="preserve">0–2 meses</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252" w:type="dxa"/>
          </w:tcPr>
          <w:p w14:paraId="631CB936" w14:textId="77777777">
            <w:pPr>
              <w:pBdr/>
              <w:spacing/>
              <w:ind/>
              <w:rPr/>
            </w:pPr>
            <w:r>
              <w:rPr>
                <w:sz w:val="17"/>
              </w:rPr>
              <w:t xml:space="preserve">Ejecución de inversión inicial de 14 millones de pesos; auditar capacidad de VFW; convenios con sidrera y bodega para acopio y ensilado en silo bolsa; preventa comercial superando el punto de equilibrio (7.040 plantines).</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000" w:type="dxa"/>
          </w:tcPr>
          <w:p w14:paraId="5FFA4540" w14:textId="77777777">
            <w:pPr>
              <w:pBdr/>
              <w:spacing/>
              <w:ind/>
              <w:rPr/>
            </w:pPr>
            <w:r>
              <w:rPr>
                <w:sz w:val="17"/>
              </w:rPr>
              <w:t xml:space="preserve">Cámara instalada, orujo ensilado y preventa confirmada igual o mayor a 7.040 plantines.</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500" w:type="dxa"/>
          </w:tcPr>
          <w:p w14:paraId="64F820CC" w14:textId="77777777">
            <w:pPr>
              <w:pBdr/>
              <w:spacing w:line="252" w:lineRule="auto"/>
              <w:ind/>
              <w:rPr/>
            </w:pPr>
            <w:r>
              <w:rPr>
                <w:sz w:val="18"/>
                <w:szCs w:val="18"/>
              </w:rPr>
              <w:t xml:space="preserve">3–5 meses</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252" w:type="dxa"/>
          </w:tcPr>
          <w:p w14:paraId="1E0F273A" w14:textId="77777777">
            <w:pPr>
              <w:pBdr/>
              <w:spacing w:line="252" w:lineRule="auto"/>
              <w:ind/>
              <w:rPr/>
            </w:pPr>
            <w:r>
              <w:rPr>
                <w:sz w:val="18"/>
                <w:szCs w:val="18"/>
              </w:rPr>
              <w:t xml:space="preserve">Capacitar al equipo y producir lotes internos de tomate; diagnosticar suelos de productores demostradores; caracterizar los orujos.</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000" w:type="dxa"/>
          </w:tcPr>
          <w:p w14:paraId="46608BE0" w14:textId="77777777">
            <w:pPr>
              <w:pBdr/>
              <w:spacing w:line="252" w:lineRule="auto"/>
              <w:ind/>
              <w:rPr/>
            </w:pPr>
            <w:r>
              <w:rPr>
                <w:sz w:val="18"/>
                <w:szCs w:val="18"/>
              </w:rPr>
              <w:t xml:space="preserve">Prendimiento y descarte repetibles.</w:t>
            </w:r>
            <w:r/>
          </w:p>
        </w:tc>
      </w:tr>
      <w:tr>
        <w:trPr>
          <w:cantSplit/>
        </w:trPr>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500" w:type="dxa"/>
          </w:tcPr>
          <w:p w14:paraId="1B995928" w14:textId="77777777">
            <w:pPr>
              <w:pBdr/>
              <w:spacing w:line="252" w:lineRule="auto"/>
              <w:ind/>
              <w:rPr/>
            </w:pPr>
            <w:r>
              <w:rPr>
                <w:sz w:val="18"/>
                <w:szCs w:val="18"/>
              </w:rPr>
              <w:t xml:space="preserve">6–12 meses</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252" w:type="dxa"/>
          </w:tcPr>
          <w:p w14:paraId="64FE0F66" w14:textId="77777777">
            <w:pPr>
              <w:pBdr/>
              <w:spacing w:line="252" w:lineRule="auto"/>
              <w:ind/>
              <w:rPr/>
            </w:pPr>
            <w:r>
              <w:rPr>
                <w:sz w:val="18"/>
                <w:szCs w:val="18"/>
              </w:rPr>
              <w:t xml:space="preserve">Primeras ventas de plantines (Fase 1) y piloto de mezclas T0–T6 en la ventana cálida (Fase 2).</w:t>
            </w:r>
            <w:r/>
          </w:p>
        </w:tc>
        <w:tc>
          <w:tcPr>
            <w:shd w:val="clear" w:color="auto" w:fill="fafbfb"/>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000" w:type="dxa"/>
          </w:tcPr>
          <w:p w14:paraId="01A1A66B" w14:textId="77777777">
            <w:pPr>
              <w:pBdr/>
              <w:spacing w:line="252" w:lineRule="auto"/>
              <w:ind/>
              <w:rPr/>
            </w:pPr>
            <w:r>
              <w:rPr>
                <w:sz w:val="18"/>
                <w:szCs w:val="18"/>
              </w:rPr>
              <w:t xml:space="preserve">Primera recompra y mezcla con mejor resultado identificada.</w:t>
            </w:r>
            <w:r/>
          </w:p>
        </w:tc>
      </w:tr>
      <w:tr>
        <w:trPr>
          <w:cantSplit/>
        </w:trPr>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1500" w:type="dxa"/>
          </w:tcPr>
          <w:p w14:paraId="33DD13A2" w14:textId="77777777">
            <w:pPr>
              <w:pBdr/>
              <w:spacing w:line="252" w:lineRule="auto"/>
              <w:ind/>
              <w:rPr/>
            </w:pPr>
            <w:r>
              <w:rPr>
                <w:sz w:val="18"/>
                <w:szCs w:val="18"/>
              </w:rPr>
              <w:t xml:space="preserve">Año 2</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5252" w:type="dxa"/>
          </w:tcPr>
          <w:p w14:paraId="4346FC57" w14:textId="77777777">
            <w:pPr>
              <w:pBdr/>
              <w:spacing w:line="252" w:lineRule="auto"/>
              <w:ind/>
              <w:rPr/>
            </w:pPr>
            <w:r>
              <w:rPr>
                <w:sz w:val="18"/>
                <w:szCs w:val="18"/>
              </w:rPr>
              <w:t xml:space="preserve">Ampliar el catálogo a morrón y berenjena y ofrecer la Fase 2 como servicio con la matriz de recomendación.</w:t>
            </w:r>
            <w:r/>
          </w:p>
        </w:tc>
        <w:tc>
          <w:tcPr>
            <w:shd w:val="clear" w:color="auto" w:fill="f4f7f6"/>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000" w:type="dxa"/>
          </w:tcPr>
          <w:p w14:paraId="154B6692" w14:textId="77777777">
            <w:pPr>
              <w:pBdr/>
              <w:spacing w:line="252" w:lineRule="auto"/>
              <w:ind/>
              <w:rPr/>
            </w:pPr>
            <w:r>
              <w:rPr>
                <w:sz w:val="18"/>
                <w:szCs w:val="18"/>
              </w:rPr>
              <w:t xml:space="preserve">Escala sostenible.</w:t>
            </w:r>
            <w:r/>
          </w:p>
        </w:tc>
      </w:tr>
    </w:tbl>
    <w:p w14:paraId="13CDA347" w14:textId="77777777">
      <w:pPr>
        <w:pBdr/>
        <w:spacing w:after="60"/>
        <w:ind/>
        <w:rPr/>
      </w:pPr>
      <w:r/>
      <w:r/>
    </w:p>
    <w:tbl>
      <w:tblPr>
        <w:tblStyle w:val="832"/>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52"/>
      </w:tblGrid>
      <w:tr>
        <w:trPr>
          <w:cantSplit/>
          <w:tblHeader/>
        </w:trPr>
        <w:tc>
          <w:tcPr>
            <w:shd w:val="clear" w:color="auto" w:fill="e8f3ef"/>
            <w:tcBorders>
              <w:top w:val="none" w:color="000000" w:sz="4" w:space="0"/>
              <w:left w:val="single" w:color="1f6f63" w:sz="24" w:space="0"/>
              <w:bottom w:val="none" w:color="000000" w:sz="4" w:space="0"/>
              <w:right w:val="none" w:color="000000" w:sz="4" w:space="0"/>
            </w:tcBorders>
            <w:tcMar>
              <w:left w:w="200" w:type="dxa"/>
              <w:top w:w="140" w:type="dxa"/>
              <w:right w:w="200" w:type="dxa"/>
              <w:bottom w:w="140" w:type="dxa"/>
            </w:tcMar>
            <w:tcW w:w="9752" w:type="dxa"/>
          </w:tcPr>
          <w:p w14:paraId="52FD8DBE" w14:textId="77777777">
            <w:pPr>
              <w:pBdr/>
              <w:spacing w:line="264" w:lineRule="auto"/>
              <w:ind/>
              <w:rPr/>
            </w:pPr>
            <w:r>
              <w:rPr>
                <w:b/>
                <w:bCs/>
                <w:color w:val="1f2a26"/>
                <w:sz w:val="20"/>
                <w:szCs w:val="20"/>
              </w:rPr>
              <w:t xml:space="preserve">Criterio final: el proyecto se conv</w:t>
            </w:r>
            <w:r>
              <w:rPr>
                <w:b/>
                <w:bCs/>
                <w:color w:val="1f2a26"/>
                <w:sz w:val="20"/>
                <w:szCs w:val="20"/>
              </w:rPr>
              <w:t xml:space="preserve">ierte en negocio validado cuando (1) productores reservan y recompran plantines, (2) VFW logra un proceso de injerto estable y trazable y (3) el tratamiento del suelo muestra una mejora medible frente al testigo, con una mezcla de orujo de costo aceptable.</w:t>
            </w:r>
            <w:r/>
          </w:p>
        </w:tc>
      </w:tr>
    </w:tbl>
    <w:p w14:paraId="2B804CD1" w14:textId="77777777">
      <w:pPr>
        <w:pStyle w:val="796"/>
        <w:keepNext w:val="true"/>
        <w:pBdr/>
        <w:spacing/>
        <w:ind/>
        <w:rPr/>
      </w:pPr>
      <w:r>
        <w:t xml:space="preserve">13. Conclusión</w:t>
      </w:r>
      <w:r/>
    </w:p>
    <w:p w14:paraId="53AE7808" w14:textId="77777777">
      <w:pPr>
        <w:pStyle w:val="838"/>
        <w:pBdr/>
        <w:spacing/>
        <w:ind/>
        <w:rPr>
          <w:rFonts w:asciiTheme="majorHAnsi" w:hAnsiTheme="majorHAnsi" w:cstheme="majorHAnsi"/>
          <w:sz w:val="21"/>
          <w:szCs w:val="21"/>
        </w:rPr>
      </w:pPr>
      <w:r>
        <w:rPr>
          <w:rFonts w:asciiTheme="majorHAnsi" w:hAnsiTheme="majorHAnsi" w:cstheme="majorHAnsi"/>
          <w:sz w:val="21"/>
          <w:szCs w:val="21"/>
        </w:rPr>
        <w:t xml:space="preserve">El proyecto propone que VFW incorpore una línea d</w:t>
      </w:r>
      <w:r>
        <w:rPr>
          <w:rFonts w:asciiTheme="majorHAnsi" w:hAnsiTheme="majorHAnsi" w:cstheme="majorHAnsi"/>
          <w:sz w:val="21"/>
          <w:szCs w:val="21"/>
        </w:rPr>
        <w:t xml:space="preserve">e plantines hortícolas injertados, con tomate como producto tractor, y que la complemente en una segunda fase con diagnóstico y tratamiento del suelo antes del trasplante. Parte de un problema documentado en la región, la presencia de nematodos del género </w:t>
      </w:r>
      <w:r>
        <w:rPr>
          <w:rFonts w:asciiTheme="majorHAnsi" w:hAnsiTheme="majorHAnsi" w:cstheme="majorHAnsi"/>
          <w:sz w:val="21"/>
          <w:szCs w:val="21"/>
        </w:rPr>
        <w:t xml:space="preserve">Meloidogyne</w:t>
      </w:r>
      <w:r>
        <w:rPr>
          <w:rFonts w:asciiTheme="majorHAnsi" w:hAnsiTheme="majorHAnsi" w:cstheme="majorHAnsi"/>
          <w:sz w:val="21"/>
          <w:szCs w:val="21"/>
        </w:rPr>
        <w:t xml:space="preserve"> en invernaderos de Río Negro, y de una base productiva comprobada de más de 100 hectáreas bajo cubierta. El injerto mejora el vigor de la </w:t>
      </w:r>
      <w:r>
        <w:rPr>
          <w:rFonts w:asciiTheme="majorHAnsi" w:hAnsiTheme="majorHAnsi" w:cstheme="majorHAnsi"/>
          <w:sz w:val="21"/>
          <w:szCs w:val="21"/>
        </w:rPr>
        <w:t xml:space="preserve">planta</w:t>
      </w:r>
      <w:r>
        <w:rPr>
          <w:rFonts w:asciiTheme="majorHAnsi" w:hAnsiTheme="majorHAnsi" w:cstheme="majorHAnsi"/>
          <w:sz w:val="21"/>
          <w:szCs w:val="21"/>
        </w:rPr>
        <w:t xml:space="preserve"> pero no elimina el inóculo del suelo, por lo que ofrecer «suelo diagnosticado + plantín adecuado + tratamiento + seguimiento» en un solo proveedor regional responde a una necesidad concreta y a una oferta que hoy no existe en Patagonia Norte.</w:t>
      </w:r>
      <w:r>
        <w:rPr>
          <w:rFonts w:asciiTheme="majorHAnsi" w:hAnsiTheme="majorHAnsi" w:cstheme="majorHAnsi"/>
          <w:sz w:val="21"/>
          <w:szCs w:val="21"/>
        </w:rPr>
      </w:r>
    </w:p>
    <w:p w14:paraId="673FB813" w14:textId="77777777">
      <w:pPr>
        <w:pStyle w:val="838"/>
        <w:pBdr/>
        <w:spacing/>
        <w:ind/>
        <w:rPr>
          <w:rFonts w:asciiTheme="majorHAnsi" w:hAnsiTheme="majorHAnsi" w:cstheme="majorHAnsi"/>
          <w:sz w:val="21"/>
          <w:szCs w:val="21"/>
        </w:rPr>
      </w:pPr>
      <w:r>
        <w:rPr>
          <w:rFonts w:asciiTheme="majorHAnsi" w:hAnsiTheme="majorHAnsi" w:cstheme="majorHAnsi"/>
          <w:sz w:val="21"/>
          <w:szCs w:val="21"/>
        </w:rPr>
        <w:t xml:space="preserve">La evaluación económica preliminar es favorable. Con una inversión inicial de $ 14.000.000 en activos específicos (cámara de ci</w:t>
      </w:r>
      <w:r>
        <w:rPr>
          <w:rFonts w:asciiTheme="majorHAnsi" w:hAnsiTheme="majorHAnsi" w:cstheme="majorHAnsi"/>
          <w:sz w:val="21"/>
          <w:szCs w:val="21"/>
        </w:rPr>
        <w:t xml:space="preserve">catrización, puesto de injerto, instrumental y capacitación), un costo variable de $ 750 por plantín vendible y un precio de lanzamiento de $ 2.000, el margen de contribución es de $ 1.250 por unidad (62,5 % del precio). Los costos fijos anuales de $ 8.800</w:t>
      </w:r>
      <w:r>
        <w:rPr>
          <w:rFonts w:asciiTheme="majorHAnsi" w:hAnsiTheme="majorHAnsi" w:cstheme="majorHAnsi"/>
          <w:sz w:val="21"/>
          <w:szCs w:val="21"/>
        </w:rPr>
        <w:t xml:space="preserve">.000 se cubren con 7.040 plantines, el 35,2 % de la meta del primer año. La regla de exigir al menos un 60 % de reservas antes de sembrar (12.000 unidades, el 170 % del punto de equilibrio) apunta a que la línea opere en zona de rentabilidad antes de compr</w:t>
      </w:r>
      <w:r>
        <w:rPr>
          <w:rFonts w:asciiTheme="majorHAnsi" w:hAnsiTheme="majorHAnsi" w:cstheme="majorHAnsi"/>
          <w:sz w:val="21"/>
          <w:szCs w:val="21"/>
        </w:rPr>
        <w:t xml:space="preserve">ometer los costos variables. Para el productor, la conducción a dos guías reduce a la mitad la densidad de plantación y neutraliza el mayor precio del plantín injertado, y el mayor rendimiento esperado en suelos infestados mejora su resultado desde el prim</w:t>
      </w:r>
      <w:r>
        <w:rPr>
          <w:rFonts w:asciiTheme="majorHAnsi" w:hAnsiTheme="majorHAnsi" w:cstheme="majorHAnsi"/>
          <w:sz w:val="21"/>
          <w:szCs w:val="21"/>
        </w:rPr>
        <w:t xml:space="preserve">er ciclo. En la Fase 2, el ensilado anaeróbico del orujo en silo bolsa resuelve el desfase entre la cosecha de manzana y uva y las ventanas de alta radiación, y el diseño piloto T0–T6 permite determinar qué mezcla funciona mejor en los suelos de la región.</w:t>
      </w:r>
      <w:r>
        <w:rPr>
          <w:rFonts w:asciiTheme="majorHAnsi" w:hAnsiTheme="majorHAnsi" w:cstheme="majorHAnsi"/>
          <w:sz w:val="21"/>
          <w:szCs w:val="21"/>
        </w:rPr>
      </w:r>
    </w:p>
    <w:p w14:paraId="1285A3B2" w14:textId="77777777">
      <w:pPr>
        <w:pStyle w:val="838"/>
        <w:pBdr/>
        <w:spacing/>
        <w:ind/>
        <w:rPr>
          <w:rFonts w:asciiTheme="majorHAnsi" w:hAnsiTheme="majorHAnsi" w:cstheme="majorHAnsi"/>
          <w:sz w:val="21"/>
          <w:szCs w:val="21"/>
        </w:rPr>
      </w:pPr>
      <w:r>
        <w:rPr>
          <w:rFonts w:asciiTheme="majorHAnsi" w:hAnsiTheme="majorHAnsi" w:cstheme="majorHAnsi"/>
          <w:sz w:val="21"/>
          <w:szCs w:val="21"/>
        </w:rPr>
        <w:t xml:space="preserve">Estos resultados son hipótesis de trabajo y no rentabilidad demostrada. Los precios son de lanzamiento y deben contrastarse con al menos tres cotizaciones de injertados puestos en Allen. El costo por planta vendible debe medirse</w:t>
      </w:r>
      <w:r>
        <w:rPr>
          <w:rFonts w:asciiTheme="majorHAnsi" w:hAnsiTheme="majorHAnsi" w:cstheme="majorHAnsi"/>
          <w:sz w:val="21"/>
          <w:szCs w:val="21"/>
        </w:rPr>
        <w:t xml:space="preserve"> con lotes piloto, y la capacidad ociosa de VFW debe auditarse antes de invertir. La adopción del injerto y la demanda específica solo se conocerán a través de la preventa. La eficacia y el costo del tratamiento con orujo para Patagonia Norte dependen del </w:t>
      </w:r>
      <w:r>
        <w:rPr>
          <w:rFonts w:asciiTheme="majorHAnsi" w:hAnsiTheme="majorHAnsi" w:cstheme="majorHAnsi"/>
          <w:sz w:val="21"/>
          <w:szCs w:val="21"/>
        </w:rPr>
        <w:t xml:space="preserve">piloto, y la Fase 2 no se contabilizará como ingreso recurrente hasta que ese piloto dé resultados repetibles. Por eso el plan escala por etapas (20.000, 40.000 y 60.000 plantines) y solo avanza con reservas, recompra, proceso estable y costos controlados.</w:t>
      </w:r>
      <w:r>
        <w:rPr>
          <w:rFonts w:asciiTheme="majorHAnsi" w:hAnsiTheme="majorHAnsi" w:cstheme="majorHAnsi"/>
          <w:sz w:val="21"/>
          <w:szCs w:val="21"/>
        </w:rPr>
      </w:r>
    </w:p>
    <w:p w14:paraId="2BE5A1A2" w14:textId="77777777">
      <w:pPr>
        <w:pStyle w:val="838"/>
        <w:pBdr/>
        <w:spacing/>
        <w:ind/>
        <w:rPr>
          <w:sz w:val="21"/>
          <w:szCs w:val="21"/>
        </w:rPr>
      </w:pPr>
      <w:r>
        <w:rPr>
          <w:rFonts w:asciiTheme="majorHAnsi" w:hAnsiTheme="majorHAnsi" w:cstheme="majorHAnsi"/>
          <w:sz w:val="21"/>
          <w:szCs w:val="21"/>
        </w:rPr>
        <w:t xml:space="preserve">En síntesis, el proyecto es técnicamente razonable y económicamente prometedor, y su</w:t>
      </w:r>
      <w:r>
        <w:rPr>
          <w:rFonts w:asciiTheme="majorHAnsi" w:hAnsiTheme="majorHAnsi" w:cstheme="majorHAnsi"/>
          <w:sz w:val="21"/>
          <w:szCs w:val="21"/>
        </w:rPr>
        <w:t xml:space="preserve"> ventaja competitiva no está en el plantín, que es replicable, sino en el conocimiento acumulado sobre suelos, mezclas y resultados regionales. Se convertirá en un negocio validado cuando los productores reserven y recompren plantines, VFW logre un proceso</w:t>
      </w:r>
      <w:r>
        <w:rPr>
          <w:rFonts w:asciiTheme="majorHAnsi" w:hAnsiTheme="majorHAnsi" w:cstheme="majorHAnsi"/>
          <w:sz w:val="21"/>
          <w:szCs w:val="21"/>
        </w:rPr>
        <w:t xml:space="preserve"> de injerto estable y trazable, y el tratamiento del suelo muestre una mejora medible frente al testigo con un costo aceptable. Mientras tanto, VFW arriesga una inversión acotada y modular, apoyada en infraestructura y relaciones comerciales ya existentes.</w:t>
      </w:r>
      <w:r>
        <w:rPr>
          <w:sz w:val="21"/>
          <w:szCs w:val="21"/>
        </w:rPr>
      </w:r>
    </w:p>
    <w:p w14:paraId="3780F083" w14:textId="77777777">
      <w:pPr>
        <w:pBdr/>
        <w:spacing/>
        <w:ind/>
        <w:rPr>
          <w:b/>
          <w:bCs/>
          <w:color w:val="164e4a"/>
          <w:sz w:val="30"/>
          <w:szCs w:val="30"/>
        </w:rPr>
      </w:pPr>
      <w:r>
        <w:br w:type="page" w:clear="all"/>
      </w:r>
      <w:r>
        <w:rPr>
          <w:b/>
          <w:bCs/>
          <w:color w:val="164e4a"/>
          <w:sz w:val="30"/>
          <w:szCs w:val="30"/>
        </w:rPr>
      </w:r>
    </w:p>
    <w:p w14:paraId="23AD828A" w14:textId="6051A702">
      <w:pPr>
        <w:pStyle w:val="796"/>
        <w:keepNext w:val="true"/>
        <w:pBdr/>
        <w:spacing/>
        <w:ind/>
        <w:rPr/>
      </w:pPr>
      <w:r>
        <w:t xml:space="preserve">Anexo A. Detalle de datos y supuestos</w:t>
      </w:r>
      <w:r/>
    </w:p>
    <w:p w14:paraId="5275BBE7" w14:textId="77777777">
      <w:pPr>
        <w:pStyle w:val="797"/>
        <w:keepNext w:val="true"/>
        <w:pBdr/>
        <w:spacing/>
        <w:ind/>
        <w:rPr/>
      </w:pPr>
      <w:r>
        <w:t xml:space="preserve">A.1 Mercado observable y límites de la estimación</w:t>
      </w:r>
      <w:r/>
    </w:p>
    <w:tbl>
      <w:tblPr>
        <w:tblStyle w:val="833"/>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100"/>
        <w:gridCol w:w="2800"/>
        <w:gridCol w:w="28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100" w:type="dxa"/>
          </w:tcPr>
          <w:p w14:paraId="09B6699C" w14:textId="77777777">
            <w:pPr>
              <w:pBdr/>
              <w:spacing/>
              <w:ind/>
              <w:rPr/>
            </w:pPr>
            <w:r>
              <w:rPr>
                <w:b/>
                <w:bCs/>
                <w:color w:val="ffffff"/>
                <w:sz w:val="17"/>
                <w:szCs w:val="17"/>
              </w:rPr>
              <w:t xml:space="preserve">Dato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800" w:type="dxa"/>
          </w:tcPr>
          <w:p w14:paraId="35FE2D3C" w14:textId="77777777">
            <w:pPr>
              <w:pBdr/>
              <w:spacing/>
              <w:ind/>
              <w:rPr/>
            </w:pPr>
            <w:r>
              <w:rPr>
                <w:b/>
                <w:bCs/>
                <w:color w:val="ffffff"/>
                <w:sz w:val="17"/>
                <w:szCs w:val="17"/>
              </w:rPr>
              <w:t xml:space="preserve">Valor / fuente</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852" w:type="dxa"/>
          </w:tcPr>
          <w:p w14:paraId="731A2D09" w14:textId="77777777">
            <w:pPr>
              <w:pBdr/>
              <w:spacing/>
              <w:ind/>
              <w:rPr/>
            </w:pPr>
            <w:r>
              <w:rPr>
                <w:b/>
                <w:bCs/>
                <w:color w:val="ffffff"/>
                <w:sz w:val="17"/>
                <w:szCs w:val="17"/>
              </w:rPr>
              <w:t xml:space="preserve">Uso y límite</w:t>
            </w:r>
            <w:r/>
          </w:p>
        </w:tc>
      </w:tr>
      <w:tr>
        <w:trPr>
          <w:cantSplit/>
        </w:trPr>
        <w:tc>
          <w:tcPr>
            <w:tcBorders/>
            <w:tcW w:w="4100" w:type="dxa"/>
          </w:tcPr>
          <w:p w14:paraId="56B63940" w14:textId="77777777">
            <w:pPr>
              <w:pBdr/>
              <w:spacing/>
              <w:ind/>
              <w:rPr/>
            </w:pPr>
            <w:r>
              <w:rPr>
                <w:sz w:val="17"/>
                <w:szCs w:val="17"/>
              </w:rPr>
              <w:t xml:space="preserve">Horticultura bajo cubierta en Río Negro</w:t>
            </w:r>
            <w:r/>
          </w:p>
        </w:tc>
        <w:tc>
          <w:tcPr>
            <w:tcBorders/>
            <w:tcW w:w="2800" w:type="dxa"/>
          </w:tcPr>
          <w:p w14:paraId="27BF3CCB" w14:textId="77777777">
            <w:pPr>
              <w:pBdr/>
              <w:spacing/>
              <w:ind/>
              <w:rPr/>
            </w:pPr>
            <w:r>
              <w:rPr>
                <w:sz w:val="17"/>
                <w:szCs w:val="17"/>
              </w:rPr>
              <w:t xml:space="preserve">&gt; 100 ha [S1]</w:t>
            </w:r>
            <w:r/>
          </w:p>
        </w:tc>
        <w:tc>
          <w:tcPr>
            <w:tcBorders/>
            <w:tcW w:w="2852" w:type="dxa"/>
          </w:tcPr>
          <w:p w14:paraId="6E8C0AD7" w14:textId="77777777">
            <w:pPr>
              <w:pBdr/>
              <w:spacing/>
              <w:ind/>
              <w:rPr/>
            </w:pPr>
            <w:r>
              <w:rPr>
                <w:sz w:val="17"/>
                <w:szCs w:val="17"/>
              </w:rPr>
              <w:t xml:space="preserve">Base regional; incluye varios cultivos y zonas.</w:t>
            </w:r>
            <w:r/>
          </w:p>
        </w:tc>
      </w:tr>
      <w:tr>
        <w:trPr>
          <w:cantSplit/>
        </w:trPr>
        <w:tc>
          <w:tcPr>
            <w:tcBorders/>
            <w:tcW w:w="4100" w:type="dxa"/>
          </w:tcPr>
          <w:p w14:paraId="52F2DF7D" w14:textId="77777777">
            <w:pPr>
              <w:pBdr/>
              <w:spacing/>
              <w:ind/>
              <w:rPr/>
            </w:pPr>
            <w:r>
              <w:rPr>
                <w:sz w:val="17"/>
                <w:szCs w:val="17"/>
              </w:rPr>
              <w:t xml:space="preserve">Centenario + Vista Alegre bajo cubierta</w:t>
            </w:r>
            <w:r/>
          </w:p>
        </w:tc>
        <w:tc>
          <w:tcPr>
            <w:tcBorders/>
            <w:tcW w:w="2800" w:type="dxa"/>
          </w:tcPr>
          <w:p w14:paraId="4A749148" w14:textId="77777777">
            <w:pPr>
              <w:pBdr/>
              <w:spacing/>
              <w:ind/>
              <w:rPr/>
            </w:pPr>
            <w:r>
              <w:rPr>
                <w:sz w:val="17"/>
                <w:szCs w:val="17"/>
              </w:rPr>
              <w:t xml:space="preserve">51.200 m² (5,12 ha) [S29]</w:t>
            </w:r>
            <w:r/>
          </w:p>
        </w:tc>
        <w:tc>
          <w:tcPr>
            <w:tcBorders/>
            <w:tcW w:w="2852" w:type="dxa"/>
          </w:tcPr>
          <w:p w14:paraId="74F64CF2" w14:textId="77777777">
            <w:pPr>
              <w:pBdr/>
              <w:spacing/>
              <w:ind/>
              <w:rPr/>
            </w:pPr>
            <w:r>
              <w:rPr>
                <w:sz w:val="17"/>
                <w:szCs w:val="17"/>
              </w:rPr>
              <w:t xml:space="preserve">Polo neuquino relevante; no es toda la provincia.</w:t>
            </w:r>
            <w:r/>
          </w:p>
        </w:tc>
      </w:tr>
      <w:tr>
        <w:trPr>
          <w:cantSplit/>
        </w:trPr>
        <w:tc>
          <w:tcPr>
            <w:tcBorders/>
            <w:tcW w:w="4100" w:type="dxa"/>
          </w:tcPr>
          <w:p w14:paraId="2B6D11FF" w14:textId="77777777">
            <w:pPr>
              <w:pBdr/>
              <w:spacing/>
              <w:ind/>
              <w:rPr/>
            </w:pPr>
            <w:r>
              <w:rPr>
                <w:sz w:val="17"/>
                <w:szCs w:val="17"/>
              </w:rPr>
              <w:t xml:space="preserve">Peso productivo de esas localidades</w:t>
            </w:r>
            <w:r/>
          </w:p>
        </w:tc>
        <w:tc>
          <w:tcPr>
            <w:tcBorders/>
            <w:tcW w:w="2800" w:type="dxa"/>
          </w:tcPr>
          <w:p w14:paraId="12581DA2" w14:textId="77777777">
            <w:pPr>
              <w:pBdr/>
              <w:spacing/>
              <w:ind/>
              <w:rPr/>
            </w:pPr>
            <w:r>
              <w:rPr>
                <w:sz w:val="17"/>
                <w:szCs w:val="17"/>
              </w:rPr>
              <w:t xml:space="preserve">~54 % de la producción hortícola neuquina [S29]</w:t>
            </w:r>
            <w:r/>
          </w:p>
        </w:tc>
        <w:tc>
          <w:tcPr>
            <w:tcBorders/>
            <w:tcW w:w="2852" w:type="dxa"/>
          </w:tcPr>
          <w:p w14:paraId="597599F4" w14:textId="77777777">
            <w:pPr>
              <w:pBdr/>
              <w:spacing/>
              <w:ind/>
              <w:rPr/>
            </w:pPr>
            <w:r>
              <w:rPr>
                <w:sz w:val="17"/>
                <w:szCs w:val="17"/>
              </w:rPr>
              <w:t xml:space="preserve">Relevancia regional; no equivale a superficie protegida total.</w:t>
            </w:r>
            <w:r/>
          </w:p>
        </w:tc>
      </w:tr>
      <w:tr>
        <w:trPr>
          <w:cantSplit/>
        </w:trPr>
        <w:tc>
          <w:tcPr>
            <w:tcBorders/>
            <w:tcW w:w="4100" w:type="dxa"/>
          </w:tcPr>
          <w:p w14:paraId="0BCA98D0" w14:textId="77777777">
            <w:pPr>
              <w:pBdr/>
              <w:spacing/>
              <w:ind/>
              <w:rPr/>
            </w:pPr>
            <w:r>
              <w:rPr>
                <w:sz w:val="17"/>
                <w:szCs w:val="17"/>
              </w:rPr>
              <w:t xml:space="preserve">Adopción de injertos</w:t>
            </w:r>
            <w:r/>
          </w:p>
        </w:tc>
        <w:tc>
          <w:tcPr>
            <w:tcBorders/>
            <w:tcW w:w="2800" w:type="dxa"/>
          </w:tcPr>
          <w:p w14:paraId="76550979" w14:textId="77777777">
            <w:pPr>
              <w:pBdr/>
              <w:spacing/>
              <w:ind/>
              <w:rPr/>
            </w:pPr>
            <w:r>
              <w:rPr>
                <w:sz w:val="17"/>
                <w:szCs w:val="17"/>
              </w:rPr>
              <w:t xml:space="preserve">Sin dato público regional</w:t>
            </w:r>
            <w:r/>
          </w:p>
        </w:tc>
        <w:tc>
          <w:tcPr>
            <w:tcBorders/>
            <w:tcW w:w="2852" w:type="dxa"/>
          </w:tcPr>
          <w:p w14:paraId="375963B7" w14:textId="77777777">
            <w:pPr>
              <w:pBdr/>
              <w:spacing/>
              <w:ind/>
              <w:rPr/>
            </w:pPr>
            <w:r>
              <w:rPr>
                <w:sz w:val="17"/>
                <w:szCs w:val="17"/>
              </w:rPr>
              <w:t xml:space="preserve">Validar con reservas y cartera.</w:t>
            </w:r>
            <w:r/>
          </w:p>
        </w:tc>
      </w:tr>
      <w:tr>
        <w:trPr>
          <w:cantSplit/>
        </w:trPr>
        <w:tc>
          <w:tcPr>
            <w:tcBorders/>
            <w:tcW w:w="4100" w:type="dxa"/>
          </w:tcPr>
          <w:p w14:paraId="4022A9F7" w14:textId="77777777">
            <w:pPr>
              <w:pBdr/>
              <w:spacing/>
              <w:ind/>
              <w:rPr/>
            </w:pPr>
            <w:r>
              <w:rPr>
                <w:sz w:val="17"/>
                <w:szCs w:val="17"/>
              </w:rPr>
              <w:t xml:space="preserve">Participación esperada de VFW</w:t>
            </w:r>
            <w:r/>
          </w:p>
        </w:tc>
        <w:tc>
          <w:tcPr>
            <w:tcBorders/>
            <w:tcW w:w="2800" w:type="dxa"/>
          </w:tcPr>
          <w:p w14:paraId="0CDF47F8" w14:textId="77777777">
            <w:pPr>
              <w:pBdr/>
              <w:spacing/>
              <w:ind/>
              <w:rPr/>
            </w:pPr>
            <w:r>
              <w:rPr>
                <w:sz w:val="17"/>
                <w:szCs w:val="17"/>
              </w:rPr>
              <w:t xml:space="preserve">Sin dato observado</w:t>
            </w:r>
            <w:r/>
          </w:p>
        </w:tc>
        <w:tc>
          <w:tcPr>
            <w:tcBorders/>
            <w:tcW w:w="2852" w:type="dxa"/>
          </w:tcPr>
          <w:p w14:paraId="6CD8A366" w14:textId="77777777">
            <w:pPr>
              <w:pBdr/>
              <w:spacing/>
              <w:ind/>
              <w:rPr/>
            </w:pPr>
            <w:r>
              <w:rPr>
                <w:sz w:val="17"/>
                <w:szCs w:val="17"/>
              </w:rPr>
              <w:t xml:space="preserve">No usar como hecho; validar con ventas.</w:t>
            </w:r>
            <w:r/>
          </w:p>
        </w:tc>
      </w:tr>
    </w:tbl>
    <w:p w14:paraId="26582721" w14:textId="77777777">
      <w:pPr>
        <w:pBdr/>
        <w:spacing w:after="60"/>
        <w:ind/>
        <w:rPr/>
      </w:pPr>
      <w:r/>
      <w:r/>
    </w:p>
    <w:p w14:paraId="1EE1D855" w14:textId="77777777">
      <w:pPr>
        <w:pStyle w:val="797"/>
        <w:keepNext w:val="true"/>
        <w:pBdr/>
        <w:spacing/>
        <w:ind/>
        <w:rPr/>
      </w:pPr>
      <w:r>
        <w:t xml:space="preserve">A.2 Meta comercial y supuestos</w:t>
      </w:r>
      <w:r/>
    </w:p>
    <w:tbl>
      <w:tblPr>
        <w:tblStyle w:val="834"/>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100"/>
        <w:gridCol w:w="2800"/>
        <w:gridCol w:w="28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4100" w:type="dxa"/>
          </w:tcPr>
          <w:p w14:paraId="59350952" w14:textId="77777777">
            <w:pPr>
              <w:pBdr/>
              <w:spacing/>
              <w:ind/>
              <w:rPr/>
            </w:pPr>
            <w:r>
              <w:rPr>
                <w:b/>
                <w:bCs/>
                <w:color w:val="ffffff"/>
                <w:sz w:val="17"/>
                <w:szCs w:val="17"/>
              </w:rPr>
              <w:t xml:space="preserve">Variable</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800" w:type="dxa"/>
          </w:tcPr>
          <w:p w14:paraId="62B383D3" w14:textId="77777777">
            <w:pPr>
              <w:pBdr/>
              <w:spacing/>
              <w:ind/>
              <w:rPr/>
            </w:pPr>
            <w:r>
              <w:rPr>
                <w:b/>
                <w:bCs/>
                <w:color w:val="ffffff"/>
                <w:sz w:val="17"/>
                <w:szCs w:val="17"/>
              </w:rPr>
              <w:t xml:space="preserve">Valor de trabajo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852" w:type="dxa"/>
          </w:tcPr>
          <w:p w14:paraId="1BD52B38" w14:textId="77777777">
            <w:pPr>
              <w:pBdr/>
              <w:spacing/>
              <w:ind/>
              <w:rPr/>
            </w:pPr>
            <w:r>
              <w:rPr>
                <w:b/>
                <w:bCs/>
                <w:color w:val="ffffff"/>
                <w:sz w:val="17"/>
                <w:szCs w:val="17"/>
              </w:rPr>
              <w:t xml:space="preserve">Cómo se interpreta / valida</w:t>
            </w:r>
            <w:r/>
          </w:p>
        </w:tc>
      </w:tr>
      <w:tr>
        <w:trPr>
          <w:cantSplit/>
        </w:trPr>
        <w:tc>
          <w:tcPr>
            <w:tcBorders/>
            <w:tcW w:w="4100" w:type="dxa"/>
          </w:tcPr>
          <w:p w14:paraId="6354C859" w14:textId="77777777">
            <w:pPr>
              <w:pBdr/>
              <w:spacing/>
              <w:ind/>
              <w:rPr/>
            </w:pPr>
            <w:r>
              <w:rPr>
                <w:sz w:val="17"/>
                <w:szCs w:val="17"/>
              </w:rPr>
              <w:t xml:space="preserve">Meta año 1</w:t>
            </w:r>
            <w:r/>
          </w:p>
        </w:tc>
        <w:tc>
          <w:tcPr>
            <w:tcBorders/>
            <w:tcW w:w="2800" w:type="dxa"/>
          </w:tcPr>
          <w:p w14:paraId="4696E416" w14:textId="77777777">
            <w:pPr>
              <w:pBdr/>
              <w:spacing/>
              <w:ind/>
              <w:rPr/>
            </w:pPr>
            <w:r>
              <w:rPr>
                <w:sz w:val="17"/>
                <w:szCs w:val="17"/>
              </w:rPr>
              <w:t xml:space="preserve">20.000 plantines</w:t>
            </w:r>
            <w:r/>
          </w:p>
        </w:tc>
        <w:tc>
          <w:tcPr>
            <w:tcBorders/>
            <w:tcW w:w="2852" w:type="dxa"/>
          </w:tcPr>
          <w:p w14:paraId="25B8ED18" w14:textId="77777777">
            <w:pPr>
              <w:pBdr/>
              <w:spacing/>
              <w:ind/>
              <w:rPr/>
            </w:pPr>
            <w:r>
              <w:rPr>
                <w:sz w:val="17"/>
                <w:szCs w:val="17"/>
              </w:rPr>
              <w:t xml:space="preserve">Objetivo de gestión; reservas anticipadas.</w:t>
            </w:r>
            <w:r/>
          </w:p>
        </w:tc>
      </w:tr>
      <w:tr>
        <w:trPr>
          <w:cantSplit/>
        </w:trPr>
        <w:tc>
          <w:tcPr>
            <w:tcBorders/>
            <w:tcW w:w="4100" w:type="dxa"/>
          </w:tcPr>
          <w:p w14:paraId="58ABA4B3" w14:textId="77777777">
            <w:pPr>
              <w:pBdr/>
              <w:spacing/>
              <w:ind/>
              <w:rPr/>
            </w:pPr>
            <w:r>
              <w:rPr>
                <w:sz w:val="17"/>
                <w:szCs w:val="17"/>
              </w:rPr>
              <w:t xml:space="preserve">Meta año 2</w:t>
            </w:r>
            <w:r/>
          </w:p>
        </w:tc>
        <w:tc>
          <w:tcPr>
            <w:tcBorders/>
            <w:tcW w:w="2800" w:type="dxa"/>
          </w:tcPr>
          <w:p w14:paraId="4BDA424A" w14:textId="77777777">
            <w:pPr>
              <w:pBdr/>
              <w:spacing/>
              <w:ind/>
              <w:rPr/>
            </w:pPr>
            <w:r>
              <w:rPr>
                <w:sz w:val="17"/>
                <w:szCs w:val="17"/>
              </w:rPr>
              <w:t xml:space="preserve">40.000</w:t>
            </w:r>
            <w:r/>
          </w:p>
        </w:tc>
        <w:tc>
          <w:tcPr>
            <w:tcBorders/>
            <w:tcW w:w="2852" w:type="dxa"/>
          </w:tcPr>
          <w:p w14:paraId="0F2DF3DE" w14:textId="77777777">
            <w:pPr>
              <w:pBdr/>
              <w:spacing/>
              <w:ind/>
              <w:rPr/>
            </w:pPr>
            <w:r>
              <w:rPr>
                <w:sz w:val="17"/>
                <w:szCs w:val="17"/>
              </w:rPr>
              <w:t xml:space="preserve">Escalado sólo con recompra, costo y capacidad.</w:t>
            </w:r>
            <w:r/>
          </w:p>
        </w:tc>
      </w:tr>
      <w:tr>
        <w:trPr>
          <w:cantSplit/>
        </w:trPr>
        <w:tc>
          <w:tcPr>
            <w:tcBorders/>
            <w:tcW w:w="4100" w:type="dxa"/>
          </w:tcPr>
          <w:p w14:paraId="71C1E3C9" w14:textId="77777777">
            <w:pPr>
              <w:pBdr/>
              <w:spacing/>
              <w:ind/>
              <w:rPr/>
            </w:pPr>
            <w:r>
              <w:rPr>
                <w:sz w:val="17"/>
                <w:szCs w:val="17"/>
              </w:rPr>
              <w:t xml:space="preserve">Meta año 3</w:t>
            </w:r>
            <w:r/>
          </w:p>
        </w:tc>
        <w:tc>
          <w:tcPr>
            <w:tcBorders/>
            <w:tcW w:w="2800" w:type="dxa"/>
          </w:tcPr>
          <w:p w14:paraId="364C9207" w14:textId="77777777">
            <w:pPr>
              <w:pBdr/>
              <w:spacing/>
              <w:ind/>
              <w:rPr/>
            </w:pPr>
            <w:r>
              <w:rPr>
                <w:sz w:val="17"/>
                <w:szCs w:val="17"/>
              </w:rPr>
              <w:t xml:space="preserve">60.000</w:t>
            </w:r>
            <w:r/>
          </w:p>
        </w:tc>
        <w:tc>
          <w:tcPr>
            <w:tcBorders/>
            <w:tcW w:w="2852" w:type="dxa"/>
          </w:tcPr>
          <w:p w14:paraId="328AE1B2" w14:textId="77777777">
            <w:pPr>
              <w:pBdr/>
              <w:spacing/>
              <w:ind/>
              <w:rPr/>
            </w:pPr>
            <w:r>
              <w:rPr>
                <w:sz w:val="17"/>
                <w:szCs w:val="17"/>
              </w:rPr>
              <w:t xml:space="preserve">Escalado sólo con demanda repetida y margen.</w:t>
            </w:r>
            <w:r/>
          </w:p>
        </w:tc>
      </w:tr>
      <w:tr>
        <w:trPr>
          <w:cantSplit/>
        </w:trPr>
        <w:tc>
          <w:tcPr>
            <w:tcBorders/>
            <w:tcW w:w="4100" w:type="dxa"/>
          </w:tcPr>
          <w:p w14:paraId="6D98913F" w14:textId="77777777">
            <w:pPr>
              <w:pBdr/>
              <w:spacing/>
              <w:ind/>
              <w:rPr/>
            </w:pPr>
            <w:r>
              <w:rPr>
                <w:sz w:val="17"/>
                <w:szCs w:val="17"/>
              </w:rPr>
              <w:t xml:space="preserve">Adopción 10/20/30 %</w:t>
            </w:r>
            <w:r/>
          </w:p>
        </w:tc>
        <w:tc>
          <w:tcPr>
            <w:tcBorders/>
            <w:tcW w:w="2800" w:type="dxa"/>
          </w:tcPr>
          <w:p w14:paraId="110915C6" w14:textId="77777777">
            <w:pPr>
              <w:pBdr/>
              <w:spacing/>
              <w:ind/>
              <w:rPr/>
            </w:pPr>
            <w:r>
              <w:rPr>
                <w:sz w:val="17"/>
                <w:szCs w:val="17"/>
              </w:rPr>
              <w:t xml:space="preserve">Sensibilidad</w:t>
            </w:r>
            <w:r/>
          </w:p>
        </w:tc>
        <w:tc>
          <w:tcPr>
            <w:tcBorders/>
            <w:tcW w:w="2852" w:type="dxa"/>
          </w:tcPr>
          <w:p w14:paraId="24951862" w14:textId="77777777">
            <w:pPr>
              <w:pBdr/>
              <w:spacing/>
              <w:ind/>
              <w:rPr/>
            </w:pPr>
            <w:r>
              <w:rPr>
                <w:sz w:val="17"/>
                <w:szCs w:val="17"/>
              </w:rPr>
              <w:t xml:space="preserve">Supuesto, no dato; reemplazar por ventas reales.</w:t>
            </w:r>
            <w:r/>
          </w:p>
        </w:tc>
      </w:tr>
      <w:tr>
        <w:trPr/>
        <w:tc>
          <w:tcPr>
            <w:tcBorders/>
            <w:tcW w:w="4100" w:type="dxa"/>
          </w:tcPr>
          <w:p w14:paraId="3DBB038B" w14:textId="77777777">
            <w:pPr>
              <w:pBdr/>
              <w:spacing/>
              <w:ind/>
              <w:rPr/>
            </w:pPr>
            <w:r>
              <w:rPr>
                <w:sz w:val="17"/>
              </w:rPr>
              <w:t xml:space="preserve">Costo variable unitario</w:t>
            </w:r>
            <w:r/>
          </w:p>
        </w:tc>
        <w:tc>
          <w:tcPr>
            <w:tcBorders/>
            <w:tcW w:w="2800" w:type="dxa"/>
          </w:tcPr>
          <w:p w14:paraId="4A83BE84" w14:textId="77777777">
            <w:pPr>
              <w:pBdr/>
              <w:spacing/>
              <w:ind/>
              <w:rPr/>
            </w:pPr>
            <w:r>
              <w:rPr>
                <w:sz w:val="17"/>
              </w:rPr>
              <w:t xml:space="preserve">$ 750 por plantín vendible</w:t>
            </w:r>
            <w:r/>
          </w:p>
        </w:tc>
        <w:tc>
          <w:tcPr>
            <w:tcBorders/>
            <w:tcW w:w="2852" w:type="dxa"/>
          </w:tcPr>
          <w:p w14:paraId="3B30B1AF" w14:textId="77777777">
            <w:pPr>
              <w:pBdr/>
              <w:spacing/>
              <w:ind/>
              <w:rPr/>
            </w:pPr>
            <w:r>
              <w:rPr>
                <w:sz w:val="17"/>
              </w:rPr>
              <w:t xml:space="preserve">Costeo técnico con 20 % de merma y semilla </w:t>
            </w:r>
            <w:r>
              <w:rPr>
                <w:sz w:val="17"/>
              </w:rPr>
              <w:t xml:space="preserve">Maxifort</w:t>
            </w:r>
            <w:r>
              <w:rPr>
                <w:sz w:val="17"/>
              </w:rPr>
              <w:t xml:space="preserve">.</w:t>
            </w:r>
            <w:r/>
          </w:p>
        </w:tc>
      </w:tr>
      <w:tr>
        <w:trPr/>
        <w:tc>
          <w:tcPr>
            <w:tcBorders/>
            <w:tcW w:w="4100" w:type="dxa"/>
          </w:tcPr>
          <w:p w14:paraId="3EACC3D4" w14:textId="77777777">
            <w:pPr>
              <w:pBdr/>
              <w:spacing/>
              <w:ind/>
              <w:rPr/>
            </w:pPr>
            <w:r>
              <w:rPr>
                <w:sz w:val="17"/>
              </w:rPr>
              <w:t xml:space="preserve">Costos fijos anuales</w:t>
            </w:r>
            <w:r/>
          </w:p>
        </w:tc>
        <w:tc>
          <w:tcPr>
            <w:tcBorders/>
            <w:tcW w:w="2800" w:type="dxa"/>
          </w:tcPr>
          <w:p w14:paraId="04E17556" w14:textId="77777777">
            <w:pPr>
              <w:pBdr/>
              <w:spacing/>
              <w:ind/>
              <w:rPr/>
            </w:pPr>
            <w:r>
              <w:rPr>
                <w:sz w:val="17"/>
              </w:rPr>
              <w:t xml:space="preserve">$ 8.800.000 / año</w:t>
            </w:r>
            <w:r/>
          </w:p>
        </w:tc>
        <w:tc>
          <w:tcPr>
            <w:tcBorders/>
            <w:tcW w:w="2852" w:type="dxa"/>
          </w:tcPr>
          <w:p w14:paraId="585F0522" w14:textId="77777777">
            <w:pPr>
              <w:pBdr/>
              <w:spacing/>
              <w:ind/>
              <w:rPr/>
            </w:pPr>
            <w:r>
              <w:rPr>
                <w:sz w:val="17"/>
              </w:rPr>
              <w:t xml:space="preserve">Amortización lineal a 5 años, agrónomo </w:t>
            </w:r>
            <w:r>
              <w:rPr>
                <w:sz w:val="17"/>
              </w:rPr>
              <w:t xml:space="preserve">part</w:t>
            </w:r>
            <w:r>
              <w:rPr>
                <w:sz w:val="17"/>
              </w:rPr>
              <w:t xml:space="preserve">-time y estructura.</w:t>
            </w:r>
            <w:r/>
          </w:p>
        </w:tc>
      </w:tr>
      <w:tr>
        <w:trPr/>
        <w:tc>
          <w:tcPr>
            <w:tcBorders/>
            <w:tcW w:w="4100" w:type="dxa"/>
          </w:tcPr>
          <w:p w14:paraId="63126F75" w14:textId="77777777">
            <w:pPr>
              <w:pBdr/>
              <w:spacing/>
              <w:ind/>
              <w:rPr/>
            </w:pPr>
            <w:r>
              <w:rPr>
                <w:sz w:val="17"/>
              </w:rPr>
              <w:t xml:space="preserve">Punto de equilibrio operativo</w:t>
            </w:r>
            <w:r/>
          </w:p>
        </w:tc>
        <w:tc>
          <w:tcPr>
            <w:tcBorders/>
            <w:tcW w:w="2800" w:type="dxa"/>
          </w:tcPr>
          <w:p w14:paraId="554ABFE8" w14:textId="77777777">
            <w:pPr>
              <w:pBdr/>
              <w:spacing/>
              <w:ind/>
              <w:rPr/>
            </w:pPr>
            <w:r>
              <w:rPr>
                <w:sz w:val="17"/>
              </w:rPr>
              <w:t xml:space="preserve">7.040 plantines / año</w:t>
            </w:r>
            <w:r/>
          </w:p>
        </w:tc>
        <w:tc>
          <w:tcPr>
            <w:tcBorders/>
            <w:tcW w:w="2852" w:type="dxa"/>
          </w:tcPr>
          <w:p w14:paraId="2FB11068" w14:textId="77777777">
            <w:pPr>
              <w:pBdr/>
              <w:spacing/>
              <w:ind/>
              <w:rPr/>
            </w:pPr>
            <w:r>
              <w:rPr>
                <w:sz w:val="17"/>
              </w:rPr>
              <w:t xml:space="preserve">35,2 % de la meta del Año 1; cubierto al 170 % por preventa mínima.</w:t>
            </w:r>
            <w:r/>
          </w:p>
        </w:tc>
      </w:tr>
      <w:tr>
        <w:trPr/>
        <w:tc>
          <w:tcPr>
            <w:tcBorders/>
            <w:tcW w:w="4100" w:type="dxa"/>
          </w:tcPr>
          <w:p w14:paraId="46DFB2E9" w14:textId="77777777">
            <w:pPr>
              <w:pBdr/>
              <w:spacing/>
              <w:ind/>
              <w:rPr/>
            </w:pPr>
            <w:r>
              <w:rPr>
                <w:sz w:val="17"/>
              </w:rPr>
              <w:t xml:space="preserve">Inversión inicial total</w:t>
            </w:r>
            <w:r/>
          </w:p>
        </w:tc>
        <w:tc>
          <w:tcPr>
            <w:tcBorders/>
            <w:tcW w:w="2800" w:type="dxa"/>
          </w:tcPr>
          <w:p w14:paraId="0EDF6293" w14:textId="77777777">
            <w:pPr>
              <w:pBdr/>
              <w:spacing/>
              <w:ind/>
              <w:rPr/>
            </w:pPr>
            <w:r>
              <w:rPr>
                <w:sz w:val="17"/>
              </w:rPr>
              <w:t xml:space="preserve">$ 14.000.000 ARS</w:t>
            </w:r>
            <w:r/>
          </w:p>
        </w:tc>
        <w:tc>
          <w:tcPr>
            <w:tcBorders/>
            <w:tcW w:w="2852" w:type="dxa"/>
          </w:tcPr>
          <w:p w14:paraId="2AD55148" w14:textId="77777777">
            <w:pPr>
              <w:pBdr/>
              <w:spacing/>
              <w:ind/>
              <w:rPr/>
            </w:pPr>
            <w:r>
              <w:rPr>
                <w:sz w:val="17"/>
              </w:rPr>
              <w:t xml:space="preserve">Cámara de 18 m², puesto de injerto, </w:t>
            </w:r>
            <w:r>
              <w:rPr>
                <w:sz w:val="17"/>
              </w:rPr>
              <w:t xml:space="preserve">dataloggers</w:t>
            </w:r>
            <w:r>
              <w:rPr>
                <w:sz w:val="17"/>
              </w:rPr>
              <w:t xml:space="preserve"> y capacitación preoperativa.</w:t>
            </w:r>
            <w:r/>
          </w:p>
        </w:tc>
      </w:tr>
    </w:tbl>
    <w:p w14:paraId="02A973C9" w14:textId="77777777">
      <w:pPr>
        <w:pBdr/>
        <w:spacing w:after="60"/>
        <w:ind/>
        <w:rPr/>
      </w:pPr>
      <w:r/>
      <w:r/>
    </w:p>
    <w:p w14:paraId="39CBA243" w14:textId="77777777">
      <w:pPr>
        <w:pStyle w:val="797"/>
        <w:keepNext w:val="true"/>
        <w:pBdr/>
        <w:spacing/>
        <w:ind/>
        <w:rPr/>
      </w:pPr>
      <w:r>
        <w:t xml:space="preserve">A.3 Referencia de capacidad para 20.000 plantines</w:t>
      </w:r>
      <w:r/>
    </w:p>
    <w:tbl>
      <w:tblPr>
        <w:tblStyle w:val="835"/>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600"/>
        <w:gridCol w:w="3400"/>
        <w:gridCol w:w="27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600" w:type="dxa"/>
          </w:tcPr>
          <w:p w14:paraId="541CBFAE" w14:textId="77777777">
            <w:pPr>
              <w:pBdr/>
              <w:spacing/>
              <w:ind/>
              <w:rPr/>
            </w:pPr>
            <w:r>
              <w:rPr>
                <w:b/>
                <w:bCs/>
                <w:color w:val="ffffff"/>
                <w:sz w:val="17"/>
                <w:szCs w:val="17"/>
              </w:rPr>
              <w:t xml:space="preserve">Variable</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400" w:type="dxa"/>
          </w:tcPr>
          <w:p w14:paraId="6DF250CC" w14:textId="77777777">
            <w:pPr>
              <w:pBdr/>
              <w:spacing/>
              <w:ind/>
              <w:rPr/>
            </w:pPr>
            <w:r>
              <w:rPr>
                <w:b/>
                <w:bCs/>
                <w:color w:val="ffffff"/>
                <w:sz w:val="17"/>
                <w:szCs w:val="17"/>
              </w:rPr>
              <w:t xml:space="preserve">Cálculo orientativo</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752" w:type="dxa"/>
          </w:tcPr>
          <w:p w14:paraId="0412931B" w14:textId="77777777">
            <w:pPr>
              <w:pBdr/>
              <w:spacing/>
              <w:ind/>
              <w:rPr/>
            </w:pPr>
            <w:r>
              <w:rPr>
                <w:b/>
                <w:bCs/>
                <w:color w:val="ffffff"/>
                <w:sz w:val="17"/>
                <w:szCs w:val="17"/>
              </w:rPr>
              <w:t xml:space="preserve">Resultado / lectura</w:t>
            </w:r>
            <w:r/>
          </w:p>
        </w:tc>
      </w:tr>
      <w:tr>
        <w:trPr>
          <w:cantSplit/>
        </w:trPr>
        <w:tc>
          <w:tcPr>
            <w:tcBorders/>
            <w:tcW w:w="3600" w:type="dxa"/>
          </w:tcPr>
          <w:p w14:paraId="022515E3" w14:textId="77777777">
            <w:pPr>
              <w:pBdr/>
              <w:spacing/>
              <w:ind/>
              <w:rPr/>
            </w:pPr>
            <w:r>
              <w:rPr>
                <w:sz w:val="17"/>
                <w:szCs w:val="17"/>
              </w:rPr>
              <w:t xml:space="preserve">Volumen anual inicial</w:t>
            </w:r>
            <w:r/>
          </w:p>
        </w:tc>
        <w:tc>
          <w:tcPr>
            <w:tcBorders/>
            <w:tcW w:w="3400" w:type="dxa"/>
          </w:tcPr>
          <w:p w14:paraId="63C54E00" w14:textId="77777777">
            <w:pPr>
              <w:pBdr/>
              <w:spacing/>
              <w:ind/>
              <w:rPr/>
            </w:pPr>
            <w:r>
              <w:rPr>
                <w:sz w:val="17"/>
                <w:szCs w:val="17"/>
              </w:rPr>
              <w:t xml:space="preserve">Meta de gestión</w:t>
            </w:r>
            <w:r/>
          </w:p>
        </w:tc>
        <w:tc>
          <w:tcPr>
            <w:tcBorders/>
            <w:tcW w:w="2752" w:type="dxa"/>
          </w:tcPr>
          <w:p w14:paraId="234E3A1C" w14:textId="77777777">
            <w:pPr>
              <w:pBdr/>
              <w:spacing/>
              <w:ind/>
              <w:rPr/>
            </w:pPr>
            <w:r>
              <w:rPr>
                <w:sz w:val="17"/>
                <w:szCs w:val="17"/>
              </w:rPr>
              <w:t xml:space="preserve">20.000 plantines</w:t>
            </w:r>
            <w:r/>
          </w:p>
        </w:tc>
      </w:tr>
      <w:tr>
        <w:trPr>
          <w:cantSplit/>
        </w:trPr>
        <w:tc>
          <w:tcPr>
            <w:tcBorders/>
            <w:tcW w:w="3600" w:type="dxa"/>
          </w:tcPr>
          <w:p w14:paraId="3313FB00" w14:textId="77777777">
            <w:pPr>
              <w:pBdr/>
              <w:spacing/>
              <w:ind/>
              <w:rPr/>
            </w:pPr>
            <w:r>
              <w:rPr>
                <w:sz w:val="17"/>
                <w:szCs w:val="17"/>
              </w:rPr>
              <w:t xml:space="preserve">Ventana principal de producción</w:t>
            </w:r>
            <w:r/>
          </w:p>
        </w:tc>
        <w:tc>
          <w:tcPr>
            <w:tcBorders/>
            <w:tcW w:w="3400" w:type="dxa"/>
          </w:tcPr>
          <w:p w14:paraId="20910B04" w14:textId="77777777">
            <w:pPr>
              <w:pBdr/>
              <w:spacing/>
              <w:ind/>
              <w:rPr/>
            </w:pPr>
            <w:r>
              <w:rPr>
                <w:sz w:val="17"/>
                <w:szCs w:val="17"/>
              </w:rPr>
              <w:t xml:space="preserve">Referencia operativa</w:t>
            </w:r>
            <w:r/>
          </w:p>
        </w:tc>
        <w:tc>
          <w:tcPr>
            <w:tcBorders/>
            <w:tcW w:w="2752" w:type="dxa"/>
          </w:tcPr>
          <w:p w14:paraId="77604E06" w14:textId="77777777">
            <w:pPr>
              <w:pBdr/>
              <w:spacing/>
              <w:ind/>
              <w:rPr/>
            </w:pPr>
            <w:r>
              <w:rPr>
                <w:sz w:val="17"/>
                <w:szCs w:val="17"/>
              </w:rPr>
              <w:t xml:space="preserve">8–10 semanas; ajustar al calendario real</w:t>
            </w:r>
            <w:r/>
          </w:p>
        </w:tc>
      </w:tr>
      <w:tr>
        <w:trPr>
          <w:cantSplit/>
        </w:trPr>
        <w:tc>
          <w:tcPr>
            <w:tcBorders/>
            <w:tcW w:w="3600" w:type="dxa"/>
          </w:tcPr>
          <w:p w14:paraId="04C475D5" w14:textId="77777777">
            <w:pPr>
              <w:pBdr/>
              <w:spacing/>
              <w:ind/>
              <w:rPr/>
            </w:pPr>
            <w:r>
              <w:rPr>
                <w:sz w:val="17"/>
                <w:szCs w:val="17"/>
              </w:rPr>
              <w:t xml:space="preserve">Pico promedio</w:t>
            </w:r>
            <w:r/>
          </w:p>
        </w:tc>
        <w:tc>
          <w:tcPr>
            <w:tcBorders/>
            <w:tcW w:w="3400" w:type="dxa"/>
          </w:tcPr>
          <w:p w14:paraId="7FE92CAA" w14:textId="77777777">
            <w:pPr>
              <w:pBdr/>
              <w:spacing/>
              <w:ind/>
              <w:rPr/>
            </w:pPr>
            <w:r>
              <w:rPr>
                <w:sz w:val="17"/>
                <w:szCs w:val="17"/>
              </w:rPr>
              <w:t xml:space="preserve">20.000 / 8</w:t>
            </w:r>
            <w:r/>
          </w:p>
        </w:tc>
        <w:tc>
          <w:tcPr>
            <w:tcBorders/>
            <w:tcW w:w="2752" w:type="dxa"/>
          </w:tcPr>
          <w:p w14:paraId="2F63701E" w14:textId="77777777">
            <w:pPr>
              <w:pBdr/>
              <w:spacing/>
              <w:ind/>
              <w:rPr/>
            </w:pPr>
            <w:r>
              <w:rPr>
                <w:sz w:val="17"/>
                <w:szCs w:val="17"/>
              </w:rPr>
              <w:t xml:space="preserve">≈ 2.500 plantines vendibles/semana</w:t>
            </w:r>
            <w:r/>
          </w:p>
        </w:tc>
      </w:tr>
      <w:tr>
        <w:trPr>
          <w:cantSplit/>
        </w:trPr>
        <w:tc>
          <w:tcPr>
            <w:tcBorders/>
            <w:tcW w:w="3600" w:type="dxa"/>
          </w:tcPr>
          <w:p w14:paraId="301B656C" w14:textId="77777777">
            <w:pPr>
              <w:pBdr/>
              <w:spacing/>
              <w:ind/>
              <w:rPr/>
            </w:pPr>
            <w:r>
              <w:rPr>
                <w:sz w:val="17"/>
                <w:szCs w:val="17"/>
              </w:rPr>
              <w:t xml:space="preserve">Siembra</w:t>
            </w:r>
            <w:r/>
          </w:p>
        </w:tc>
        <w:tc>
          <w:tcPr>
            <w:tcBorders/>
            <w:tcW w:w="3400" w:type="dxa"/>
          </w:tcPr>
          <w:p w14:paraId="260EB37B" w14:textId="77777777">
            <w:pPr>
              <w:pBdr/>
              <w:spacing/>
              <w:ind/>
              <w:rPr/>
            </w:pPr>
            <w:r>
              <w:rPr>
                <w:sz w:val="17"/>
              </w:rPr>
              <w:t xml:space="preserve">Cámara de 18 m² con racks de 4 niveles (384 bandejas, 49.152 plantines de capacidad física teórica simultánea)</w:t>
            </w:r>
            <w:r/>
          </w:p>
        </w:tc>
        <w:tc>
          <w:tcPr>
            <w:tcBorders/>
            <w:tcW w:w="2752" w:type="dxa"/>
          </w:tcPr>
          <w:p w14:paraId="1D0847F5" w14:textId="77777777">
            <w:pPr>
              <w:pBdr/>
              <w:spacing/>
              <w:ind/>
              <w:rPr/>
            </w:pPr>
            <w:r>
              <w:rPr>
                <w:sz w:val="17"/>
              </w:rPr>
              <w:t xml:space="preserve">Cubre picos de 3.000 a 4.000 plantines semanales con amplia holgura de rotación.</w:t>
            </w:r>
            <w:r/>
          </w:p>
        </w:tc>
      </w:tr>
      <w:tr>
        <w:trPr>
          <w:cantSplit/>
        </w:trPr>
        <w:tc>
          <w:tcPr>
            <w:tcBorders/>
            <w:tcW w:w="3600" w:type="dxa"/>
          </w:tcPr>
          <w:p w14:paraId="35432421" w14:textId="77777777">
            <w:pPr>
              <w:pBdr/>
              <w:spacing/>
              <w:ind/>
              <w:rPr/>
            </w:pPr>
            <w:r>
              <w:rPr>
                <w:sz w:val="17"/>
                <w:szCs w:val="17"/>
              </w:rPr>
              <w:t xml:space="preserve">Injerto/cicatrización</w:t>
            </w:r>
            <w:r/>
          </w:p>
        </w:tc>
        <w:tc>
          <w:tcPr>
            <w:tcBorders/>
            <w:tcW w:w="3400" w:type="dxa"/>
          </w:tcPr>
          <w:p w14:paraId="6BCDD4BC" w14:textId="77777777">
            <w:pPr>
              <w:pBdr/>
              <w:spacing/>
              <w:ind/>
              <w:rPr/>
            </w:pPr>
            <w:r>
              <w:rPr>
                <w:sz w:val="17"/>
                <w:szCs w:val="17"/>
              </w:rPr>
              <w:t xml:space="preserve">Proceso nuevo</w:t>
            </w:r>
            <w:r/>
          </w:p>
        </w:tc>
        <w:tc>
          <w:tcPr>
            <w:tcBorders/>
            <w:tcW w:w="2752" w:type="dxa"/>
          </w:tcPr>
          <w:p w14:paraId="52672CD4" w14:textId="77777777">
            <w:pPr>
              <w:pBdr/>
              <w:spacing/>
              <w:ind/>
              <w:rPr/>
            </w:pPr>
            <w:r>
              <w:rPr>
                <w:sz w:val="17"/>
                <w:szCs w:val="17"/>
              </w:rPr>
              <w:t xml:space="preserve">Debe medirse en lotes piloto; posible cuello de botella</w:t>
            </w:r>
            <w:r/>
          </w:p>
        </w:tc>
      </w:tr>
    </w:tbl>
    <w:p w14:paraId="4BB39C79" w14:textId="77777777">
      <w:pPr>
        <w:pBdr/>
        <w:spacing w:after="60"/>
        <w:ind/>
        <w:rPr/>
      </w:pPr>
      <w:r/>
      <w:r/>
    </w:p>
    <w:p w14:paraId="4486A7F2" w14:textId="77777777">
      <w:pPr>
        <w:pStyle w:val="797"/>
        <w:keepNext w:val="true"/>
        <w:pBdr/>
        <w:spacing/>
        <w:ind/>
        <w:rPr/>
      </w:pPr>
      <w:r>
        <w:t xml:space="preserve">A.4 Datos a confirmar con VFW</w:t>
      </w:r>
      <w:r/>
    </w:p>
    <w:tbl>
      <w:tblPr>
        <w:tblStyle w:val="836"/>
        <w:tblInd w:w="0" w:type="dxa"/>
        <w:tblW w:w="97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600"/>
        <w:gridCol w:w="2600"/>
        <w:gridCol w:w="3552"/>
      </w:tblGrid>
      <w:tr>
        <w:trPr>
          <w:cantSplit/>
          <w:tblHeader/>
        </w:trPr>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600" w:type="dxa"/>
          </w:tcPr>
          <w:p w14:paraId="7CE5CE85" w14:textId="77777777">
            <w:pPr>
              <w:pBdr/>
              <w:spacing/>
              <w:ind/>
              <w:rPr/>
            </w:pPr>
            <w:r>
              <w:rPr>
                <w:b/>
                <w:bCs/>
                <w:color w:val="ffffff"/>
                <w:sz w:val="17"/>
                <w:szCs w:val="17"/>
              </w:rPr>
              <w:t xml:space="preserve">Dato a confirmar con VFW</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2600" w:type="dxa"/>
          </w:tcPr>
          <w:p w14:paraId="1730BBD4" w14:textId="77777777">
            <w:pPr>
              <w:pBdr/>
              <w:spacing/>
              <w:ind/>
              <w:rPr/>
            </w:pPr>
            <w:r>
              <w:rPr>
                <w:b/>
                <w:bCs/>
                <w:color w:val="ffffff"/>
                <w:sz w:val="17"/>
                <w:szCs w:val="17"/>
              </w:rPr>
              <w:t xml:space="preserve">Por qué importa</w:t>
            </w:r>
            <w:r/>
          </w:p>
        </w:tc>
        <w:tc>
          <w:tcPr>
            <w:shd w:val="clear" w:color="auto" w:fill="164e4a"/>
            <w:tcBorders>
              <w:top w:val="single" w:color="d5dddb" w:sz="4" w:space="0"/>
              <w:left w:val="single" w:color="d5dddb" w:sz="4" w:space="0"/>
              <w:bottom w:val="single" w:color="d5dddb" w:sz="4" w:space="0"/>
              <w:right w:val="single" w:color="d5dddb" w:sz="4" w:space="0"/>
            </w:tcBorders>
            <w:tcMar>
              <w:left w:w="110" w:type="dxa"/>
              <w:top w:w="70" w:type="dxa"/>
              <w:right w:w="110" w:type="dxa"/>
              <w:bottom w:w="70" w:type="dxa"/>
            </w:tcMar>
            <w:tcW w:w="3552" w:type="dxa"/>
          </w:tcPr>
          <w:p w14:paraId="43A28311" w14:textId="77777777">
            <w:pPr>
              <w:pBdr/>
              <w:spacing/>
              <w:ind/>
              <w:rPr/>
            </w:pPr>
            <w:r>
              <w:rPr>
                <w:b/>
                <w:bCs/>
                <w:color w:val="ffffff"/>
                <w:sz w:val="17"/>
                <w:szCs w:val="17"/>
              </w:rPr>
              <w:t xml:space="preserve">Decisión que habilita</w:t>
            </w:r>
            <w:r/>
          </w:p>
        </w:tc>
      </w:tr>
      <w:tr>
        <w:trPr>
          <w:cantSplit/>
        </w:trPr>
        <w:tc>
          <w:tcPr>
            <w:tcBorders/>
            <w:tcW w:w="3600" w:type="dxa"/>
          </w:tcPr>
          <w:p w14:paraId="08FA0C92" w14:textId="77777777">
            <w:pPr>
              <w:pBdr/>
              <w:spacing/>
              <w:ind/>
              <w:rPr/>
            </w:pPr>
            <w:r>
              <w:rPr>
                <w:sz w:val="17"/>
                <w:szCs w:val="17"/>
              </w:rPr>
              <w:t xml:space="preserve">Ocupación mensual de invernaderos y cámara de germinación</w:t>
            </w:r>
            <w:r/>
          </w:p>
        </w:tc>
        <w:tc>
          <w:tcPr>
            <w:tcBorders/>
            <w:tcW w:w="2600" w:type="dxa"/>
          </w:tcPr>
          <w:p w14:paraId="7BC0FBAD" w14:textId="77777777">
            <w:pPr>
              <w:pBdr/>
              <w:spacing/>
              <w:ind/>
              <w:rPr/>
            </w:pPr>
            <w:r>
              <w:rPr>
                <w:sz w:val="17"/>
                <w:szCs w:val="17"/>
              </w:rPr>
              <w:t xml:space="preserve">Determina capacidad incremental.</w:t>
            </w:r>
            <w:r/>
          </w:p>
        </w:tc>
        <w:tc>
          <w:tcPr>
            <w:tcBorders/>
            <w:tcW w:w="3552" w:type="dxa"/>
          </w:tcPr>
          <w:p w14:paraId="3584165B" w14:textId="77777777">
            <w:pPr>
              <w:pBdr/>
              <w:spacing/>
              <w:ind/>
              <w:rPr/>
            </w:pPr>
            <w:r>
              <w:rPr>
                <w:sz w:val="17"/>
                <w:szCs w:val="17"/>
              </w:rPr>
              <w:t xml:space="preserve">Tamaño real de la nueva línea.</w:t>
            </w:r>
            <w:r/>
          </w:p>
        </w:tc>
      </w:tr>
      <w:tr>
        <w:trPr>
          <w:cantSplit/>
        </w:trPr>
        <w:tc>
          <w:tcPr>
            <w:tcBorders/>
            <w:tcW w:w="3600" w:type="dxa"/>
          </w:tcPr>
          <w:p w14:paraId="55129C43" w14:textId="77777777">
            <w:pPr>
              <w:pBdr/>
              <w:spacing/>
              <w:ind/>
              <w:rPr/>
            </w:pPr>
            <w:r>
              <w:rPr>
                <w:sz w:val="17"/>
                <w:szCs w:val="17"/>
              </w:rPr>
              <w:t xml:space="preserve">Costo y precio actual del plantín franco</w:t>
            </w:r>
            <w:r/>
          </w:p>
        </w:tc>
        <w:tc>
          <w:tcPr>
            <w:tcBorders/>
            <w:tcW w:w="2600" w:type="dxa"/>
          </w:tcPr>
          <w:p w14:paraId="46018A56" w14:textId="77777777">
            <w:pPr>
              <w:pBdr/>
              <w:spacing/>
              <w:ind/>
              <w:rPr/>
            </w:pPr>
            <w:r>
              <w:rPr>
                <w:sz w:val="17"/>
                <w:szCs w:val="17"/>
              </w:rPr>
              <w:t xml:space="preserve">Calibra costos y valor para el cliente.</w:t>
            </w:r>
            <w:r/>
          </w:p>
        </w:tc>
        <w:tc>
          <w:tcPr>
            <w:tcBorders/>
            <w:tcW w:w="3552" w:type="dxa"/>
          </w:tcPr>
          <w:p w14:paraId="4424D078" w14:textId="77777777">
            <w:pPr>
              <w:pBdr/>
              <w:spacing/>
              <w:ind/>
              <w:rPr/>
            </w:pPr>
            <w:r>
              <w:rPr>
                <w:sz w:val="17"/>
                <w:szCs w:val="17"/>
              </w:rPr>
              <w:t xml:space="preserve">Precio comercial definitivo.</w:t>
            </w:r>
            <w:r/>
          </w:p>
        </w:tc>
      </w:tr>
      <w:tr>
        <w:trPr>
          <w:cantSplit/>
        </w:trPr>
        <w:tc>
          <w:tcPr>
            <w:tcBorders/>
            <w:tcW w:w="3600" w:type="dxa"/>
          </w:tcPr>
          <w:p w14:paraId="69828CAE" w14:textId="77777777">
            <w:pPr>
              <w:pBdr/>
              <w:spacing/>
              <w:ind/>
              <w:rPr/>
            </w:pPr>
            <w:r>
              <w:rPr>
                <w:sz w:val="17"/>
                <w:szCs w:val="17"/>
              </w:rPr>
              <w:t xml:space="preserve">Horas de injerto, supervivencia y descarte por especie</w:t>
            </w:r>
            <w:r/>
          </w:p>
        </w:tc>
        <w:tc>
          <w:tcPr>
            <w:tcBorders/>
            <w:tcW w:w="2600" w:type="dxa"/>
          </w:tcPr>
          <w:p w14:paraId="505BE778" w14:textId="77777777">
            <w:pPr>
              <w:pBdr/>
              <w:spacing/>
              <w:ind/>
              <w:rPr/>
            </w:pPr>
            <w:r>
              <w:rPr>
                <w:sz w:val="17"/>
                <w:szCs w:val="17"/>
              </w:rPr>
              <w:t xml:space="preserve">Define costo por planta vendible.</w:t>
            </w:r>
            <w:r/>
          </w:p>
        </w:tc>
        <w:tc>
          <w:tcPr>
            <w:tcBorders/>
            <w:tcW w:w="3552" w:type="dxa"/>
          </w:tcPr>
          <w:p w14:paraId="70CBD4E3" w14:textId="77777777">
            <w:pPr>
              <w:pBdr/>
              <w:spacing/>
              <w:ind/>
              <w:rPr/>
            </w:pPr>
            <w:r>
              <w:rPr>
                <w:sz w:val="17"/>
                <w:szCs w:val="17"/>
              </w:rPr>
              <w:t xml:space="preserve">Margen y capacidad.</w:t>
            </w:r>
            <w:r/>
          </w:p>
        </w:tc>
      </w:tr>
      <w:tr>
        <w:trPr>
          <w:cantSplit/>
        </w:trPr>
        <w:tc>
          <w:tcPr>
            <w:tcBorders/>
            <w:tcW w:w="3600" w:type="dxa"/>
          </w:tcPr>
          <w:p w14:paraId="29C88341" w14:textId="77777777">
            <w:pPr>
              <w:pBdr/>
              <w:spacing/>
              <w:ind/>
              <w:rPr/>
            </w:pPr>
            <w:r>
              <w:rPr>
                <w:sz w:val="17"/>
                <w:szCs w:val="17"/>
              </w:rPr>
              <w:t xml:space="preserve">Clientes de tomate/pimiento y volumen anual</w:t>
            </w:r>
            <w:r/>
          </w:p>
        </w:tc>
        <w:tc>
          <w:tcPr>
            <w:tcBorders/>
            <w:tcW w:w="2600" w:type="dxa"/>
          </w:tcPr>
          <w:p w14:paraId="0C601CFF" w14:textId="77777777">
            <w:pPr>
              <w:pBdr/>
              <w:spacing/>
              <w:ind/>
              <w:rPr/>
            </w:pPr>
            <w:r>
              <w:rPr>
                <w:sz w:val="17"/>
                <w:szCs w:val="17"/>
              </w:rPr>
              <w:t xml:space="preserve">Sustituye supuestos de adopción.</w:t>
            </w:r>
            <w:r/>
          </w:p>
        </w:tc>
        <w:tc>
          <w:tcPr>
            <w:tcBorders/>
            <w:tcW w:w="3552" w:type="dxa"/>
          </w:tcPr>
          <w:p w14:paraId="5E4527F2" w14:textId="77777777">
            <w:pPr>
              <w:pBdr/>
              <w:spacing/>
              <w:ind/>
              <w:rPr/>
            </w:pPr>
            <w:r>
              <w:rPr>
                <w:sz w:val="17"/>
                <w:szCs w:val="17"/>
              </w:rPr>
              <w:t xml:space="preserve">Preventa y SOM real.</w:t>
            </w:r>
            <w:r/>
          </w:p>
        </w:tc>
      </w:tr>
      <w:tr>
        <w:trPr>
          <w:cantSplit/>
        </w:trPr>
        <w:tc>
          <w:tcPr>
            <w:tcBorders/>
            <w:tcW w:w="3600" w:type="dxa"/>
          </w:tcPr>
          <w:p w14:paraId="717FC49E" w14:textId="77777777">
            <w:pPr>
              <w:pBdr/>
              <w:spacing/>
              <w:ind/>
              <w:rPr/>
            </w:pPr>
            <w:r>
              <w:rPr>
                <w:sz w:val="17"/>
                <w:szCs w:val="17"/>
              </w:rPr>
              <w:t xml:space="preserve">Logística y costo de enmiendas / film / laboratorio</w:t>
            </w:r>
            <w:r/>
          </w:p>
        </w:tc>
        <w:tc>
          <w:tcPr>
            <w:tcBorders/>
            <w:tcW w:w="2600" w:type="dxa"/>
          </w:tcPr>
          <w:p w14:paraId="4DA6E26D" w14:textId="77777777">
            <w:pPr>
              <w:pBdr/>
              <w:spacing/>
              <w:ind/>
              <w:rPr/>
            </w:pPr>
            <w:r>
              <w:rPr>
                <w:sz w:val="17"/>
                <w:szCs w:val="17"/>
              </w:rPr>
              <w:t xml:space="preserve">Define economía de Fase 2.</w:t>
            </w:r>
            <w:r/>
          </w:p>
        </w:tc>
        <w:tc>
          <w:tcPr>
            <w:tcBorders/>
            <w:tcW w:w="3552" w:type="dxa"/>
          </w:tcPr>
          <w:p w14:paraId="16494159" w14:textId="77777777">
            <w:pPr>
              <w:pBdr/>
              <w:spacing/>
              <w:ind/>
              <w:rPr/>
            </w:pPr>
            <w:r>
              <w:rPr>
                <w:sz w:val="17"/>
                <w:szCs w:val="17"/>
              </w:rPr>
              <w:t xml:space="preserve">Tarifa por m² y viabilidad.</w:t>
            </w:r>
            <w:r/>
          </w:p>
        </w:tc>
      </w:tr>
    </w:tbl>
    <w:p w14:paraId="6572399E" w14:textId="77777777">
      <w:pPr>
        <w:pStyle w:val="796"/>
        <w:keepNext w:val="true"/>
        <w:pBdr/>
        <w:spacing/>
        <w:ind/>
        <w:rPr/>
      </w:pPr>
      <w:r>
        <w:t xml:space="preserve">Fuentes</w:t>
      </w:r>
      <w:r/>
    </w:p>
    <w:p w14:paraId="6A1954E3" w14:textId="77777777">
      <w:pPr>
        <w:pBdr/>
        <w:spacing w:after="100"/>
        <w:ind/>
        <w:rPr/>
      </w:pPr>
      <w:r>
        <w:t xml:space="preserve">Criterio: se priorizaron fuentes oficiales y primarias; las páginas empresaria</w:t>
      </w:r>
      <w:r>
        <w:t xml:space="preserve">les describen oferta declarada, no ventas ni participación de mercado. Las metas de ventas, precios de lanzamiento y márgenes son hipótesis comerciales para modelización y deben reemplazarse por reservas, cotizaciones y costos reales antes de la inversión.</w:t>
      </w:r>
      <w:r/>
    </w:p>
    <w:p w14:paraId="68DA7748" w14:textId="77777777">
      <w:pPr>
        <w:pBdr/>
        <w:spacing w:after="70" w:line="252" w:lineRule="auto"/>
        <w:ind w:hanging="540" w:left="540"/>
        <w:rPr/>
      </w:pPr>
      <w:r>
        <w:rPr>
          <w:b/>
          <w:bCs/>
          <w:color w:val="164e4a"/>
          <w:sz w:val="17"/>
          <w:szCs w:val="17"/>
        </w:rPr>
        <w:t xml:space="preserve">[S1] </w:t>
      </w:r>
      <w:r>
        <w:rPr>
          <w:b/>
          <w:bCs/>
          <w:sz w:val="17"/>
          <w:szCs w:val="17"/>
        </w:rPr>
        <w:t xml:space="preserve">Gobierno de Río Negro. </w:t>
      </w:r>
      <w:r>
        <w:rPr>
          <w:sz w:val="17"/>
          <w:szCs w:val="17"/>
        </w:rPr>
        <w:t xml:space="preserve">Río Negro produce hortalizas con identidad y diversificación. 07/05/2026. </w:t>
      </w:r>
      <w:hyperlink r:id="rId15" w:tooltip="https://rionegro.gov.ar/articulo/59060/rio-negro-produce-hortalizas-con-identidad-y-diversificacion" w:history="1">
        <w:r>
          <w:rPr>
            <w:color w:val="0563c1"/>
            <w:sz w:val="17"/>
            <w:szCs w:val="17"/>
            <w:u w:val="single"/>
          </w:rPr>
          <w:t xml:space="preserve">Enlace</w:t>
        </w:r>
      </w:hyperlink>
      <w:r/>
      <w:r/>
    </w:p>
    <w:p w14:paraId="201EF7CC" w14:textId="77777777">
      <w:pPr>
        <w:pBdr/>
        <w:spacing w:after="70" w:line="252" w:lineRule="auto"/>
        <w:ind w:hanging="540" w:left="540"/>
        <w:rPr/>
      </w:pPr>
      <w:r>
        <w:rPr>
          <w:b/>
          <w:bCs/>
          <w:color w:val="164e4a"/>
          <w:sz w:val="17"/>
          <w:szCs w:val="17"/>
        </w:rPr>
        <w:t xml:space="preserve">[S2] </w:t>
      </w:r>
      <w:r>
        <w:rPr>
          <w:b/>
          <w:bCs/>
          <w:sz w:val="17"/>
          <w:szCs w:val="17"/>
        </w:rPr>
        <w:t xml:space="preserve">Gobierno de Río Negro. </w:t>
      </w:r>
      <w:r>
        <w:rPr>
          <w:sz w:val="17"/>
          <w:szCs w:val="17"/>
        </w:rPr>
        <w:t xml:space="preserve">Río Negro refuerza la prevención sanitaria en invernaderos hortícolas. 23/12/2025. </w:t>
      </w:r>
      <w:hyperlink r:id="rId16" w:tooltip="https://rionegro.gov.ar/articulo/57202/rio-negro-refuerza-la-prevencion-sanitaria-en-invernaderos-horticolas" w:history="1">
        <w:r>
          <w:rPr>
            <w:color w:val="0563c1"/>
            <w:sz w:val="17"/>
            <w:szCs w:val="17"/>
            <w:u w:val="single"/>
          </w:rPr>
          <w:t xml:space="preserve">Enlace</w:t>
        </w:r>
      </w:hyperlink>
      <w:r/>
      <w:r/>
    </w:p>
    <w:p w14:paraId="5F152380" w14:textId="77777777">
      <w:pPr>
        <w:pBdr/>
        <w:spacing w:after="70" w:line="252" w:lineRule="auto"/>
        <w:ind w:hanging="540" w:left="540"/>
        <w:rPr/>
      </w:pPr>
      <w:r>
        <w:rPr>
          <w:b/>
          <w:bCs/>
          <w:color w:val="164e4a"/>
          <w:sz w:val="17"/>
          <w:szCs w:val="17"/>
        </w:rPr>
        <w:t xml:space="preserve">[S3] </w:t>
      </w:r>
      <w:r>
        <w:rPr>
          <w:b/>
          <w:bCs/>
          <w:sz w:val="17"/>
          <w:szCs w:val="17"/>
        </w:rPr>
        <w:t xml:space="preserve">Diario Río Negro. </w:t>
      </w:r>
      <w:r>
        <w:rPr>
          <w:sz w:val="17"/>
          <w:szCs w:val="17"/>
        </w:rPr>
        <w:t xml:space="preserve">Plantines desde Allen para toda la región. 18/12/2021. </w:t>
      </w:r>
      <w:hyperlink r:id="rId17" w:tooltip="https://www.rionegro.com.ar/plantines-desde-allen-para-toda-la-region-2080676/" w:history="1">
        <w:r>
          <w:rPr>
            <w:color w:val="0563c1"/>
            <w:sz w:val="17"/>
            <w:szCs w:val="17"/>
            <w:u w:val="single"/>
          </w:rPr>
          <w:t xml:space="preserve">Enlace</w:t>
        </w:r>
      </w:hyperlink>
      <w:r/>
      <w:r/>
    </w:p>
    <w:p w14:paraId="48FFCFE6" w14:textId="77777777">
      <w:pPr>
        <w:pBdr/>
        <w:spacing w:after="70" w:line="252" w:lineRule="auto"/>
        <w:ind w:hanging="540" w:left="540"/>
        <w:rPr/>
      </w:pPr>
      <w:r>
        <w:rPr>
          <w:b/>
          <w:bCs/>
          <w:color w:val="164e4a"/>
          <w:sz w:val="17"/>
          <w:szCs w:val="17"/>
        </w:rPr>
        <w:t xml:space="preserve">[S4] </w:t>
      </w:r>
      <w:r>
        <w:rPr>
          <w:b/>
          <w:bCs/>
          <w:sz w:val="17"/>
          <w:szCs w:val="17"/>
        </w:rPr>
        <w:t xml:space="preserve">Diario Río Negro. </w:t>
      </w:r>
      <w:r>
        <w:rPr>
          <w:sz w:val="17"/>
          <w:szCs w:val="17"/>
        </w:rPr>
        <w:t xml:space="preserve">Stefenelli</w:t>
      </w:r>
      <w:r>
        <w:rPr>
          <w:sz w:val="17"/>
          <w:szCs w:val="17"/>
        </w:rPr>
        <w:t xml:space="preserve">, el agricultor: recuerdo de la escuela audaz que se convirtió en semillero. 25/01/2026 (</w:t>
      </w:r>
      <w:r>
        <w:rPr>
          <w:sz w:val="17"/>
          <w:szCs w:val="17"/>
        </w:rPr>
        <w:t xml:space="preserve">act</w:t>
      </w:r>
      <w:r>
        <w:rPr>
          <w:sz w:val="17"/>
          <w:szCs w:val="17"/>
        </w:rPr>
        <w:t xml:space="preserve">. 16/04/2026). </w:t>
      </w:r>
      <w:hyperlink r:id="rId18" w:tooltip="https://www.rionegro.com.ar/rural/stefenelli-el-agricultor-recuerdo-de-la-escuela-audaz-que-se-convirtio-en-semillero/" w:history="1">
        <w:r>
          <w:rPr>
            <w:color w:val="0563c1"/>
            <w:sz w:val="17"/>
            <w:szCs w:val="17"/>
            <w:u w:val="single"/>
          </w:rPr>
          <w:t xml:space="preserve">Enlace</w:t>
        </w:r>
      </w:hyperlink>
      <w:r/>
      <w:r/>
    </w:p>
    <w:p w14:paraId="18D781B3" w14:textId="77777777">
      <w:pPr>
        <w:pBdr/>
        <w:spacing w:after="70" w:line="252" w:lineRule="auto"/>
        <w:ind w:hanging="540" w:left="540"/>
        <w:rPr/>
      </w:pPr>
      <w:r>
        <w:rPr>
          <w:b/>
          <w:bCs/>
          <w:color w:val="164e4a"/>
          <w:sz w:val="17"/>
          <w:szCs w:val="17"/>
        </w:rPr>
        <w:t xml:space="preserve">[S5] </w:t>
      </w:r>
      <w:r>
        <w:rPr>
          <w:b/>
          <w:bCs/>
          <w:sz w:val="17"/>
          <w:szCs w:val="17"/>
        </w:rPr>
        <w:t xml:space="preserve">INTA / Argentina.gob.ar. </w:t>
      </w:r>
      <w:r>
        <w:rPr>
          <w:sz w:val="17"/>
          <w:szCs w:val="17"/>
        </w:rPr>
        <w:t xml:space="preserve">Con injertos, el cultivo de tomate rinde hasta un 58 % más. 22/08/2019. </w:t>
      </w:r>
      <w:hyperlink r:id="rId19" w:tooltip="https://www.argentina.gob.ar/noticias/con-injertos-el-cultivo-de-tomate-rinde-hasta-un-58-mas" w:history="1">
        <w:r>
          <w:rPr>
            <w:color w:val="0563c1"/>
            <w:sz w:val="17"/>
            <w:szCs w:val="17"/>
            <w:u w:val="single"/>
          </w:rPr>
          <w:t xml:space="preserve">Enlace</w:t>
        </w:r>
      </w:hyperlink>
      <w:r/>
      <w:r/>
    </w:p>
    <w:p w14:paraId="1E976D05" w14:textId="77777777">
      <w:pPr>
        <w:pBdr/>
        <w:spacing w:after="70" w:line="252" w:lineRule="auto"/>
        <w:ind w:hanging="540" w:left="540"/>
        <w:rPr/>
      </w:pPr>
      <w:r>
        <w:rPr>
          <w:b/>
          <w:bCs/>
          <w:color w:val="164e4a"/>
          <w:sz w:val="17"/>
          <w:szCs w:val="17"/>
        </w:rPr>
        <w:t xml:space="preserve">[S6] </w:t>
      </w:r>
      <w:r>
        <w:rPr>
          <w:b/>
          <w:bCs/>
          <w:sz w:val="17"/>
          <w:szCs w:val="17"/>
        </w:rPr>
        <w:t xml:space="preserve">Tecnoflor</w:t>
      </w:r>
      <w:r>
        <w:rPr>
          <w:b/>
          <w:bCs/>
          <w:sz w:val="17"/>
          <w:szCs w:val="17"/>
        </w:rPr>
        <w:t xml:space="preserve">. </w:t>
      </w:r>
      <w:r>
        <w:rPr>
          <w:sz w:val="17"/>
          <w:szCs w:val="17"/>
        </w:rPr>
        <w:t xml:space="preserve">Productos y servicios — especies injertadas y polos de comercialización publicados. Consulta 17/09/2026. </w:t>
      </w:r>
      <w:hyperlink r:id="rId20" w:tooltip="https://tecnoflor.com.ar/productos-y-servicios-b/" w:history="1">
        <w:r>
          <w:rPr>
            <w:color w:val="0563c1"/>
            <w:sz w:val="17"/>
            <w:szCs w:val="17"/>
            <w:u w:val="single"/>
          </w:rPr>
          <w:t xml:space="preserve">Enlace</w:t>
        </w:r>
      </w:hyperlink>
      <w:r/>
      <w:r/>
    </w:p>
    <w:p w14:paraId="323E2D1D" w14:textId="77777777">
      <w:pPr>
        <w:pBdr/>
        <w:spacing w:after="70" w:line="252" w:lineRule="auto"/>
        <w:ind w:hanging="540" w:left="540"/>
        <w:rPr/>
      </w:pPr>
      <w:r>
        <w:rPr>
          <w:b/>
          <w:bCs/>
          <w:color w:val="164e4a"/>
          <w:sz w:val="17"/>
          <w:szCs w:val="17"/>
        </w:rPr>
        <w:t xml:space="preserve">[S7] </w:t>
      </w:r>
      <w:r>
        <w:rPr>
          <w:b/>
          <w:bCs/>
          <w:sz w:val="17"/>
          <w:szCs w:val="17"/>
        </w:rPr>
        <w:t xml:space="preserve">Proplanta</w:t>
      </w:r>
      <w:r>
        <w:rPr>
          <w:b/>
          <w:bCs/>
          <w:sz w:val="17"/>
          <w:szCs w:val="17"/>
        </w:rPr>
        <w:t xml:space="preserve">. </w:t>
      </w:r>
      <w:r>
        <w:rPr>
          <w:sz w:val="17"/>
          <w:szCs w:val="17"/>
        </w:rPr>
        <w:t xml:space="preserve">Injertos hortícolas. Consulta 17/09/2026. </w:t>
      </w:r>
      <w:hyperlink r:id="rId21" w:tooltip="https://www.proplanta-sa.com.ar/injertos/" w:history="1">
        <w:r>
          <w:rPr>
            <w:color w:val="0563c1"/>
            <w:sz w:val="17"/>
            <w:szCs w:val="17"/>
            <w:u w:val="single"/>
          </w:rPr>
          <w:t xml:space="preserve">Enlace</w:t>
        </w:r>
      </w:hyperlink>
      <w:r/>
      <w:r/>
    </w:p>
    <w:p w14:paraId="16557247" w14:textId="77777777">
      <w:pPr>
        <w:pBdr/>
        <w:spacing w:after="70" w:line="252" w:lineRule="auto"/>
        <w:ind w:hanging="540" w:left="540"/>
        <w:rPr/>
      </w:pPr>
      <w:r>
        <w:rPr>
          <w:b/>
          <w:bCs/>
          <w:color w:val="164e4a"/>
          <w:sz w:val="17"/>
          <w:szCs w:val="17"/>
        </w:rPr>
        <w:t xml:space="preserve">[S8] </w:t>
      </w:r>
      <w:r>
        <w:rPr>
          <w:b/>
          <w:bCs/>
          <w:sz w:val="17"/>
          <w:szCs w:val="17"/>
        </w:rPr>
        <w:t xml:space="preserve">Proplanta</w:t>
      </w:r>
      <w:r>
        <w:rPr>
          <w:b/>
          <w:bCs/>
          <w:sz w:val="17"/>
          <w:szCs w:val="17"/>
        </w:rPr>
        <w:t xml:space="preserve">. </w:t>
      </w:r>
      <w:r>
        <w:rPr>
          <w:sz w:val="17"/>
          <w:szCs w:val="17"/>
        </w:rPr>
        <w:t xml:space="preserve">Tecnología / distribución nacional. Consulta 17/09/2026. </w:t>
      </w:r>
      <w:hyperlink r:id="rId22" w:tooltip="https://www.proplanta-sa.com.ar/tecnologia/" w:history="1">
        <w:r>
          <w:rPr>
            <w:color w:val="0563c1"/>
            <w:sz w:val="17"/>
            <w:szCs w:val="17"/>
            <w:u w:val="single"/>
          </w:rPr>
          <w:t xml:space="preserve">Enlace</w:t>
        </w:r>
      </w:hyperlink>
      <w:r/>
      <w:r/>
    </w:p>
    <w:p w14:paraId="670DBEDE" w14:textId="77777777">
      <w:pPr>
        <w:pBdr/>
        <w:spacing w:after="70" w:line="252" w:lineRule="auto"/>
        <w:ind w:hanging="540" w:left="540"/>
        <w:rPr/>
      </w:pPr>
      <w:r>
        <w:rPr>
          <w:b/>
          <w:bCs/>
          <w:color w:val="164e4a"/>
          <w:sz w:val="17"/>
          <w:szCs w:val="17"/>
        </w:rPr>
        <w:t xml:space="preserve">[S9] </w:t>
      </w:r>
      <w:r>
        <w:rPr>
          <w:b/>
          <w:bCs/>
          <w:sz w:val="17"/>
          <w:szCs w:val="17"/>
        </w:rPr>
        <w:t xml:space="preserve">Brest &amp; Brest SRL. </w:t>
      </w:r>
      <w:r>
        <w:rPr>
          <w:sz w:val="17"/>
          <w:szCs w:val="17"/>
        </w:rPr>
        <w:t xml:space="preserve">Despacho de plantines injertados hacia Neuquén y Río Negro. Publicación comercial, agosto de 2026. No informa volumen, precio ni frecuencia. </w:t>
      </w:r>
      <w:hyperlink r:id="rId23" w:tooltip="https://www.facebook.com/brestybrestsrl/videos/1593619305587357/" w:history="1">
        <w:r>
          <w:rPr>
            <w:color w:val="0563c1"/>
            <w:sz w:val="17"/>
            <w:szCs w:val="17"/>
            <w:u w:val="single"/>
          </w:rPr>
          <w:t xml:space="preserve">Enlace</w:t>
        </w:r>
      </w:hyperlink>
      <w:r/>
      <w:r/>
    </w:p>
    <w:p w14:paraId="156049E1" w14:textId="77777777">
      <w:pPr>
        <w:pBdr/>
        <w:spacing w:after="70" w:line="252" w:lineRule="auto"/>
        <w:ind w:hanging="540" w:left="540"/>
        <w:rPr/>
      </w:pPr>
      <w:r>
        <w:rPr>
          <w:b/>
          <w:bCs/>
          <w:color w:val="164e4a"/>
          <w:sz w:val="17"/>
          <w:szCs w:val="17"/>
        </w:rPr>
        <w:t xml:space="preserve">[S10] </w:t>
      </w:r>
      <w:r>
        <w:rPr>
          <w:b/>
          <w:bCs/>
          <w:sz w:val="17"/>
          <w:szCs w:val="17"/>
        </w:rPr>
        <w:t xml:space="preserve">Bayer / </w:t>
      </w:r>
      <w:r>
        <w:rPr>
          <w:b/>
          <w:bCs/>
          <w:sz w:val="17"/>
          <w:szCs w:val="17"/>
        </w:rPr>
        <w:t xml:space="preserve">Seminis</w:t>
      </w:r>
      <w:r>
        <w:rPr>
          <w:b/>
          <w:bCs/>
          <w:sz w:val="17"/>
          <w:szCs w:val="17"/>
        </w:rPr>
        <w:t xml:space="preserve">. </w:t>
      </w:r>
      <w:r>
        <w:rPr>
          <w:sz w:val="17"/>
          <w:szCs w:val="17"/>
        </w:rPr>
        <w:t xml:space="preserve">Maxifort</w:t>
      </w:r>
      <w:r>
        <w:rPr>
          <w:sz w:val="17"/>
          <w:szCs w:val="17"/>
        </w:rPr>
        <w:t xml:space="preserve"> — portainjerto para tomate y berenjena. Consulta 17/09/2026. </w:t>
      </w:r>
      <w:hyperlink r:id="rId24" w:tooltip="https://www.vegetables.bayer.com/cl/es-cl/productos/sandia/details.html/rootstock_maxifort_argentina_seminis_fresh_market_open_field_fresh_market_all.html" w:history="1">
        <w:r>
          <w:rPr>
            <w:color w:val="0563c1"/>
            <w:sz w:val="17"/>
            <w:szCs w:val="17"/>
            <w:u w:val="single"/>
          </w:rPr>
          <w:t xml:space="preserve">Enlace</w:t>
        </w:r>
      </w:hyperlink>
      <w:r/>
      <w:r/>
    </w:p>
    <w:p w14:paraId="29FF008D" w14:textId="77777777">
      <w:pPr>
        <w:pBdr/>
        <w:spacing w:after="70" w:line="252" w:lineRule="auto"/>
        <w:ind w:hanging="540" w:left="540"/>
        <w:rPr/>
      </w:pPr>
      <w:r>
        <w:rPr>
          <w:b/>
          <w:bCs/>
          <w:color w:val="164e4a"/>
          <w:sz w:val="17"/>
          <w:szCs w:val="17"/>
        </w:rPr>
        <w:t xml:space="preserve">[S11] </w:t>
      </w:r>
      <w:r>
        <w:rPr>
          <w:b/>
          <w:bCs/>
          <w:sz w:val="17"/>
          <w:szCs w:val="17"/>
        </w:rPr>
        <w:t xml:space="preserve">Syngenta Vegetables Argentina. </w:t>
      </w:r>
      <w:r>
        <w:rPr>
          <w:sz w:val="17"/>
          <w:szCs w:val="17"/>
        </w:rPr>
        <w:t xml:space="preserve">Robusto — portainjerto para pimiento. Consulta 17/09/2026. </w:t>
      </w:r>
      <w:hyperlink r:id="rId25" w:tooltip="https://www.syngentavegetables.com/es-ar/product/seed/pimiento/robusto" w:history="1">
        <w:r>
          <w:rPr>
            <w:color w:val="0563c1"/>
            <w:sz w:val="17"/>
            <w:szCs w:val="17"/>
            <w:u w:val="single"/>
          </w:rPr>
          <w:t xml:space="preserve">Enlace</w:t>
        </w:r>
      </w:hyperlink>
      <w:r/>
      <w:r/>
    </w:p>
    <w:p w14:paraId="36C4E376" w14:textId="77777777">
      <w:pPr>
        <w:pBdr/>
        <w:spacing w:after="70" w:line="252" w:lineRule="auto"/>
        <w:ind w:hanging="540" w:left="540"/>
        <w:rPr/>
      </w:pPr>
      <w:r>
        <w:rPr>
          <w:b/>
          <w:bCs/>
          <w:color w:val="164e4a"/>
          <w:sz w:val="17"/>
          <w:szCs w:val="17"/>
        </w:rPr>
        <w:t xml:space="preserve">[S12] </w:t>
      </w:r>
      <w:r>
        <w:rPr>
          <w:b/>
          <w:bCs/>
          <w:sz w:val="17"/>
          <w:szCs w:val="17"/>
        </w:rPr>
        <w:t xml:space="preserve">INTA. </w:t>
      </w:r>
      <w:r>
        <w:rPr>
          <w:sz w:val="17"/>
          <w:szCs w:val="17"/>
        </w:rPr>
        <w:t xml:space="preserve">Manual de producción integrada de las principales especies hortícolas de Argentina. 2025. Capítulo de protección vegetal y manejo de nematodos. </w:t>
      </w:r>
      <w:hyperlink r:id="rId26" w:tooltip="https://repositorio.inta.gob.ar/xmlui/handle/20.500.12123/22538" w:history="1">
        <w:r>
          <w:rPr>
            <w:color w:val="0563c1"/>
            <w:sz w:val="17"/>
            <w:szCs w:val="17"/>
            <w:u w:val="single"/>
          </w:rPr>
          <w:t xml:space="preserve">Enlace</w:t>
        </w:r>
      </w:hyperlink>
      <w:r/>
      <w:r/>
    </w:p>
    <w:p w14:paraId="3A56EF39" w14:textId="77777777">
      <w:pPr>
        <w:pBdr/>
        <w:spacing w:after="70" w:line="252" w:lineRule="auto"/>
        <w:ind w:hanging="540" w:left="540"/>
        <w:rPr/>
      </w:pPr>
      <w:r>
        <w:rPr>
          <w:b/>
          <w:bCs/>
          <w:color w:val="164e4a"/>
          <w:sz w:val="17"/>
          <w:szCs w:val="17"/>
        </w:rPr>
        <w:t xml:space="preserve">[S13] </w:t>
      </w:r>
      <w:r>
        <w:rPr>
          <w:b/>
          <w:bCs/>
          <w:sz w:val="17"/>
          <w:szCs w:val="17"/>
        </w:rPr>
        <w:t xml:space="preserve">Mitidieri</w:t>
      </w:r>
      <w:r>
        <w:rPr>
          <w:b/>
          <w:bCs/>
          <w:sz w:val="17"/>
          <w:szCs w:val="17"/>
        </w:rPr>
        <w:t xml:space="preserve">, M. et al. </w:t>
      </w:r>
      <w:r>
        <w:rPr>
          <w:sz w:val="17"/>
          <w:szCs w:val="17"/>
        </w:rPr>
        <w:t xml:space="preserve">Calidad del suelo y sanidad de cultivo después de quince años de </w:t>
      </w:r>
      <w:r>
        <w:rPr>
          <w:sz w:val="17"/>
          <w:szCs w:val="17"/>
        </w:rPr>
        <w:t xml:space="preserve">biosolarización</w:t>
      </w:r>
      <w:r>
        <w:rPr>
          <w:sz w:val="17"/>
          <w:szCs w:val="17"/>
        </w:rPr>
        <w:t xml:space="preserve">. 40° Congreso Argentino de Horticultura, 2018. </w:t>
      </w:r>
      <w:r/>
    </w:p>
    <w:p w14:paraId="342430E1" w14:textId="77777777">
      <w:pPr>
        <w:pBdr/>
        <w:spacing w:after="70" w:line="252" w:lineRule="auto"/>
        <w:ind w:hanging="540" w:left="540"/>
        <w:rPr/>
      </w:pPr>
      <w:r>
        <w:rPr>
          <w:b/>
          <w:bCs/>
          <w:color w:val="164e4a"/>
          <w:sz w:val="17"/>
          <w:szCs w:val="17"/>
        </w:rPr>
        <w:t xml:space="preserve">[S14] </w:t>
      </w:r>
      <w:r>
        <w:rPr>
          <w:b/>
          <w:bCs/>
          <w:sz w:val="17"/>
          <w:szCs w:val="17"/>
        </w:rPr>
        <w:t xml:space="preserve">Bucki</w:t>
      </w:r>
      <w:r>
        <w:rPr>
          <w:b/>
          <w:bCs/>
          <w:sz w:val="17"/>
          <w:szCs w:val="17"/>
        </w:rPr>
        <w:t xml:space="preserve">, P. </w:t>
      </w:r>
      <w:r>
        <w:rPr>
          <w:sz w:val="17"/>
          <w:szCs w:val="17"/>
        </w:rPr>
        <w:t xml:space="preserve">Aptitud de la solarización para incrementar la temperatura del suelo en campo e invernadero en el Alto Valle de Río Negro y Neuquén. 1999. </w:t>
      </w:r>
      <w:hyperlink r:id="rId27" w:tooltip="https://repositoriosdigitales.mincyt.gob.ar/vufind/Record/SEDICI_af3943cec8f1a27e6c2e30cf4f7ac0c8" w:history="1">
        <w:r>
          <w:rPr>
            <w:color w:val="0563c1"/>
            <w:sz w:val="17"/>
            <w:szCs w:val="17"/>
            <w:u w:val="single"/>
          </w:rPr>
          <w:t xml:space="preserve">Enlace</w:t>
        </w:r>
      </w:hyperlink>
      <w:r/>
      <w:r/>
    </w:p>
    <w:p w14:paraId="6B73F30A" w14:textId="77777777">
      <w:pPr>
        <w:pBdr/>
        <w:spacing w:after="70" w:line="252" w:lineRule="auto"/>
        <w:ind w:hanging="540" w:left="540"/>
        <w:rPr/>
      </w:pPr>
      <w:r>
        <w:rPr>
          <w:b/>
          <w:bCs/>
          <w:color w:val="164e4a"/>
          <w:sz w:val="17"/>
          <w:szCs w:val="17"/>
        </w:rPr>
        <w:t xml:space="preserve">[S15] </w:t>
      </w:r>
      <w:r>
        <w:rPr>
          <w:b/>
          <w:bCs/>
          <w:sz w:val="17"/>
          <w:szCs w:val="17"/>
        </w:rPr>
        <w:t xml:space="preserve">SINAVIMO / SENASA. </w:t>
      </w:r>
      <w:r>
        <w:rPr>
          <w:sz w:val="17"/>
          <w:szCs w:val="17"/>
        </w:rPr>
        <w:t xml:space="preserve">Ficha técnica de </w:t>
      </w:r>
      <w:r>
        <w:rPr>
          <w:sz w:val="17"/>
          <w:szCs w:val="17"/>
        </w:rPr>
        <w:t xml:space="preserve">Meloidogyne</w:t>
      </w:r>
      <w:r>
        <w:rPr>
          <w:sz w:val="17"/>
          <w:szCs w:val="17"/>
        </w:rPr>
        <w:t xml:space="preserve"> </w:t>
      </w:r>
      <w:r>
        <w:rPr>
          <w:sz w:val="17"/>
          <w:szCs w:val="17"/>
        </w:rPr>
        <w:t xml:space="preserve">incognita</w:t>
      </w:r>
      <w:r>
        <w:rPr>
          <w:sz w:val="17"/>
          <w:szCs w:val="17"/>
        </w:rPr>
        <w:t xml:space="preserve">. Consulta 24/09/2026. </w:t>
      </w:r>
      <w:hyperlink r:id="rId28" w:tooltip="https://www.sinavimo.gob.ar/plaga/meloidogyne-incognita" w:history="1">
        <w:r>
          <w:rPr>
            <w:color w:val="0563c1"/>
            <w:sz w:val="17"/>
            <w:szCs w:val="17"/>
            <w:u w:val="single"/>
          </w:rPr>
          <w:t xml:space="preserve">Enlace</w:t>
        </w:r>
      </w:hyperlink>
      <w:r/>
      <w:r/>
    </w:p>
    <w:p w14:paraId="5A3FB587" w14:textId="77777777">
      <w:pPr>
        <w:pBdr/>
        <w:spacing w:after="70" w:line="252" w:lineRule="auto"/>
        <w:ind w:hanging="540" w:left="540"/>
        <w:rPr>
          <w:lang w:val="en-US"/>
        </w:rPr>
      </w:pPr>
      <w:r>
        <w:rPr>
          <w:b/>
          <w:bCs/>
          <w:color w:val="164e4a"/>
          <w:sz w:val="17"/>
          <w:szCs w:val="17"/>
        </w:rPr>
        <w:t xml:space="preserve">[S16] </w:t>
      </w:r>
      <w:r>
        <w:rPr>
          <w:b/>
          <w:bCs/>
          <w:sz w:val="17"/>
          <w:szCs w:val="17"/>
        </w:rPr>
        <w:t xml:space="preserve">Gobierno de Río Negro. </w:t>
      </w:r>
      <w:r>
        <w:rPr>
          <w:sz w:val="17"/>
          <w:szCs w:val="17"/>
        </w:rPr>
        <w:t xml:space="preserve">Río Negro transforma el orujo de manzana en oportunidad productiva. </w:t>
      </w:r>
      <w:r>
        <w:rPr>
          <w:sz w:val="17"/>
          <w:szCs w:val="17"/>
          <w:lang w:val="en-US"/>
        </w:rPr>
        <w:t xml:space="preserve">2025. </w:t>
      </w:r>
      <w:hyperlink r:id="rId29" w:tooltip="https://rionegro.gov.ar/articulo/55003/rio-negro-transforma-el-orujo-de-manzana-en-oportunidad-productiva" w:history="1">
        <w:r>
          <w:rPr>
            <w:color w:val="0563c1"/>
            <w:sz w:val="17"/>
            <w:szCs w:val="17"/>
            <w:u w:val="single"/>
            <w:lang w:val="en-US"/>
          </w:rPr>
          <w:t xml:space="preserve">Enlace</w:t>
        </w:r>
      </w:hyperlink>
      <w:r/>
      <w:r>
        <w:rPr>
          <w:lang w:val="en-US"/>
        </w:rPr>
      </w:r>
    </w:p>
    <w:p w14:paraId="5923CF49" w14:textId="77777777">
      <w:pPr>
        <w:pBdr/>
        <w:spacing w:after="70" w:line="252" w:lineRule="auto"/>
        <w:ind w:hanging="540" w:left="540"/>
        <w:rPr>
          <w:lang w:val="en-US"/>
        </w:rPr>
      </w:pPr>
      <w:r>
        <w:rPr>
          <w:b/>
          <w:bCs/>
          <w:color w:val="164e4a"/>
          <w:sz w:val="17"/>
          <w:szCs w:val="17"/>
          <w:lang w:val="en-US"/>
        </w:rPr>
        <w:t xml:space="preserve">[S17] </w:t>
      </w:r>
      <w:r>
        <w:rPr>
          <w:b/>
          <w:bCs/>
          <w:sz w:val="17"/>
          <w:szCs w:val="17"/>
          <w:lang w:val="en-US"/>
        </w:rPr>
        <w:t xml:space="preserve">Joseph, D.; Leslie, A.; Vollmer, K.; Hooks, C. — University of Maryland. </w:t>
      </w:r>
      <w:r>
        <w:rPr>
          <w:sz w:val="17"/>
          <w:szCs w:val="17"/>
          <w:lang w:val="en-US"/>
        </w:rPr>
        <w:t xml:space="preserve">Evaluating </w:t>
      </w:r>
      <w:r>
        <w:rPr>
          <w:sz w:val="17"/>
          <w:szCs w:val="17"/>
          <w:lang w:val="en-US"/>
        </w:rPr>
        <w:t xml:space="preserve">Biosolarization</w:t>
      </w:r>
      <w:r>
        <w:rPr>
          <w:sz w:val="17"/>
          <w:szCs w:val="17"/>
          <w:lang w:val="en-US"/>
        </w:rPr>
        <w:t xml:space="preserve">, Cover Cropping and Strip Tillage as an Integrated Pest Management Tool in Eggplant. Consulta 24/09/2026. </w:t>
      </w:r>
      <w:hyperlink r:id="rId30" w:tooltip="https://agnr.umd.edu/evaluating-biosolarization-cover-cropping-and-strip-tillage-integrated-pest-management-tool" w:history="1">
        <w:r>
          <w:rPr>
            <w:color w:val="0563c1"/>
            <w:sz w:val="17"/>
            <w:szCs w:val="17"/>
            <w:u w:val="single"/>
            <w:lang w:val="en-US"/>
          </w:rPr>
          <w:t xml:space="preserve">Enlace</w:t>
        </w:r>
      </w:hyperlink>
      <w:r/>
      <w:r>
        <w:rPr>
          <w:lang w:val="en-US"/>
        </w:rPr>
      </w:r>
    </w:p>
    <w:p w14:paraId="4DD41C27" w14:textId="77777777">
      <w:pPr>
        <w:pBdr/>
        <w:spacing w:after="70" w:line="252" w:lineRule="auto"/>
        <w:ind w:hanging="540" w:left="540"/>
        <w:rPr/>
      </w:pPr>
      <w:r>
        <w:rPr>
          <w:b/>
          <w:bCs/>
          <w:color w:val="164e4a"/>
          <w:sz w:val="17"/>
          <w:szCs w:val="17"/>
          <w:lang w:val="en-US"/>
        </w:rPr>
        <w:t xml:space="preserve">[S18] </w:t>
      </w:r>
      <w:r>
        <w:rPr>
          <w:b/>
          <w:bCs/>
          <w:sz w:val="17"/>
          <w:szCs w:val="17"/>
          <w:lang w:val="en-US"/>
        </w:rPr>
        <w:t xml:space="preserve">Achmon</w:t>
      </w:r>
      <w:r>
        <w:rPr>
          <w:b/>
          <w:bCs/>
          <w:sz w:val="17"/>
          <w:szCs w:val="17"/>
          <w:lang w:val="en-US"/>
        </w:rPr>
        <w:t xml:space="preserve">, Y. et al. </w:t>
      </w:r>
      <w:r>
        <w:rPr>
          <w:sz w:val="17"/>
          <w:szCs w:val="17"/>
          <w:lang w:val="en-US"/>
        </w:rPr>
        <w:t xml:space="preserve">Assessment of tomato and wine processing solid wastes as soil amendments for </w:t>
      </w:r>
      <w:r>
        <w:rPr>
          <w:sz w:val="17"/>
          <w:szCs w:val="17"/>
          <w:lang w:val="en-US"/>
        </w:rPr>
        <w:t xml:space="preserve">biosolarization</w:t>
      </w:r>
      <w:r>
        <w:rPr>
          <w:sz w:val="17"/>
          <w:szCs w:val="17"/>
          <w:lang w:val="en-US"/>
        </w:rPr>
        <w:t xml:space="preserve">. </w:t>
      </w:r>
      <w:r>
        <w:rPr>
          <w:sz w:val="17"/>
          <w:szCs w:val="17"/>
        </w:rPr>
        <w:t xml:space="preserve">Waste</w:t>
      </w:r>
      <w:r>
        <w:rPr>
          <w:sz w:val="17"/>
          <w:szCs w:val="17"/>
        </w:rPr>
        <w:t xml:space="preserve"> Management, 2016. </w:t>
      </w:r>
      <w:hyperlink r:id="rId31" w:tooltip="https://pubmed.ncbi.nlm.nih.gov/26525530/" w:history="1">
        <w:r>
          <w:rPr>
            <w:color w:val="0563c1"/>
            <w:sz w:val="17"/>
            <w:szCs w:val="17"/>
            <w:u w:val="single"/>
          </w:rPr>
          <w:t xml:space="preserve">Enlace</w:t>
        </w:r>
      </w:hyperlink>
      <w:r/>
      <w:r/>
    </w:p>
    <w:p w14:paraId="5D48EEF0" w14:textId="77777777">
      <w:pPr>
        <w:pBdr/>
        <w:spacing w:after="70" w:line="252" w:lineRule="auto"/>
        <w:ind w:hanging="540" w:left="540"/>
        <w:rPr/>
      </w:pPr>
      <w:r>
        <w:rPr>
          <w:b/>
          <w:bCs/>
          <w:color w:val="164e4a"/>
          <w:sz w:val="17"/>
          <w:szCs w:val="17"/>
        </w:rPr>
        <w:t xml:space="preserve">[S19] </w:t>
      </w:r>
      <w:r>
        <w:rPr>
          <w:b/>
          <w:bCs/>
          <w:sz w:val="17"/>
          <w:szCs w:val="17"/>
        </w:rPr>
        <w:t xml:space="preserve">LMNeuquén</w:t>
      </w:r>
      <w:r>
        <w:rPr>
          <w:b/>
          <w:bCs/>
          <w:sz w:val="17"/>
          <w:szCs w:val="17"/>
        </w:rPr>
        <w:t xml:space="preserve"> (datos INV). </w:t>
      </w:r>
      <w:r>
        <w:rPr>
          <w:sz w:val="17"/>
          <w:szCs w:val="17"/>
        </w:rPr>
        <w:t xml:space="preserve">Patagonia Norte, a la cabeza de la pérdida de viñedos a nivel nacional. 27/05/2025. </w:t>
      </w:r>
      <w:hyperlink r:id="rId32" w:tooltip="https://masp.lmneuquen.com/vitivinicultura/patagonia-norte-la-cabeza-la-perdida-vinedos-nivel-nacional-n1192286" w:history="1">
        <w:r>
          <w:rPr>
            <w:color w:val="0563c1"/>
            <w:sz w:val="17"/>
            <w:szCs w:val="17"/>
            <w:u w:val="single"/>
          </w:rPr>
          <w:t xml:space="preserve">Enlace</w:t>
        </w:r>
      </w:hyperlink>
      <w:r/>
      <w:r/>
    </w:p>
    <w:p w14:paraId="5203672C" w14:textId="77777777">
      <w:pPr>
        <w:pBdr/>
        <w:spacing w:after="70" w:line="252" w:lineRule="auto"/>
        <w:ind w:hanging="540" w:left="540"/>
        <w:rPr/>
      </w:pPr>
      <w:r>
        <w:rPr>
          <w:b/>
          <w:bCs/>
          <w:color w:val="164e4a"/>
          <w:sz w:val="17"/>
          <w:szCs w:val="17"/>
        </w:rPr>
        <w:t xml:space="preserve">[S20] </w:t>
      </w:r>
      <w:r>
        <w:rPr>
          <w:b/>
          <w:bCs/>
          <w:sz w:val="17"/>
          <w:szCs w:val="17"/>
        </w:rPr>
        <w:t xml:space="preserve">López-Astorga, M. et al. </w:t>
      </w:r>
      <w:r>
        <w:rPr>
          <w:sz w:val="17"/>
          <w:szCs w:val="17"/>
        </w:rPr>
        <w:t xml:space="preserve">Orujo de uva: más que un residuo, una fuente de compuestos bioactivos. Revista Biotecnia / SciELO, 2022. </w:t>
      </w:r>
      <w:hyperlink r:id="rId33" w:tooltip="https://www.scielo.org.mx/scielo.php?script=sci_arttext&amp;pid=S2007-81962022000200115" w:history="1">
        <w:r>
          <w:rPr>
            <w:color w:val="0563c1"/>
            <w:sz w:val="17"/>
            <w:szCs w:val="17"/>
            <w:u w:val="single"/>
          </w:rPr>
          <w:t xml:space="preserve">Enlace</w:t>
        </w:r>
      </w:hyperlink>
      <w:r/>
      <w:r/>
    </w:p>
    <w:p w14:paraId="6799D1BB" w14:textId="77777777">
      <w:pPr>
        <w:pBdr/>
        <w:spacing w:after="70" w:line="252" w:lineRule="auto"/>
        <w:ind w:hanging="540" w:left="540"/>
        <w:rPr/>
      </w:pPr>
      <w:r>
        <w:rPr>
          <w:b/>
          <w:bCs/>
          <w:color w:val="164e4a"/>
          <w:sz w:val="17"/>
          <w:szCs w:val="17"/>
        </w:rPr>
        <w:t xml:space="preserve">[S21] </w:t>
      </w:r>
      <w:r>
        <w:rPr>
          <w:b/>
          <w:bCs/>
          <w:sz w:val="17"/>
          <w:szCs w:val="17"/>
        </w:rPr>
        <w:t xml:space="preserve">Bichos de Campo. </w:t>
      </w:r>
      <w:r>
        <w:rPr>
          <w:sz w:val="17"/>
          <w:szCs w:val="17"/>
        </w:rPr>
        <w:t xml:space="preserve">Más invernaderos y más concentración: el cinturón hortícola rionegrino triplicó su producción bajo cubierta en menos de una década. 10/05/2026. </w:t>
      </w:r>
      <w:hyperlink r:id="rId34" w:tooltip="https://bichosdecampo.com/mas-invernaderos-y-mas-concentracion-sin-sumar-demasiados-jugadores-nuevos-el-cinturon-horticola-rionegrino-triplico-su-produccion-bajo-cubierta-en-menos-de-una-decada-y-abre-interrogantes-sobre-su/" w:history="1">
        <w:r>
          <w:rPr>
            <w:color w:val="0563c1"/>
            <w:sz w:val="17"/>
            <w:szCs w:val="17"/>
            <w:u w:val="single"/>
          </w:rPr>
          <w:t xml:space="preserve">Enlace</w:t>
        </w:r>
      </w:hyperlink>
      <w:r/>
      <w:r/>
    </w:p>
    <w:p w14:paraId="130FEF78" w14:textId="77777777">
      <w:pPr>
        <w:pBdr/>
        <w:spacing w:after="70" w:line="252" w:lineRule="auto"/>
        <w:ind w:hanging="540" w:left="540"/>
        <w:rPr/>
      </w:pPr>
      <w:r>
        <w:rPr>
          <w:b/>
          <w:bCs/>
          <w:color w:val="164e4a"/>
          <w:sz w:val="17"/>
          <w:szCs w:val="17"/>
        </w:rPr>
        <w:t xml:space="preserve">[S22] </w:t>
      </w:r>
      <w:r>
        <w:rPr>
          <w:b/>
          <w:bCs/>
          <w:sz w:val="17"/>
          <w:szCs w:val="17"/>
        </w:rPr>
        <w:t xml:space="preserve">Neuquén Informa. </w:t>
      </w:r>
      <w:r>
        <w:rPr>
          <w:sz w:val="17"/>
          <w:szCs w:val="17"/>
        </w:rPr>
        <w:t xml:space="preserve">Neuquén apuesta a incrementar su producción para abastecer el consumo local. 02/09/2024. </w:t>
      </w:r>
      <w:hyperlink r:id="rId35" w:tooltip="https://www.neuqueninforma.gob.ar/noticias/2024/09/02/242687-neuquen-apuesta-a-incrementar-su-produccion-para-abastecer-el-consumo-local" w:history="1">
        <w:r>
          <w:rPr>
            <w:color w:val="0563c1"/>
            <w:sz w:val="17"/>
            <w:szCs w:val="17"/>
            <w:u w:val="single"/>
          </w:rPr>
          <w:t xml:space="preserve">Enlace</w:t>
        </w:r>
      </w:hyperlink>
      <w:r/>
      <w:r/>
    </w:p>
    <w:p w14:paraId="65627DB9" w14:textId="77777777">
      <w:pPr>
        <w:pBdr/>
        <w:spacing w:after="70" w:line="252" w:lineRule="auto"/>
        <w:ind w:hanging="540" w:left="540"/>
        <w:rPr/>
      </w:pPr>
      <w:r>
        <w:rPr>
          <w:b/>
          <w:bCs/>
          <w:color w:val="164e4a"/>
          <w:sz w:val="17"/>
          <w:szCs w:val="17"/>
        </w:rPr>
        <w:t xml:space="preserve">[S23] </w:t>
      </w:r>
      <w:r>
        <w:rPr>
          <w:b/>
          <w:bCs/>
          <w:sz w:val="17"/>
          <w:szCs w:val="17"/>
        </w:rPr>
        <w:t xml:space="preserve">ANR (datos INDEC). </w:t>
      </w:r>
      <w:r>
        <w:rPr>
          <w:sz w:val="17"/>
          <w:szCs w:val="17"/>
        </w:rPr>
        <w:t xml:space="preserve">Datos definitivos Censo 2022: ¿cuántos habitantes hay en el departamento General Roca? 21/11/2023. </w:t>
      </w:r>
      <w:hyperlink r:id="rId36" w:tooltip="https://www.anroca.com.ar/noticias/2023/11/21/152881-datos-definitivos-censo-2022-cuantos-habitantes-hay-en-el-departamento-general-roca" w:history="1">
        <w:r>
          <w:rPr>
            <w:color w:val="0563c1"/>
            <w:sz w:val="17"/>
            <w:szCs w:val="17"/>
            <w:u w:val="single"/>
          </w:rPr>
          <w:t xml:space="preserve">Enlace</w:t>
        </w:r>
      </w:hyperlink>
      <w:r/>
      <w:r/>
    </w:p>
    <w:p w14:paraId="0E7E05B7" w14:textId="77777777">
      <w:pPr>
        <w:pBdr/>
        <w:spacing w:after="70" w:line="252" w:lineRule="auto"/>
        <w:ind w:hanging="540" w:left="540"/>
        <w:rPr/>
      </w:pPr>
      <w:r>
        <w:rPr>
          <w:b/>
          <w:bCs/>
          <w:color w:val="164e4a"/>
          <w:sz w:val="17"/>
          <w:szCs w:val="17"/>
        </w:rPr>
        <w:t xml:space="preserve">[S24] </w:t>
      </w:r>
      <w:r>
        <w:rPr>
          <w:b/>
          <w:bCs/>
          <w:sz w:val="17"/>
          <w:szCs w:val="17"/>
        </w:rPr>
        <w:t xml:space="preserve">COPADE Neuquén. </w:t>
      </w:r>
      <w:r>
        <w:rPr>
          <w:sz w:val="17"/>
          <w:szCs w:val="17"/>
        </w:rPr>
        <w:t xml:space="preserve">Demografía y dinámica poblacional (Censo 2022). Consulta 25/09/2026. </w:t>
      </w:r>
      <w:hyperlink r:id="rId37" w:tooltip="https://www.copade.gob.ar/demografia-y-dinamica-poblacional/" w:history="1">
        <w:r>
          <w:rPr>
            <w:color w:val="0563c1"/>
            <w:sz w:val="17"/>
            <w:szCs w:val="17"/>
            <w:u w:val="single"/>
          </w:rPr>
          <w:t xml:space="preserve">Enlace</w:t>
        </w:r>
      </w:hyperlink>
      <w:r/>
      <w:r/>
    </w:p>
    <w:p w14:paraId="13ADF95A" w14:textId="77777777">
      <w:pPr>
        <w:pBdr/>
        <w:spacing w:after="70" w:line="252" w:lineRule="auto"/>
        <w:ind w:hanging="540" w:left="540"/>
        <w:rPr/>
      </w:pPr>
      <w:r>
        <w:rPr>
          <w:b/>
          <w:bCs/>
          <w:color w:val="164e4a"/>
          <w:sz w:val="17"/>
          <w:szCs w:val="17"/>
        </w:rPr>
        <w:t xml:space="preserve">[S25] </w:t>
      </w:r>
      <w:r>
        <w:rPr>
          <w:b/>
          <w:bCs/>
          <w:sz w:val="17"/>
          <w:szCs w:val="17"/>
        </w:rPr>
        <w:t xml:space="preserve">Argentina.gob.ar. </w:t>
      </w:r>
      <w:r>
        <w:rPr>
          <w:sz w:val="17"/>
          <w:szCs w:val="17"/>
        </w:rPr>
        <w:t xml:space="preserve">Tomate: un fruto que supera las expectativas y promete un sostenido crecimiento. 22/08/2022. </w:t>
      </w:r>
      <w:hyperlink r:id="rId38" w:tooltip="https://www.argentina.gob.ar/noticias/tomate-un-fruto-que-supera-las-expectativas-y-promete-un-sostenido-crecimiento" w:history="1">
        <w:r>
          <w:rPr>
            <w:color w:val="0563c1"/>
            <w:sz w:val="17"/>
            <w:szCs w:val="17"/>
            <w:u w:val="single"/>
          </w:rPr>
          <w:t xml:space="preserve">Enlace</w:t>
        </w:r>
      </w:hyperlink>
      <w:r/>
      <w:r/>
    </w:p>
    <w:p w14:paraId="1443AA32" w14:textId="77777777">
      <w:pPr>
        <w:pBdr/>
        <w:spacing w:after="70" w:line="252" w:lineRule="auto"/>
        <w:ind w:hanging="540" w:left="540"/>
        <w:rPr/>
      </w:pPr>
      <w:r>
        <w:rPr>
          <w:b/>
          <w:bCs/>
          <w:color w:val="164e4a"/>
          <w:sz w:val="17"/>
          <w:szCs w:val="17"/>
        </w:rPr>
        <w:t xml:space="preserve">[S26] </w:t>
      </w:r>
      <w:r>
        <w:rPr>
          <w:b/>
          <w:bCs/>
          <w:sz w:val="17"/>
          <w:szCs w:val="17"/>
        </w:rPr>
        <w:t xml:space="preserve">UNLP, Facultad de Ciencias Agrarias y Forestales. </w:t>
      </w:r>
      <w:r>
        <w:rPr>
          <w:sz w:val="17"/>
          <w:szCs w:val="17"/>
        </w:rPr>
        <w:t xml:space="preserve">Trabajo final: Productividad de plantas injertadas de tomate (densidad, conducción a 2 y 4 ramas, costo del plantín injertado). </w:t>
      </w:r>
      <w:hyperlink r:id="rId39" w:tooltip="http://sedici.unlp.edu.ar/bitstream/handle/10915/63581/Documento_completo.pdf?sequence=1" w:history="1">
        <w:r>
          <w:rPr>
            <w:color w:val="0563c1"/>
            <w:sz w:val="17"/>
            <w:szCs w:val="17"/>
            <w:u w:val="single"/>
          </w:rPr>
          <w:t xml:space="preserve">Enlace</w:t>
        </w:r>
      </w:hyperlink>
      <w:r/>
      <w:r/>
    </w:p>
    <w:p w14:paraId="02E4F1FF" w14:textId="77777777">
      <w:pPr>
        <w:pBdr/>
        <w:spacing w:after="70" w:line="252" w:lineRule="auto"/>
        <w:ind w:hanging="540" w:left="540"/>
        <w:rPr/>
      </w:pPr>
      <w:r>
        <w:rPr>
          <w:b/>
          <w:bCs/>
          <w:color w:val="164e4a"/>
          <w:sz w:val="17"/>
          <w:szCs w:val="17"/>
        </w:rPr>
        <w:t xml:space="preserve">[S27] </w:t>
      </w:r>
      <w:r>
        <w:rPr>
          <w:b/>
          <w:bCs/>
          <w:sz w:val="17"/>
          <w:szCs w:val="17"/>
        </w:rPr>
        <w:t xml:space="preserve">Precios del Central (relevamiento del Mercado Central de Buenos Aires). </w:t>
      </w:r>
      <w:r>
        <w:rPr>
          <w:sz w:val="17"/>
          <w:szCs w:val="17"/>
        </w:rPr>
        <w:t xml:space="preserve">Precio mayorista promedio del tomate redondo: $ 383/kg. 25/09/2026. </w:t>
      </w:r>
      <w:hyperlink r:id="rId40" w:tooltip="https://preciosdelcentral.com.ar/buenosaires" w:history="1">
        <w:r>
          <w:rPr>
            <w:color w:val="0563c1"/>
            <w:sz w:val="17"/>
            <w:szCs w:val="17"/>
            <w:u w:val="single"/>
          </w:rPr>
          <w:t xml:space="preserve">Enlace</w:t>
        </w:r>
      </w:hyperlink>
      <w:r/>
      <w:r/>
    </w:p>
    <w:p w14:paraId="24246F19" w14:textId="77777777">
      <w:pPr>
        <w:pBdr/>
        <w:spacing w:after="70" w:line="252" w:lineRule="auto"/>
        <w:ind w:hanging="540" w:left="540"/>
        <w:rPr/>
      </w:pPr>
      <w:r>
        <w:rPr>
          <w:b/>
          <w:bCs/>
          <w:color w:val="164e4a"/>
          <w:sz w:val="17"/>
          <w:szCs w:val="17"/>
        </w:rPr>
        <w:t xml:space="preserve">[S28</w:t>
      </w:r>
      <w:r>
        <w:rPr>
          <w:b/>
          <w:bCs/>
          <w:color w:val="164e4a"/>
          <w:sz w:val="17"/>
          <w:szCs w:val="17"/>
        </w:rPr>
        <w:t xml:space="preserve">] </w:t>
      </w:r>
      <w:r>
        <w:rPr>
          <w:b/>
          <w:bCs/>
          <w:sz w:val="17"/>
          <w:szCs w:val="17"/>
        </w:rPr>
        <w:t xml:space="preserve">DolarApi</w:t>
      </w:r>
      <w:r>
        <w:rPr>
          <w:b/>
          <w:bCs/>
          <w:sz w:val="17"/>
          <w:szCs w:val="17"/>
        </w:rPr>
        <w:t xml:space="preserve">. </w:t>
      </w:r>
      <w:r>
        <w:rPr>
          <w:sz w:val="17"/>
          <w:szCs w:val="17"/>
        </w:rPr>
        <w:t xml:space="preserve">Cotización del dólar oficial: $ 1.500 compra / $ 1.550 venta. 28/09/2026. </w:t>
      </w:r>
      <w:hyperlink r:id="rId41" w:tooltip="https://dolarapi.com/v1/dolares/oficial" w:history="1">
        <w:r>
          <w:rPr>
            <w:color w:val="0563c1"/>
            <w:sz w:val="17"/>
            <w:szCs w:val="17"/>
            <w:u w:val="single"/>
          </w:rPr>
          <w:t xml:space="preserve">Enlace</w:t>
        </w:r>
      </w:hyperlink>
      <w:r/>
      <w:r/>
    </w:p>
    <w:p w14:paraId="24C6D30D" w14:textId="77777777">
      <w:pPr>
        <w:pBdr/>
        <w:spacing/>
        <w:ind/>
        <w:rPr>
          <w:sz w:val="17"/>
          <w:szCs w:val="17"/>
        </w:rPr>
      </w:pPr>
      <w:r>
        <w:rPr>
          <w:b/>
          <w:bCs/>
          <w:color w:val="164e4a"/>
          <w:sz w:val="17"/>
          <w:szCs w:val="17"/>
        </w:rPr>
        <w:t xml:space="preserve">[S29]</w:t>
      </w:r>
      <w:r>
        <w:rPr>
          <w:color w:val="164e4a"/>
          <w:sz w:val="17"/>
          <w:szCs w:val="17"/>
        </w:rPr>
        <w:t xml:space="preserve"> </w:t>
      </w:r>
      <w:r>
        <w:rPr>
          <w:sz w:val="17"/>
          <w:szCs w:val="17"/>
        </w:rPr>
        <w:t xml:space="preserve">Gobierno de la Provincia del Neuquén. “Las hortalizas de Centenario y Vista Alegre ganan terreno en las góndolas regionales”. 14/11/2025. </w:t>
      </w:r>
      <w:hyperlink r:id="rId42" w:tooltip="https://www.neuqueninforma.gob.ar/amp/noticias/2025/11/14/252511-las-hortalizas-de-centenario-y-vista-alegre-ganan-terreno-en-las-gondolas-regionales" w:history="1">
        <w:r>
          <w:rPr>
            <w:color w:val="0563c1"/>
            <w:sz w:val="17"/>
            <w:szCs w:val="17"/>
            <w:u w:val="single"/>
          </w:rPr>
          <w:t xml:space="preserve">Enlace</w:t>
        </w:r>
      </w:hyperlink>
      <w:r/>
      <w:r>
        <w:rPr>
          <w:sz w:val="17"/>
          <w:szCs w:val="17"/>
        </w:rPr>
      </w:r>
    </w:p>
    <w:p w14:paraId="7A9B5058" w14:textId="77777777">
      <w:pPr>
        <w:pBdr/>
        <w:spacing/>
        <w:ind/>
        <w:rPr>
          <w:sz w:val="17"/>
          <w:szCs w:val="17"/>
        </w:rPr>
      </w:pPr>
      <w:r>
        <w:rPr>
          <w:b/>
          <w:bCs/>
          <w:color w:val="164e4a"/>
          <w:sz w:val="17"/>
          <w:szCs w:val="17"/>
        </w:rPr>
        <w:t xml:space="preserve">[S30]</w:t>
      </w:r>
      <w:r>
        <w:rPr>
          <w:color w:val="164e4a"/>
          <w:sz w:val="17"/>
          <w:szCs w:val="17"/>
        </w:rPr>
        <w:t xml:space="preserve"> </w:t>
      </w:r>
      <w:r>
        <w:rPr>
          <w:b/>
          <w:bCs/>
          <w:sz w:val="17"/>
          <w:szCs w:val="17"/>
        </w:rPr>
        <w:t xml:space="preserve">INTA Alto Valle.</w:t>
      </w:r>
      <w:r>
        <w:rPr>
          <w:sz w:val="17"/>
          <w:szCs w:val="17"/>
        </w:rPr>
        <w:t xml:space="preserve"> Ensilado y conservación de orujo de manzana para alimentación ganadera y enmiendas orgánicas. 2023. </w:t>
      </w:r>
      <w:hyperlink r:id="rId43" w:tooltip="https://inta.gob.ar/alto-valle" w:history="1">
        <w:r>
          <w:rPr>
            <w:rStyle w:val="187"/>
            <w:sz w:val="17"/>
            <w:szCs w:val="17"/>
          </w:rPr>
          <w:t xml:space="preserve">Enlace</w:t>
        </w:r>
        <w:r>
          <w:rPr>
            <w:rStyle w:val="187"/>
            <w:sz w:val="17"/>
            <w:szCs w:val="17"/>
          </w:rPr>
        </w:r>
      </w:hyperlink>
      <w:r/>
      <w:r>
        <w:rPr>
          <w:sz w:val="17"/>
          <w:szCs w:val="17"/>
        </w:rPr>
      </w:r>
    </w:p>
    <w:p w14:paraId="336629C5" w14:textId="77777777">
      <w:pPr>
        <w:pBdr/>
        <w:spacing/>
        <w:ind/>
        <w:rPr>
          <w:sz w:val="17"/>
          <w:szCs w:val="17"/>
        </w:rPr>
      </w:pPr>
      <w:r>
        <w:rPr>
          <w:b/>
          <w:bCs/>
          <w:color w:val="164e4a"/>
          <w:sz w:val="17"/>
          <w:szCs w:val="17"/>
        </w:rPr>
        <w:t xml:space="preserve">[S31]</w:t>
      </w:r>
      <w:r>
        <w:rPr>
          <w:color w:val="164e4a"/>
          <w:sz w:val="17"/>
          <w:szCs w:val="17"/>
        </w:rPr>
        <w:t xml:space="preserve"> </w:t>
      </w:r>
      <w:r>
        <w:rPr>
          <w:b/>
          <w:bCs/>
          <w:sz w:val="17"/>
          <w:szCs w:val="17"/>
        </w:rPr>
        <w:t xml:space="preserve">De </w:t>
      </w:r>
      <w:r>
        <w:rPr>
          <w:b/>
          <w:bCs/>
          <w:sz w:val="17"/>
          <w:szCs w:val="17"/>
        </w:rPr>
        <w:t xml:space="preserve">Ruiter</w:t>
      </w:r>
      <w:r>
        <w:rPr>
          <w:b/>
          <w:bCs/>
          <w:sz w:val="17"/>
          <w:szCs w:val="17"/>
        </w:rPr>
        <w:t xml:space="preserve"> / Bayer Vegetables.</w:t>
      </w:r>
      <w:r>
        <w:rPr>
          <w:sz w:val="17"/>
          <w:szCs w:val="17"/>
        </w:rPr>
        <w:t xml:space="preserve"> Ficha técnica de portainjerto </w:t>
      </w:r>
      <w:r>
        <w:rPr>
          <w:sz w:val="17"/>
          <w:szCs w:val="17"/>
        </w:rPr>
        <w:t xml:space="preserve">Maxifort</w:t>
      </w:r>
      <w:r>
        <w:rPr>
          <w:sz w:val="17"/>
          <w:szCs w:val="17"/>
        </w:rPr>
        <w:t xml:space="preserve"> F1 para solanáceas. Consulta 2026. </w:t>
      </w:r>
      <w:hyperlink r:id="rId44" w:tooltip="https://www.vegetables.bayer.com/is/es-es/productos/catalogo/details.html/rootstock_maxifort_argentina_seminis_fresh_market_open_field_fresh_market_all.html" w:history="1">
        <w:r>
          <w:rPr>
            <w:rStyle w:val="187"/>
            <w:sz w:val="17"/>
            <w:szCs w:val="17"/>
          </w:rPr>
          <w:t xml:space="preserve">Enlace</w:t>
        </w:r>
        <w:r>
          <w:rPr>
            <w:rStyle w:val="187"/>
            <w:sz w:val="17"/>
            <w:szCs w:val="17"/>
          </w:rPr>
        </w:r>
      </w:hyperlink>
      <w:r/>
      <w:r>
        <w:rPr>
          <w:sz w:val="17"/>
          <w:szCs w:val="17"/>
        </w:rPr>
      </w:r>
    </w:p>
    <w:p w14:paraId="715D3052" w14:textId="77777777">
      <w:pPr>
        <w:pBdr/>
        <w:spacing/>
        <w:ind/>
        <w:rPr>
          <w:sz w:val="17"/>
          <w:szCs w:val="17"/>
        </w:rPr>
      </w:pPr>
      <w:r>
        <w:rPr>
          <w:sz w:val="17"/>
          <w:szCs w:val="17"/>
        </w:rPr>
        <w:t xml:space="preserve">[</w:t>
      </w:r>
      <w:r>
        <w:rPr>
          <w:b/>
          <w:bCs/>
          <w:color w:val="164e4a"/>
          <w:sz w:val="17"/>
          <w:szCs w:val="17"/>
        </w:rPr>
        <w:t xml:space="preserve">S32]</w:t>
      </w:r>
      <w:r>
        <w:rPr>
          <w:color w:val="164e4a"/>
          <w:sz w:val="17"/>
          <w:szCs w:val="17"/>
        </w:rPr>
        <w:t xml:space="preserve"> </w:t>
      </w:r>
      <w:r>
        <w:rPr>
          <w:b/>
          <w:bCs/>
          <w:sz w:val="17"/>
          <w:szCs w:val="17"/>
        </w:rPr>
        <w:t xml:space="preserve">UATRE.</w:t>
      </w:r>
      <w:r>
        <w:rPr>
          <w:sz w:val="17"/>
          <w:szCs w:val="17"/>
        </w:rPr>
        <w:t xml:space="preserve"> Escala salarial vigente para trabajadores rurales especializados en propagación y viveros. 2026. </w:t>
      </w:r>
      <w:hyperlink r:id="rId45" w:tooltip="https://uatre.org.ar/escalas-salariales/" w:history="1">
        <w:r>
          <w:rPr>
            <w:rStyle w:val="187"/>
            <w:sz w:val="17"/>
            <w:szCs w:val="17"/>
          </w:rPr>
          <w:t xml:space="preserve">Enlace</w:t>
        </w:r>
        <w:r>
          <w:rPr>
            <w:rStyle w:val="187"/>
            <w:sz w:val="17"/>
            <w:szCs w:val="17"/>
          </w:rPr>
        </w:r>
      </w:hyperlink>
      <w:r/>
      <w:r>
        <w:rPr>
          <w:sz w:val="17"/>
          <w:szCs w:val="17"/>
        </w:rPr>
      </w:r>
    </w:p>
    <w:sectPr>
      <w:headerReference w:type="default" r:id="rId11"/>
      <w:footerReference w:type="default" r:id="rId14"/>
      <w:footnotePr/>
      <w:endnotePr/>
      <w:type w:val="nextPage"/>
      <w:pgSz w:h="16838" w:orient="portrait" w:w="11906"/>
      <w:pgMar w:top="964" w:right="1077" w:bottom="907" w:left="1077" w:header="454" w:footer="454"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3E48321" w14:textId="77777777">
      <w:pPr>
        <w:pBdr/>
        <w:spacing/>
        <w:ind/>
        <w:rPr/>
      </w:pPr>
      <w:r>
        <w:separator/>
      </w:r>
      <w:r/>
    </w:p>
  </w:endnote>
  <w:endnote w:type="continuationSeparator" w:id="0">
    <w:p w14:paraId="75ECC4EA"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Georgia">
    <w:panose1 w:val="02020502060505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0773DAD" w14:textId="77777777">
    <w:pPr>
      <w:pBdr/>
      <w:spacing/>
      <w:ind/>
      <w:jc w:val="right"/>
      <w:rPr/>
    </w:pPr>
    <w:r>
      <w:rPr>
        <w:color w:val="52606d"/>
        <w:sz w:val="15"/>
        <w:szCs w:val="15"/>
      </w:rPr>
      <w:t xml:space="preserve">VFW · Plantines injertados y sanidad radicular   ·   Página </w:t>
    </w:r>
    <w:r>
      <w:rPr>
        <w:color w:val="52606d"/>
        <w:sz w:val="15"/>
        <w:szCs w:val="15"/>
      </w:rPr>
      <w:fldChar w:fldCharType="begin"/>
    </w:r>
    <w:r>
      <w:rPr>
        <w:color w:val="52606d"/>
        <w:sz w:val="15"/>
        <w:szCs w:val="15"/>
      </w:rPr>
      <w:instrText xml:space="preserve">PAGE</w:instrText>
    </w:r>
    <w:r>
      <w:rPr>
        <w:color w:val="52606d"/>
        <w:sz w:val="15"/>
        <w:szCs w:val="15"/>
      </w:rPr>
      <w:fldChar w:fldCharType="separate"/>
    </w:r>
    <w:r>
      <w:rPr>
        <w:color w:val="52606d"/>
        <w:sz w:val="15"/>
        <w:szCs w:val="15"/>
      </w:rPr>
      <w:t xml:space="preserve">1</w:t>
    </w:r>
    <w:r>
      <w:rPr>
        <w:color w:val="52606d"/>
        <w:sz w:val="15"/>
        <w:szCs w:val="15"/>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7FE5ED" w14:textId="7C1BE3C7">
    <w:pPr>
      <w:pBdr/>
      <w:spacing/>
      <w:ind/>
      <w:jc w:val="right"/>
      <w:rPr/>
    </w:pPr>
    <w:r>
      <w:rPr>
        <w:color w:val="52606d"/>
        <w:sz w:val="15"/>
        <w:szCs w:val="15"/>
      </w:rPr>
      <w:t xml:space="preserve">VFW · Plantines injertados y sanidad radicular   ·   Página </w:t>
    </w:r>
    <w:r>
      <w:rPr>
        <w:color w:val="52606d"/>
        <w:sz w:val="15"/>
        <w:szCs w:val="15"/>
      </w:rPr>
      <w:fldChar w:fldCharType="begin"/>
    </w:r>
    <w:r>
      <w:rPr>
        <w:color w:val="52606d"/>
        <w:sz w:val="15"/>
        <w:szCs w:val="15"/>
      </w:rPr>
      <w:instrText xml:space="preserve">PAGE</w:instrText>
    </w:r>
    <w:r>
      <w:rPr>
        <w:color w:val="52606d"/>
        <w:sz w:val="15"/>
        <w:szCs w:val="15"/>
      </w:rPr>
      <w:fldChar w:fldCharType="separate"/>
    </w:r>
    <w:r>
      <w:rPr>
        <w:color w:val="52606d"/>
        <w:sz w:val="15"/>
        <w:szCs w:val="15"/>
      </w:rPr>
      <w:t xml:space="preserve">12</w:t>
    </w:r>
    <w:r>
      <w:rPr>
        <w:color w:val="52606d"/>
        <w:sz w:val="15"/>
        <w:szCs w:val="15"/>
      </w:rP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C3CD6E0" w14:textId="54FE49DE">
    <w:pPr>
      <w:pBdr/>
      <w:spacing/>
      <w:ind/>
      <w:jc w:val="right"/>
      <w:rPr/>
    </w:pPr>
    <w:r>
      <w:rPr>
        <w:color w:val="52606d"/>
        <w:sz w:val="15"/>
        <w:szCs w:val="15"/>
      </w:rPr>
      <w:t xml:space="preserve">VFW · Plantines injertados y sanidad radicular   ·   Página </w:t>
    </w:r>
    <w:r>
      <w:rPr>
        <w:color w:val="52606d"/>
        <w:sz w:val="15"/>
        <w:szCs w:val="15"/>
      </w:rPr>
      <w:fldChar w:fldCharType="begin"/>
    </w:r>
    <w:r>
      <w:rPr>
        <w:color w:val="52606d"/>
        <w:sz w:val="15"/>
        <w:szCs w:val="15"/>
      </w:rPr>
      <w:instrText xml:space="preserve">PAGE</w:instrText>
    </w:r>
    <w:r>
      <w:rPr>
        <w:color w:val="52606d"/>
        <w:sz w:val="15"/>
        <w:szCs w:val="15"/>
      </w:rPr>
      <w:fldChar w:fldCharType="separate"/>
    </w:r>
    <w:r>
      <w:rPr>
        <w:color w:val="52606d"/>
        <w:sz w:val="15"/>
        <w:szCs w:val="15"/>
      </w:rPr>
      <w:t xml:space="preserve">13</w:t>
    </w:r>
    <w:r>
      <w:rPr>
        <w:color w:val="52606d"/>
        <w:sz w:val="15"/>
        <w:szCs w:val="15"/>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506A0D3" w14:textId="77777777">
      <w:pPr>
        <w:pBdr/>
        <w:spacing/>
        <w:ind/>
        <w:rPr/>
      </w:pPr>
      <w:r>
        <w:separator/>
      </w:r>
      <w:r/>
    </w:p>
  </w:footnote>
  <w:footnote w:type="continuationSeparator" w:id="0">
    <w:p w14:paraId="55D34057"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A0A2FC9" w14:textId="77777777">
    <w:pPr>
      <w:pBdr/>
      <w:spacing/>
      <w:ind/>
      <w:jc w:val="right"/>
      <w:rPr/>
    </w:pPr>
    <w:r>
      <w:rPr>
        <w:color w:val="646464"/>
        <w:sz w:val="17"/>
      </w:rPr>
      <w:t xml:space="preserve">UTN FRBA · Sistemas de Gestión · Entregable docente v2.4 · </w:t>
    </w:r>
    <w:r>
      <w:rPr>
        <w:color w:val="646464"/>
        <w:sz w:val="17"/>
      </w:rPr>
      <w:t xml:space="preserve">Octubre</w:t>
    </w:r>
    <w:r>
      <w:rPr>
        <w:color w:val="646464"/>
        <w:sz w:val="17"/>
      </w:rPr>
      <w:t xml:space="preserve"> 2026</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F6645D9" w14:textId="77777777">
    <w:pPr>
      <w:pBdr/>
      <w:spacing/>
      <w:ind/>
      <w:jc w:val="right"/>
      <w:rPr/>
    </w:pPr>
    <w:r>
      <w:rPr>
        <w:color w:val="646464"/>
        <w:sz w:val="17"/>
      </w:rPr>
      <w:t xml:space="preserve">UTN FRBA · Sistemas de Gestión · Entregable docente v2.4 · </w:t>
    </w:r>
    <w:r>
      <w:rPr>
        <w:color w:val="646464"/>
        <w:sz w:val="17"/>
      </w:rPr>
      <w:t xml:space="preserve">Octubre</w:t>
    </w:r>
    <w:r>
      <w:rPr>
        <w:color w:val="646464"/>
        <w:sz w:val="17"/>
      </w:rPr>
      <w:t xml:space="preserve"> 2026</w: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556FB74" w14:textId="77777777">
    <w:pPr>
      <w:pBdr/>
      <w:spacing/>
      <w:ind/>
      <w:jc w:val="right"/>
      <w:rPr/>
    </w:pPr>
    <w:r>
      <w:rPr>
        <w:color w:val="646464"/>
        <w:sz w:val="17"/>
      </w:rPr>
      <w:t xml:space="preserve">UTN FRBA · Sistemas de Gestión · Entregable docente v2.4 · </w:t>
    </w:r>
    <w:r>
      <w:rPr>
        <w:color w:val="646464"/>
        <w:sz w:val="17"/>
      </w:rPr>
      <w:t xml:space="preserve">Octubre</w:t>
    </w:r>
    <w:r>
      <w:rPr>
        <w:color w:val="646464"/>
        <w:sz w:val="17"/>
      </w:rPr>
      <w:t xml:space="preserve"> 2026</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5D1223"/>
    <w:lvl w:ilvl="0">
      <w:isLgl w:val="false"/>
      <w:lvlJc w:val="left"/>
      <w:lvlText w:val=""/>
      <w:numFmt w:val="bullet"/>
      <w:pPr>
        <w:pBdr/>
        <w:spacing/>
        <w:ind w:hanging="360" w:left="758"/>
      </w:pPr>
      <w:rPr>
        <w:rFonts w:hint="default" w:ascii="Symbol" w:hAnsi="Symbol"/>
      </w:rPr>
      <w:start w:val="1"/>
      <w:suff w:val="tab"/>
    </w:lvl>
    <w:lvl w:ilvl="1">
      <w:isLgl w:val="false"/>
      <w:lvlJc w:val="left"/>
      <w:lvlText w:val="o"/>
      <w:numFmt w:val="bullet"/>
      <w:pPr>
        <w:pBdr/>
        <w:spacing/>
        <w:ind w:hanging="360" w:left="1478"/>
      </w:pPr>
      <w:rPr>
        <w:rFonts w:hint="default" w:ascii="Courier New" w:hAnsi="Courier New" w:cs="Courier New"/>
      </w:rPr>
      <w:start w:val="1"/>
      <w:suff w:val="tab"/>
    </w:lvl>
    <w:lvl w:ilvl="2">
      <w:isLgl w:val="false"/>
      <w:lvlJc w:val="left"/>
      <w:lvlText w:val=""/>
      <w:numFmt w:val="bullet"/>
      <w:pPr>
        <w:pBdr/>
        <w:spacing/>
        <w:ind w:hanging="360" w:left="2198"/>
      </w:pPr>
      <w:rPr>
        <w:rFonts w:hint="default" w:ascii="Wingdings" w:hAnsi="Wingdings"/>
      </w:rPr>
      <w:start w:val="1"/>
      <w:suff w:val="tab"/>
    </w:lvl>
    <w:lvl w:ilvl="3">
      <w:isLgl w:val="false"/>
      <w:lvlJc w:val="left"/>
      <w:lvlText w:val=""/>
      <w:numFmt w:val="bullet"/>
      <w:pPr>
        <w:pBdr/>
        <w:spacing/>
        <w:ind w:hanging="360" w:left="2918"/>
      </w:pPr>
      <w:rPr>
        <w:rFonts w:hint="default" w:ascii="Symbol" w:hAnsi="Symbol"/>
      </w:rPr>
      <w:start w:val="1"/>
      <w:suff w:val="tab"/>
    </w:lvl>
    <w:lvl w:ilvl="4">
      <w:isLgl w:val="false"/>
      <w:lvlJc w:val="left"/>
      <w:lvlText w:val="o"/>
      <w:numFmt w:val="bullet"/>
      <w:pPr>
        <w:pBdr/>
        <w:spacing/>
        <w:ind w:hanging="360" w:left="3638"/>
      </w:pPr>
      <w:rPr>
        <w:rFonts w:hint="default" w:ascii="Courier New" w:hAnsi="Courier New" w:cs="Courier New"/>
      </w:rPr>
      <w:start w:val="1"/>
      <w:suff w:val="tab"/>
    </w:lvl>
    <w:lvl w:ilvl="5">
      <w:isLgl w:val="false"/>
      <w:lvlJc w:val="left"/>
      <w:lvlText w:val=""/>
      <w:numFmt w:val="bullet"/>
      <w:pPr>
        <w:pBdr/>
        <w:spacing/>
        <w:ind w:hanging="360" w:left="4358"/>
      </w:pPr>
      <w:rPr>
        <w:rFonts w:hint="default" w:ascii="Wingdings" w:hAnsi="Wingdings"/>
      </w:rPr>
      <w:start w:val="1"/>
      <w:suff w:val="tab"/>
    </w:lvl>
    <w:lvl w:ilvl="6">
      <w:isLgl w:val="false"/>
      <w:lvlJc w:val="left"/>
      <w:lvlText w:val=""/>
      <w:numFmt w:val="bullet"/>
      <w:pPr>
        <w:pBdr/>
        <w:spacing/>
        <w:ind w:hanging="360" w:left="5078"/>
      </w:pPr>
      <w:rPr>
        <w:rFonts w:hint="default" w:ascii="Symbol" w:hAnsi="Symbol"/>
      </w:rPr>
      <w:start w:val="1"/>
      <w:suff w:val="tab"/>
    </w:lvl>
    <w:lvl w:ilvl="7">
      <w:isLgl w:val="false"/>
      <w:lvlJc w:val="left"/>
      <w:lvlText w:val="o"/>
      <w:numFmt w:val="bullet"/>
      <w:pPr>
        <w:pBdr/>
        <w:spacing/>
        <w:ind w:hanging="360" w:left="5798"/>
      </w:pPr>
      <w:rPr>
        <w:rFonts w:hint="default" w:ascii="Courier New" w:hAnsi="Courier New" w:cs="Courier New"/>
      </w:rPr>
      <w:start w:val="1"/>
      <w:suff w:val="tab"/>
    </w:lvl>
    <w:lvl w:ilvl="8">
      <w:isLgl w:val="false"/>
      <w:lvlJc w:val="left"/>
      <w:lvlText w:val=""/>
      <w:numFmt w:val="bullet"/>
      <w:pPr>
        <w:pBdr/>
        <w:spacing/>
        <w:ind w:hanging="360" w:left="6518"/>
      </w:pPr>
      <w:rPr>
        <w:rFonts w:hint="default" w:ascii="Wingdings" w:hAnsi="Wingdings"/>
      </w:rPr>
      <w:start w:val="1"/>
      <w:suff w:val="tab"/>
    </w:lvl>
  </w:abstractNum>
  <w:abstractNum w:abstractNumId="1">
    <w:nsid w:val="3E6F778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57563F6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760734AC"/>
    <w:lvl w:ilvl="0">
      <w:isLgl w:val="false"/>
      <w:lvlJc w:val="left"/>
      <w:lvlText w:val="•"/>
      <w:numFmt w:val="bullet"/>
      <w:pPr>
        <w:pBdr/>
        <w:spacing/>
        <w:ind w:hanging="240" w:left="360"/>
      </w:pPr>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1f2933"/>
        <w:sz w:val="21"/>
        <w:szCs w:val="21"/>
        <w:lang w:val="es-AR" w:eastAsia="ja-JP"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95"/>
    <w:next w:val="795"/>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95"/>
    <w:next w:val="795"/>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95"/>
    <w:next w:val="795"/>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02"/>
    <w:link w:val="796"/>
    <w:uiPriority w:val="9"/>
    <w:pPr>
      <w:pBdr/>
      <w:spacing/>
      <w:ind/>
    </w:pPr>
    <w:rPr>
      <w:rFonts w:ascii="Arial" w:hAnsi="Arial" w:eastAsia="Arial" w:cs="Arial"/>
      <w:color w:val="0f4761" w:themeColor="accent1" w:themeShade="BF"/>
      <w:sz w:val="40"/>
      <w:szCs w:val="40"/>
    </w:rPr>
  </w:style>
  <w:style w:type="character" w:styleId="151">
    <w:name w:val="Heading 2 Char"/>
    <w:basedOn w:val="802"/>
    <w:link w:val="797"/>
    <w:uiPriority w:val="9"/>
    <w:pPr>
      <w:pBdr/>
      <w:spacing/>
      <w:ind/>
    </w:pPr>
    <w:rPr>
      <w:rFonts w:ascii="Arial" w:hAnsi="Arial" w:eastAsia="Arial" w:cs="Arial"/>
      <w:color w:val="0f4761" w:themeColor="accent1" w:themeShade="BF"/>
      <w:sz w:val="32"/>
      <w:szCs w:val="32"/>
    </w:rPr>
  </w:style>
  <w:style w:type="character" w:styleId="152">
    <w:name w:val="Heading 3 Char"/>
    <w:basedOn w:val="802"/>
    <w:link w:val="798"/>
    <w:uiPriority w:val="9"/>
    <w:pPr>
      <w:pBdr/>
      <w:spacing/>
      <w:ind/>
    </w:pPr>
    <w:rPr>
      <w:rFonts w:ascii="Arial" w:hAnsi="Arial" w:eastAsia="Arial" w:cs="Arial"/>
      <w:color w:val="0f4761" w:themeColor="accent1" w:themeShade="BF"/>
      <w:sz w:val="28"/>
      <w:szCs w:val="28"/>
    </w:rPr>
  </w:style>
  <w:style w:type="character" w:styleId="153">
    <w:name w:val="Heading 4 Char"/>
    <w:basedOn w:val="802"/>
    <w:link w:val="799"/>
    <w:uiPriority w:val="9"/>
    <w:pPr>
      <w:pBdr/>
      <w:spacing/>
      <w:ind/>
    </w:pPr>
    <w:rPr>
      <w:rFonts w:ascii="Arial" w:hAnsi="Arial" w:eastAsia="Arial" w:cs="Arial"/>
      <w:i/>
      <w:iCs/>
      <w:color w:val="0f4761" w:themeColor="accent1" w:themeShade="BF"/>
    </w:rPr>
  </w:style>
  <w:style w:type="character" w:styleId="154">
    <w:name w:val="Heading 5 Char"/>
    <w:basedOn w:val="802"/>
    <w:link w:val="800"/>
    <w:uiPriority w:val="9"/>
    <w:pPr>
      <w:pBdr/>
      <w:spacing/>
      <w:ind/>
    </w:pPr>
    <w:rPr>
      <w:rFonts w:ascii="Arial" w:hAnsi="Arial" w:eastAsia="Arial" w:cs="Arial"/>
      <w:color w:val="0f4761" w:themeColor="accent1" w:themeShade="BF"/>
    </w:rPr>
  </w:style>
  <w:style w:type="character" w:styleId="155">
    <w:name w:val="Heading 6 Char"/>
    <w:basedOn w:val="802"/>
    <w:link w:val="801"/>
    <w:uiPriority w:val="9"/>
    <w:pPr>
      <w:pBdr/>
      <w:spacing/>
      <w:ind/>
    </w:pPr>
    <w:rPr>
      <w:rFonts w:ascii="Arial" w:hAnsi="Arial" w:eastAsia="Arial" w:cs="Arial"/>
      <w:i/>
      <w:iCs/>
      <w:color w:val="595959" w:themeColor="text1" w:themeTint="A6"/>
    </w:rPr>
  </w:style>
  <w:style w:type="character" w:styleId="156">
    <w:name w:val="Heading 7 Char"/>
    <w:basedOn w:val="802"/>
    <w:link w:val="145"/>
    <w:uiPriority w:val="9"/>
    <w:pPr>
      <w:pBdr/>
      <w:spacing/>
      <w:ind/>
    </w:pPr>
    <w:rPr>
      <w:rFonts w:ascii="Arial" w:hAnsi="Arial" w:eastAsia="Arial" w:cs="Arial"/>
      <w:color w:val="595959" w:themeColor="text1" w:themeTint="A6"/>
    </w:rPr>
  </w:style>
  <w:style w:type="character" w:styleId="157">
    <w:name w:val="Heading 8 Char"/>
    <w:basedOn w:val="802"/>
    <w:link w:val="146"/>
    <w:uiPriority w:val="9"/>
    <w:pPr>
      <w:pBdr/>
      <w:spacing/>
      <w:ind/>
    </w:pPr>
    <w:rPr>
      <w:rFonts w:ascii="Arial" w:hAnsi="Arial" w:eastAsia="Arial" w:cs="Arial"/>
      <w:i/>
      <w:iCs/>
      <w:color w:val="272727" w:themeColor="text1" w:themeTint="D8"/>
    </w:rPr>
  </w:style>
  <w:style w:type="character" w:styleId="158">
    <w:name w:val="Heading 9 Char"/>
    <w:basedOn w:val="802"/>
    <w:link w:val="147"/>
    <w:uiPriority w:val="9"/>
    <w:pPr>
      <w:pBdr/>
      <w:spacing/>
      <w:ind/>
    </w:pPr>
    <w:rPr>
      <w:rFonts w:ascii="Arial" w:hAnsi="Arial" w:eastAsia="Arial" w:cs="Arial"/>
      <w:i/>
      <w:iCs/>
      <w:color w:val="272727" w:themeColor="text1" w:themeTint="D8"/>
    </w:rPr>
  </w:style>
  <w:style w:type="character" w:styleId="160">
    <w:name w:val="Title Char"/>
    <w:basedOn w:val="802"/>
    <w:link w:val="806"/>
    <w:uiPriority w:val="10"/>
    <w:pPr>
      <w:pBdr/>
      <w:spacing/>
      <w:ind/>
    </w:pPr>
    <w:rPr>
      <w:rFonts w:ascii="Arial" w:hAnsi="Arial" w:eastAsia="Arial" w:cs="Arial"/>
      <w:spacing w:val="-10"/>
      <w:sz w:val="56"/>
      <w:szCs w:val="56"/>
    </w:rPr>
  </w:style>
  <w:style w:type="character" w:styleId="162">
    <w:name w:val="Subtitle Char"/>
    <w:basedOn w:val="802"/>
    <w:link w:val="807"/>
    <w:uiPriority w:val="11"/>
    <w:pPr>
      <w:pBdr/>
      <w:spacing/>
      <w:ind/>
    </w:pPr>
    <w:rPr>
      <w:color w:val="595959" w:themeColor="text1" w:themeTint="A6"/>
      <w:spacing w:val="15"/>
      <w:sz w:val="28"/>
      <w:szCs w:val="28"/>
    </w:rPr>
  </w:style>
  <w:style w:type="paragraph" w:styleId="163">
    <w:name w:val="Quote"/>
    <w:basedOn w:val="795"/>
    <w:next w:val="795"/>
    <w:link w:val="164"/>
    <w:uiPriority w:val="29"/>
    <w:qFormat/>
    <w:pPr>
      <w:pBdr/>
      <w:spacing w:before="160"/>
      <w:ind/>
      <w:jc w:val="center"/>
    </w:pPr>
    <w:rPr>
      <w:i/>
      <w:iCs/>
      <w:color w:val="404040" w:themeColor="text1" w:themeTint="BF"/>
    </w:rPr>
  </w:style>
  <w:style w:type="character" w:styleId="164">
    <w:name w:val="Quote Char"/>
    <w:basedOn w:val="802"/>
    <w:link w:val="163"/>
    <w:uiPriority w:val="29"/>
    <w:pPr>
      <w:pBdr/>
      <w:spacing/>
      <w:ind/>
    </w:pPr>
    <w:rPr>
      <w:i/>
      <w:iCs/>
      <w:color w:val="404040" w:themeColor="text1" w:themeTint="BF"/>
    </w:rPr>
  </w:style>
  <w:style w:type="character" w:styleId="166">
    <w:name w:val="Intense Emphasis"/>
    <w:basedOn w:val="802"/>
    <w:uiPriority w:val="21"/>
    <w:qFormat/>
    <w:pPr>
      <w:pBdr/>
      <w:spacing/>
      <w:ind/>
    </w:pPr>
    <w:rPr>
      <w:i/>
      <w:iCs/>
      <w:color w:val="0f4761" w:themeColor="accent1" w:themeShade="BF"/>
    </w:rPr>
  </w:style>
  <w:style w:type="paragraph" w:styleId="167">
    <w:name w:val="Intense Quote"/>
    <w:basedOn w:val="795"/>
    <w:next w:val="79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02"/>
    <w:link w:val="167"/>
    <w:uiPriority w:val="30"/>
    <w:pPr>
      <w:pBdr/>
      <w:spacing/>
      <w:ind/>
    </w:pPr>
    <w:rPr>
      <w:i/>
      <w:iCs/>
      <w:color w:val="0f4761" w:themeColor="accent1" w:themeShade="BF"/>
    </w:rPr>
  </w:style>
  <w:style w:type="character" w:styleId="169">
    <w:name w:val="Intense Reference"/>
    <w:basedOn w:val="802"/>
    <w:uiPriority w:val="32"/>
    <w:qFormat/>
    <w:pPr>
      <w:pBdr/>
      <w:spacing/>
      <w:ind/>
    </w:pPr>
    <w:rPr>
      <w:b/>
      <w:bCs/>
      <w:smallCaps/>
      <w:color w:val="0f4761" w:themeColor="accent1" w:themeShade="BF"/>
      <w:spacing w:val="5"/>
    </w:rPr>
  </w:style>
  <w:style w:type="paragraph" w:styleId="170">
    <w:name w:val="No Spacing"/>
    <w:basedOn w:val="795"/>
    <w:uiPriority w:val="1"/>
    <w:qFormat/>
    <w:pPr>
      <w:pBdr/>
      <w:spacing w:after="0" w:line="240" w:lineRule="auto"/>
      <w:ind/>
    </w:pPr>
  </w:style>
  <w:style w:type="character" w:styleId="171">
    <w:name w:val="Subtle Emphasis"/>
    <w:basedOn w:val="802"/>
    <w:uiPriority w:val="19"/>
    <w:qFormat/>
    <w:pPr>
      <w:pBdr/>
      <w:spacing/>
      <w:ind/>
    </w:pPr>
    <w:rPr>
      <w:i/>
      <w:iCs/>
      <w:color w:val="404040" w:themeColor="text1" w:themeTint="BF"/>
    </w:rPr>
  </w:style>
  <w:style w:type="character" w:styleId="172">
    <w:name w:val="Emphasis"/>
    <w:basedOn w:val="802"/>
    <w:uiPriority w:val="20"/>
    <w:qFormat/>
    <w:pPr>
      <w:pBdr/>
      <w:spacing/>
      <w:ind/>
    </w:pPr>
    <w:rPr>
      <w:i/>
      <w:iCs/>
    </w:rPr>
  </w:style>
  <w:style w:type="character" w:styleId="173">
    <w:name w:val="Strong"/>
    <w:basedOn w:val="802"/>
    <w:uiPriority w:val="22"/>
    <w:qFormat/>
    <w:pPr>
      <w:pBdr/>
      <w:spacing/>
      <w:ind/>
    </w:pPr>
    <w:rPr>
      <w:b/>
      <w:bCs/>
    </w:rPr>
  </w:style>
  <w:style w:type="character" w:styleId="174">
    <w:name w:val="Subtle Reference"/>
    <w:basedOn w:val="802"/>
    <w:uiPriority w:val="31"/>
    <w:qFormat/>
    <w:pPr>
      <w:pBdr/>
      <w:spacing/>
      <w:ind/>
    </w:pPr>
    <w:rPr>
      <w:smallCaps/>
      <w:color w:val="5a5a5a" w:themeColor="text1" w:themeTint="A5"/>
    </w:rPr>
  </w:style>
  <w:style w:type="character" w:styleId="175">
    <w:name w:val="Book Title"/>
    <w:basedOn w:val="802"/>
    <w:uiPriority w:val="33"/>
    <w:qFormat/>
    <w:pPr>
      <w:pBdr/>
      <w:spacing/>
      <w:ind/>
    </w:pPr>
    <w:rPr>
      <w:b/>
      <w:bCs/>
      <w:i/>
      <w:iCs/>
      <w:spacing w:val="5"/>
    </w:rPr>
  </w:style>
  <w:style w:type="paragraph" w:styleId="176">
    <w:name w:val="Header"/>
    <w:basedOn w:val="795"/>
    <w:link w:val="177"/>
    <w:uiPriority w:val="99"/>
    <w:unhideWhenUsed/>
    <w:pPr>
      <w:pBdr/>
      <w:tabs>
        <w:tab w:val="center" w:leader="none" w:pos="4844"/>
        <w:tab w:val="right" w:leader="none" w:pos="9689"/>
      </w:tabs>
      <w:spacing w:after="0" w:line="240" w:lineRule="auto"/>
      <w:ind/>
    </w:pPr>
  </w:style>
  <w:style w:type="character" w:styleId="177">
    <w:name w:val="Header Char"/>
    <w:basedOn w:val="802"/>
    <w:link w:val="176"/>
    <w:uiPriority w:val="99"/>
    <w:pPr>
      <w:pBdr/>
      <w:spacing/>
      <w:ind/>
    </w:pPr>
  </w:style>
  <w:style w:type="paragraph" w:styleId="178">
    <w:name w:val="Footer"/>
    <w:basedOn w:val="795"/>
    <w:link w:val="179"/>
    <w:uiPriority w:val="99"/>
    <w:unhideWhenUsed/>
    <w:pPr>
      <w:pBdr/>
      <w:tabs>
        <w:tab w:val="center" w:leader="none" w:pos="4844"/>
        <w:tab w:val="right" w:leader="none" w:pos="9689"/>
      </w:tabs>
      <w:spacing w:after="0" w:line="240" w:lineRule="auto"/>
      <w:ind/>
    </w:pPr>
  </w:style>
  <w:style w:type="character" w:styleId="179">
    <w:name w:val="Footer Char"/>
    <w:basedOn w:val="802"/>
    <w:link w:val="178"/>
    <w:uiPriority w:val="99"/>
    <w:pPr>
      <w:pBdr/>
      <w:spacing/>
      <w:ind/>
    </w:pPr>
  </w:style>
  <w:style w:type="paragraph" w:styleId="180">
    <w:name w:val="Caption"/>
    <w:basedOn w:val="795"/>
    <w:next w:val="795"/>
    <w:uiPriority w:val="35"/>
    <w:unhideWhenUsed/>
    <w:qFormat/>
    <w:pPr>
      <w:pBdr/>
      <w:spacing w:after="200" w:line="240" w:lineRule="auto"/>
      <w:ind/>
    </w:pPr>
    <w:rPr>
      <w:i/>
      <w:iCs/>
      <w:color w:val="0e2841" w:themeColor="text2"/>
      <w:sz w:val="18"/>
      <w:szCs w:val="18"/>
    </w:rPr>
  </w:style>
  <w:style w:type="paragraph" w:styleId="181">
    <w:name w:val="footnote text"/>
    <w:basedOn w:val="795"/>
    <w:link w:val="182"/>
    <w:uiPriority w:val="99"/>
    <w:semiHidden/>
    <w:unhideWhenUsed/>
    <w:pPr>
      <w:pBdr/>
      <w:spacing w:after="0" w:line="240" w:lineRule="auto"/>
      <w:ind/>
    </w:pPr>
    <w:rPr>
      <w:sz w:val="20"/>
      <w:szCs w:val="20"/>
    </w:rPr>
  </w:style>
  <w:style w:type="character" w:styleId="182">
    <w:name w:val="Footnote Text Char"/>
    <w:basedOn w:val="802"/>
    <w:link w:val="181"/>
    <w:uiPriority w:val="99"/>
    <w:semiHidden/>
    <w:pPr>
      <w:pBdr/>
      <w:spacing/>
      <w:ind/>
    </w:pPr>
    <w:rPr>
      <w:sz w:val="20"/>
      <w:szCs w:val="20"/>
    </w:rPr>
  </w:style>
  <w:style w:type="character" w:styleId="183">
    <w:name w:val="footnote reference"/>
    <w:basedOn w:val="802"/>
    <w:uiPriority w:val="99"/>
    <w:semiHidden/>
    <w:unhideWhenUsed/>
    <w:pPr>
      <w:pBdr/>
      <w:spacing/>
      <w:ind/>
    </w:pPr>
    <w:rPr>
      <w:vertAlign w:val="superscript"/>
    </w:rPr>
  </w:style>
  <w:style w:type="paragraph" w:styleId="184">
    <w:name w:val="endnote text"/>
    <w:basedOn w:val="795"/>
    <w:link w:val="185"/>
    <w:uiPriority w:val="99"/>
    <w:semiHidden/>
    <w:unhideWhenUsed/>
    <w:pPr>
      <w:pBdr/>
      <w:spacing w:after="0" w:line="240" w:lineRule="auto"/>
      <w:ind/>
    </w:pPr>
    <w:rPr>
      <w:sz w:val="20"/>
      <w:szCs w:val="20"/>
    </w:rPr>
  </w:style>
  <w:style w:type="character" w:styleId="185">
    <w:name w:val="Endnote Text Char"/>
    <w:basedOn w:val="802"/>
    <w:link w:val="184"/>
    <w:uiPriority w:val="99"/>
    <w:semiHidden/>
    <w:pPr>
      <w:pBdr/>
      <w:spacing/>
      <w:ind/>
    </w:pPr>
    <w:rPr>
      <w:sz w:val="20"/>
      <w:szCs w:val="20"/>
    </w:rPr>
  </w:style>
  <w:style w:type="character" w:styleId="186">
    <w:name w:val="endnote reference"/>
    <w:basedOn w:val="802"/>
    <w:uiPriority w:val="99"/>
    <w:semiHidden/>
    <w:unhideWhenUsed/>
    <w:pPr>
      <w:pBdr/>
      <w:spacing/>
      <w:ind/>
    </w:pPr>
    <w:rPr>
      <w:vertAlign w:val="superscript"/>
    </w:rPr>
  </w:style>
  <w:style w:type="character" w:styleId="187">
    <w:name w:val="Hyperlink"/>
    <w:basedOn w:val="802"/>
    <w:uiPriority w:val="99"/>
    <w:unhideWhenUsed/>
    <w:pPr>
      <w:pBdr/>
      <w:spacing/>
      <w:ind/>
    </w:pPr>
    <w:rPr>
      <w:color w:val="0563c1" w:themeColor="hyperlink"/>
      <w:u w:val="single"/>
    </w:rPr>
  </w:style>
  <w:style w:type="character" w:styleId="188">
    <w:name w:val="FollowedHyperlink"/>
    <w:basedOn w:val="802"/>
    <w:uiPriority w:val="99"/>
    <w:semiHidden/>
    <w:unhideWhenUsed/>
    <w:pPr>
      <w:pBdr/>
      <w:spacing/>
      <w:ind/>
    </w:pPr>
    <w:rPr>
      <w:color w:val="954f72" w:themeColor="followedHyperlink"/>
      <w:u w:val="single"/>
    </w:rPr>
  </w:style>
  <w:style w:type="paragraph" w:styleId="189">
    <w:name w:val="toc 1"/>
    <w:basedOn w:val="795"/>
    <w:next w:val="795"/>
    <w:uiPriority w:val="39"/>
    <w:unhideWhenUsed/>
    <w:pPr>
      <w:pBdr/>
      <w:spacing w:after="100"/>
      <w:ind/>
    </w:pPr>
  </w:style>
  <w:style w:type="paragraph" w:styleId="190">
    <w:name w:val="toc 2"/>
    <w:basedOn w:val="795"/>
    <w:next w:val="795"/>
    <w:uiPriority w:val="39"/>
    <w:unhideWhenUsed/>
    <w:pPr>
      <w:pBdr/>
      <w:spacing w:after="100"/>
      <w:ind w:left="220"/>
    </w:pPr>
  </w:style>
  <w:style w:type="paragraph" w:styleId="191">
    <w:name w:val="toc 3"/>
    <w:basedOn w:val="795"/>
    <w:next w:val="795"/>
    <w:uiPriority w:val="39"/>
    <w:unhideWhenUsed/>
    <w:pPr>
      <w:pBdr/>
      <w:spacing w:after="100"/>
      <w:ind w:left="440"/>
    </w:pPr>
  </w:style>
  <w:style w:type="paragraph" w:styleId="192">
    <w:name w:val="toc 4"/>
    <w:basedOn w:val="795"/>
    <w:next w:val="795"/>
    <w:uiPriority w:val="39"/>
    <w:unhideWhenUsed/>
    <w:pPr>
      <w:pBdr/>
      <w:spacing w:after="100"/>
      <w:ind w:left="660"/>
    </w:pPr>
  </w:style>
  <w:style w:type="paragraph" w:styleId="193">
    <w:name w:val="toc 5"/>
    <w:basedOn w:val="795"/>
    <w:next w:val="795"/>
    <w:uiPriority w:val="39"/>
    <w:unhideWhenUsed/>
    <w:pPr>
      <w:pBdr/>
      <w:spacing w:after="100"/>
      <w:ind w:left="880"/>
    </w:pPr>
  </w:style>
  <w:style w:type="paragraph" w:styleId="194">
    <w:name w:val="toc 6"/>
    <w:basedOn w:val="795"/>
    <w:next w:val="795"/>
    <w:uiPriority w:val="39"/>
    <w:unhideWhenUsed/>
    <w:pPr>
      <w:pBdr/>
      <w:spacing w:after="100"/>
      <w:ind w:left="1100"/>
    </w:pPr>
  </w:style>
  <w:style w:type="paragraph" w:styleId="195">
    <w:name w:val="toc 7"/>
    <w:basedOn w:val="795"/>
    <w:next w:val="795"/>
    <w:uiPriority w:val="39"/>
    <w:unhideWhenUsed/>
    <w:pPr>
      <w:pBdr/>
      <w:spacing w:after="100"/>
      <w:ind w:left="1320"/>
    </w:pPr>
  </w:style>
  <w:style w:type="paragraph" w:styleId="196">
    <w:name w:val="toc 8"/>
    <w:basedOn w:val="795"/>
    <w:next w:val="795"/>
    <w:uiPriority w:val="39"/>
    <w:unhideWhenUsed/>
    <w:pPr>
      <w:pBdr/>
      <w:spacing w:after="100"/>
      <w:ind w:left="1540"/>
    </w:pPr>
  </w:style>
  <w:style w:type="paragraph" w:styleId="197">
    <w:name w:val="toc 9"/>
    <w:basedOn w:val="795"/>
    <w:next w:val="795"/>
    <w:uiPriority w:val="39"/>
    <w:unhideWhenUsed/>
    <w:pPr>
      <w:pBdr/>
      <w:spacing w:after="100"/>
      <w:ind w:left="1760"/>
    </w:pPr>
  </w:style>
  <w:style w:type="character" w:styleId="198">
    <w:name w:val="Placeholder Text"/>
    <w:basedOn w:val="80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95"/>
    <w:next w:val="795"/>
    <w:uiPriority w:val="99"/>
    <w:unhideWhenUsed/>
    <w:pPr>
      <w:pBdr/>
      <w:spacing w:after="0" w:afterAutospacing="0"/>
      <w:ind/>
    </w:pPr>
  </w:style>
  <w:style w:type="paragraph" w:styleId="795" w:default="1">
    <w:name w:val="Normal"/>
    <w:qFormat/>
    <w:pPr>
      <w:pBdr/>
      <w:spacing/>
      <w:ind/>
    </w:pPr>
  </w:style>
  <w:style w:type="paragraph" w:styleId="796">
    <w:name w:val="Heading 1"/>
    <w:basedOn w:val="795"/>
    <w:next w:val="795"/>
    <w:uiPriority w:val="9"/>
    <w:qFormat/>
    <w:pPr>
      <w:pBdr>
        <w:top w:val="none" w:color="000000" w:sz="4" w:space="0"/>
        <w:left w:val="none" w:color="000000" w:sz="4" w:space="0"/>
        <w:bottom w:val="none" w:color="000000" w:sz="4" w:space="0"/>
        <w:right w:val="none" w:color="000000" w:sz="4" w:space="0"/>
        <w:between w:val="none" w:color="000000" w:sz="4" w:space="0"/>
      </w:pBdr>
      <w:spacing w:after="120" w:before="280"/>
      <w:ind/>
      <w:outlineLvl w:val="0"/>
    </w:pPr>
    <w:rPr>
      <w:b/>
      <w:bCs/>
      <w:color w:val="164e4a"/>
      <w:sz w:val="30"/>
      <w:szCs w:val="30"/>
    </w:rPr>
  </w:style>
  <w:style w:type="paragraph" w:styleId="797">
    <w:name w:val="Heading 2"/>
    <w:basedOn w:val="795"/>
    <w:next w:val="795"/>
    <w:uiPriority w:val="9"/>
    <w:unhideWhenUsed/>
    <w:qFormat/>
    <w:pPr>
      <w:pBdr>
        <w:top w:val="none" w:color="000000" w:sz="4" w:space="0"/>
        <w:left w:val="none" w:color="000000" w:sz="4" w:space="0"/>
        <w:bottom w:val="none" w:color="000000" w:sz="4" w:space="0"/>
        <w:right w:val="none" w:color="000000" w:sz="4" w:space="0"/>
        <w:between w:val="none" w:color="000000" w:sz="4" w:space="0"/>
      </w:pBdr>
      <w:spacing w:after="80" w:before="180"/>
      <w:ind/>
      <w:outlineLvl w:val="1"/>
    </w:pPr>
    <w:rPr>
      <w:b/>
      <w:bCs/>
      <w:color w:val="1f6f63"/>
      <w:sz w:val="23"/>
      <w:szCs w:val="23"/>
    </w:rPr>
  </w:style>
  <w:style w:type="paragraph" w:styleId="798">
    <w:name w:val="Heading 3"/>
    <w:basedOn w:val="795"/>
    <w:next w:val="795"/>
    <w:uiPriority w:val="9"/>
    <w:semiHidden/>
    <w:unhideWhenUsed/>
    <w:qFormat/>
    <w:pPr>
      <w:pBdr>
        <w:top w:val="none" w:color="000000" w:sz="4" w:space="0"/>
        <w:left w:val="none" w:color="000000" w:sz="4" w:space="0"/>
        <w:bottom w:val="none" w:color="000000" w:sz="4" w:space="0"/>
        <w:right w:val="none" w:color="000000" w:sz="4" w:space="0"/>
        <w:between w:val="none" w:color="000000" w:sz="4" w:space="0"/>
      </w:pBdr>
      <w:spacing/>
      <w:ind/>
      <w:outlineLvl w:val="2"/>
    </w:pPr>
    <w:rPr>
      <w:color w:val="1f4d78"/>
      <w:sz w:val="24"/>
      <w:szCs w:val="24"/>
    </w:rPr>
  </w:style>
  <w:style w:type="paragraph" w:styleId="799">
    <w:name w:val="Heading 4"/>
    <w:basedOn w:val="795"/>
    <w:next w:val="795"/>
    <w:uiPriority w:val="9"/>
    <w:semiHidden/>
    <w:unhideWhenUsed/>
    <w:qFormat/>
    <w:pPr>
      <w:pBdr>
        <w:top w:val="none" w:color="000000" w:sz="4" w:space="0"/>
        <w:left w:val="none" w:color="000000" w:sz="4" w:space="0"/>
        <w:bottom w:val="none" w:color="000000" w:sz="4" w:space="0"/>
        <w:right w:val="none" w:color="000000" w:sz="4" w:space="0"/>
        <w:between w:val="none" w:color="000000" w:sz="4" w:space="0"/>
      </w:pBdr>
      <w:spacing/>
      <w:ind/>
      <w:outlineLvl w:val="3"/>
    </w:pPr>
    <w:rPr>
      <w:i/>
      <w:iCs/>
      <w:color w:val="2e74b5"/>
    </w:rPr>
  </w:style>
  <w:style w:type="paragraph" w:styleId="800">
    <w:name w:val="Heading 5"/>
    <w:basedOn w:val="795"/>
    <w:next w:val="795"/>
    <w:uiPriority w:val="9"/>
    <w:semiHidden/>
    <w:unhideWhenUsed/>
    <w:qFormat/>
    <w:pPr>
      <w:pBdr>
        <w:top w:val="none" w:color="000000" w:sz="4" w:space="0"/>
        <w:left w:val="none" w:color="000000" w:sz="4" w:space="0"/>
        <w:bottom w:val="none" w:color="000000" w:sz="4" w:space="0"/>
        <w:right w:val="none" w:color="000000" w:sz="4" w:space="0"/>
        <w:between w:val="none" w:color="000000" w:sz="4" w:space="0"/>
      </w:pBdr>
      <w:spacing/>
      <w:ind/>
      <w:outlineLvl w:val="4"/>
    </w:pPr>
    <w:rPr>
      <w:color w:val="2e74b5"/>
    </w:rPr>
  </w:style>
  <w:style w:type="paragraph" w:styleId="801">
    <w:name w:val="Heading 6"/>
    <w:basedOn w:val="795"/>
    <w:next w:val="795"/>
    <w:uiPriority w:val="9"/>
    <w:semiHidden/>
    <w:unhideWhenUsed/>
    <w:qFormat/>
    <w:pPr>
      <w:pBdr>
        <w:top w:val="none" w:color="000000" w:sz="4" w:space="0"/>
        <w:left w:val="none" w:color="000000" w:sz="4" w:space="0"/>
        <w:bottom w:val="none" w:color="000000" w:sz="4" w:space="0"/>
        <w:right w:val="none" w:color="000000" w:sz="4" w:space="0"/>
        <w:between w:val="none" w:color="000000" w:sz="4" w:space="0"/>
      </w:pBdr>
      <w:spacing/>
      <w:ind/>
      <w:outlineLvl w:val="5"/>
    </w:pPr>
    <w:rPr>
      <w:color w:val="1f4d78"/>
    </w:rPr>
  </w:style>
  <w:style w:type="character" w:styleId="802" w:default="1">
    <w:name w:val="Default Paragraph Font"/>
    <w:uiPriority w:val="1"/>
    <w:semiHidden/>
    <w:unhideWhenUsed/>
    <w:pPr>
      <w:pBdr/>
      <w:spacing/>
      <w:ind/>
    </w:pPr>
  </w:style>
  <w:style w:type="table" w:styleId="8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4" w:default="1">
    <w:name w:val="No List"/>
    <w:uiPriority w:val="99"/>
    <w:semiHidden/>
    <w:unhideWhenUsed/>
    <w:pPr>
      <w:pBdr/>
      <w:spacing/>
      <w:ind/>
    </w:pPr>
  </w:style>
  <w:style w:type="table" w:styleId="805"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06">
    <w:name w:val="Title"/>
    <w:basedOn w:val="795"/>
    <w:next w:val="795"/>
    <w:uiPriority w:val="10"/>
    <w:qFormat/>
    <w:pPr>
      <w:pBdr>
        <w:top w:val="none" w:color="000000" w:sz="4" w:space="0"/>
        <w:left w:val="none" w:color="000000" w:sz="4" w:space="0"/>
        <w:bottom w:val="none" w:color="000000" w:sz="4" w:space="0"/>
        <w:right w:val="none" w:color="000000" w:sz="4" w:space="0"/>
        <w:between w:val="none" w:color="000000" w:sz="4" w:space="0"/>
      </w:pBdr>
      <w:spacing/>
      <w:ind/>
    </w:pPr>
    <w:rPr>
      <w:sz w:val="56"/>
      <w:szCs w:val="56"/>
    </w:rPr>
  </w:style>
  <w:style w:type="paragraph" w:styleId="807">
    <w:name w:val="Subtitle"/>
    <w:basedOn w:val="795"/>
    <w:next w:val="795"/>
    <w:uiPriority w:val="11"/>
    <w:qFormat/>
    <w:pPr>
      <w:keepNext w:val="true"/>
      <w:keepLines w:val="true"/>
      <w:pBdr/>
      <w:spacing w:after="80" w:before="360"/>
      <w:ind/>
    </w:pPr>
    <w:rPr>
      <w:rFonts w:ascii="Georgia" w:hAnsi="Georgia" w:eastAsia="Georgia" w:cs="Georgia"/>
      <w:i/>
      <w:iCs/>
      <w:color w:val="666666"/>
      <w:sz w:val="48"/>
      <w:szCs w:val="48"/>
    </w:rPr>
  </w:style>
  <w:style w:type="table" w:styleId="808" w:customStyle="1">
    <w:name w:val="StGen0"/>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StGen1"/>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StGen2"/>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StGen3"/>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StGen4"/>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StGen5"/>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StGen6"/>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StGen7"/>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StGen8"/>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StGen9"/>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StGen10"/>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StGen11"/>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StGen12"/>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StGen13"/>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StGen14"/>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StGen15"/>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StGen16"/>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StGen17"/>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StGen18"/>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StGen19"/>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StGen20"/>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StGen21"/>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StGen22"/>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StGen23"/>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StGen24"/>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StGen25"/>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StGen26"/>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StGen27"/>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StGen28"/>
    <w:basedOn w:val="805"/>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List Paragraph"/>
    <w:basedOn w:val="795"/>
    <w:uiPriority w:val="34"/>
    <w:qFormat/>
    <w:pPr>
      <w:pBdr/>
      <w:spacing/>
      <w:ind w:left="720"/>
      <w:contextualSpacing w:val="true"/>
    </w:pPr>
  </w:style>
  <w:style w:type="paragraph" w:styleId="838">
    <w:name w:val="Normal (Web)"/>
    <w:basedOn w:val="795"/>
    <w:uiPriority w:val="99"/>
    <w:semiHidden/>
    <w:unhideWhenUsed/>
    <w:pPr>
      <w:pBdr/>
      <w:spacing w:after="100" w:afterAutospacing="1" w:before="100" w:beforeAutospacing="1"/>
      <w:ind/>
    </w:pPr>
    <w:rPr>
      <w:rFonts w:ascii="Times New Roman" w:hAnsi="Times New Roman" w:eastAsia="Times New Roman" w:cs="Times New Roman"/>
      <w:color w:val="auto"/>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hyperlink" Target="https://rionegro.gov.ar/articulo/59060/rio-negro-produce-hortalizas-con-identidad-y-diversificacion" TargetMode="External"/><Relationship Id="rId16" Type="http://schemas.openxmlformats.org/officeDocument/2006/relationships/hyperlink" Target="https://rionegro.gov.ar/articulo/57202/rio-negro-refuerza-la-prevencion-sanitaria-en-invernaderos-horticolas" TargetMode="External"/><Relationship Id="rId17" Type="http://schemas.openxmlformats.org/officeDocument/2006/relationships/hyperlink" Target="https://www.rionegro.com.ar/plantines-desde-allen-para-toda-la-region-2080676/" TargetMode="External"/><Relationship Id="rId18" Type="http://schemas.openxmlformats.org/officeDocument/2006/relationships/hyperlink" Target="https://www.rionegro.com.ar/rural/stefenelli-el-agricultor-recuerdo-de-la-escuela-audaz-que-se-convirtio-en-semillero/" TargetMode="External"/><Relationship Id="rId19" Type="http://schemas.openxmlformats.org/officeDocument/2006/relationships/hyperlink" Target="https://www.argentina.gob.ar/noticias/con-injertos-el-cultivo-de-tomate-rinde-hasta-un-58-mas" TargetMode="External"/><Relationship Id="rId20" Type="http://schemas.openxmlformats.org/officeDocument/2006/relationships/hyperlink" Target="https://tecnoflor.com.ar/productos-y-servicios-b/" TargetMode="External"/><Relationship Id="rId21" Type="http://schemas.openxmlformats.org/officeDocument/2006/relationships/hyperlink" Target="https://www.proplanta-sa.com.ar/injertos/" TargetMode="External"/><Relationship Id="rId22" Type="http://schemas.openxmlformats.org/officeDocument/2006/relationships/hyperlink" Target="https://www.proplanta-sa.com.ar/tecnologia/" TargetMode="External"/><Relationship Id="rId23" Type="http://schemas.openxmlformats.org/officeDocument/2006/relationships/hyperlink" Target="https://www.facebook.com/brestybrestsrl/videos/1593619305587357/" TargetMode="External"/><Relationship Id="rId24" Type="http://schemas.openxmlformats.org/officeDocument/2006/relationships/hyperlink" Target="https://www.vegetables.bayer.com/cl/es-cl/productos/sandia/details.html/rootstock_maxifort_argentina_seminis_fresh_market_open_field_fresh_market_all.html" TargetMode="External"/><Relationship Id="rId25" Type="http://schemas.openxmlformats.org/officeDocument/2006/relationships/hyperlink" Target="https://www.syngentavegetables.com/es-ar/product/seed/pimiento/robusto" TargetMode="External"/><Relationship Id="rId26" Type="http://schemas.openxmlformats.org/officeDocument/2006/relationships/hyperlink" Target="https://repositorio.inta.gob.ar/xmlui/handle/20.500.12123/22538" TargetMode="External"/><Relationship Id="rId27" Type="http://schemas.openxmlformats.org/officeDocument/2006/relationships/hyperlink" Target="https://repositoriosdigitales.mincyt.gob.ar/vufind/Record/SEDICI_af3943cec8f1a27e6c2e30cf4f7ac0c8" TargetMode="External"/><Relationship Id="rId28" Type="http://schemas.openxmlformats.org/officeDocument/2006/relationships/hyperlink" Target="https://www.sinavimo.gob.ar/plaga/meloidogyne-incognita" TargetMode="External"/><Relationship Id="rId29" Type="http://schemas.openxmlformats.org/officeDocument/2006/relationships/hyperlink" Target="https://rionegro.gov.ar/articulo/55003/rio-negro-transforma-el-orujo-de-manzana-en-oportunidad-productiva" TargetMode="External"/><Relationship Id="rId30" Type="http://schemas.openxmlformats.org/officeDocument/2006/relationships/hyperlink" Target="https://agnr.umd.edu/evaluating-biosolarization-cover-cropping-and-strip-tillage-integrated-pest-management-tool" TargetMode="External"/><Relationship Id="rId31" Type="http://schemas.openxmlformats.org/officeDocument/2006/relationships/hyperlink" Target="https://pubmed.ncbi.nlm.nih.gov/26525530/" TargetMode="External"/><Relationship Id="rId32" Type="http://schemas.openxmlformats.org/officeDocument/2006/relationships/hyperlink" Target="https://masp.lmneuquen.com/vitivinicultura/patagonia-norte-la-cabeza-la-perdida-vinedos-nivel-nacional-n1192286" TargetMode="External"/><Relationship Id="rId33" Type="http://schemas.openxmlformats.org/officeDocument/2006/relationships/hyperlink" Target="https://www.scielo.org.mx/scielo.php?script=sci_arttext&amp;pid=S2007-81962022000200115" TargetMode="External"/><Relationship Id="rId34" Type="http://schemas.openxmlformats.org/officeDocument/2006/relationships/hyperlink" Target="https://bichosdecampo.com/mas-invernaderos-y-mas-concentracion-sin-sumar-demasiados-jugadores-nuevos-el-cinturon-horticola-rionegrino-triplico-su-produccion-bajo-cubierta-en-menos-de-una-decada-y-abre-interrogantes-sobre-su/" TargetMode="External"/><Relationship Id="rId35" Type="http://schemas.openxmlformats.org/officeDocument/2006/relationships/hyperlink" Target="https://www.neuqueninforma.gob.ar/noticias/2024/09/02/242687-neuquen-apuesta-a-incrementar-su-produccion-para-abastecer-el-consumo-local" TargetMode="External"/><Relationship Id="rId36" Type="http://schemas.openxmlformats.org/officeDocument/2006/relationships/hyperlink" Target="https://www.anroca.com.ar/noticias/2023/11/21/152881-datos-definitivos-censo-2022-cuantos-habitantes-hay-en-el-departamento-general-roca" TargetMode="External"/><Relationship Id="rId37" Type="http://schemas.openxmlformats.org/officeDocument/2006/relationships/hyperlink" Target="https://www.copade.gob.ar/demografia-y-dinamica-poblacional/" TargetMode="External"/><Relationship Id="rId38" Type="http://schemas.openxmlformats.org/officeDocument/2006/relationships/hyperlink" Target="https://www.argentina.gob.ar/noticias/tomate-un-fruto-que-supera-las-expectativas-y-promete-un-sostenido-crecimiento" TargetMode="External"/><Relationship Id="rId39" Type="http://schemas.openxmlformats.org/officeDocument/2006/relationships/hyperlink" Target="http://sedici.unlp.edu.ar/bitstream/handle/10915/63581/Documento_completo.pdf?sequence=1" TargetMode="External"/><Relationship Id="rId40" Type="http://schemas.openxmlformats.org/officeDocument/2006/relationships/hyperlink" Target="https://preciosdelcentral.com.ar/buenosaires" TargetMode="External"/><Relationship Id="rId41" Type="http://schemas.openxmlformats.org/officeDocument/2006/relationships/hyperlink" Target="https://dolarapi.com/v1/dolares/oficial" TargetMode="External"/><Relationship Id="rId42" Type="http://schemas.openxmlformats.org/officeDocument/2006/relationships/hyperlink" Target="https://www.neuqueninforma.gob.ar/amp/noticias/2025/11/14/252511-las-hortalizas-de-centenario-y-vista-alegre-ganan-terreno-en-las-gondolas-regionales" TargetMode="External"/><Relationship Id="rId43" Type="http://schemas.openxmlformats.org/officeDocument/2006/relationships/hyperlink" Target="https://inta.gob.ar/alto-valle" TargetMode="External"/><Relationship Id="rId44" Type="http://schemas.openxmlformats.org/officeDocument/2006/relationships/hyperlink" Target="https://www.vegetables.bayer.com/is/es-es/productos/catalogo/details.html/rootstock_maxifort_argentina_seminis_fresh_market_open_field_fresh_market_all.html" TargetMode="External"/><Relationship Id="rId45" Type="http://schemas.openxmlformats.org/officeDocument/2006/relationships/hyperlink" Target="https://uatre.org.ar/escalas-salariales/"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6</cp:revision>
  <dcterms:created xsi:type="dcterms:W3CDTF">2026-10-05T20:29:00Z</dcterms:created>
  <dcterms:modified xsi:type="dcterms:W3CDTF">2026-10-06T02:59:57Z</dcterms:modified>
</cp:coreProperties>
</file>