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Arial" w:hAnsi="Arial"/>
          <w:b/>
          <w:color w:val="646464"/>
          <w:sz w:val="24"/>
        </w:rPr>
        <w:t>PROYECTO DE EVALUACIÓN DE PROYECTOS DE INVERSIÓN (PEP)</w:t>
        <w:br/>
        <w:t>UNIVERSIDAD TECNOLÓGICA NACIONAL — FRBA</w:t>
      </w:r>
    </w:p>
    <w:p>
      <w:pPr>
        <w:spacing w:after="360"/>
        <w:jc w:val="center"/>
      </w:pPr>
      <w:r>
        <w:rPr>
          <w:rFonts w:ascii="Arial" w:hAnsi="Arial"/>
          <w:b/>
          <w:color w:val="003366"/>
          <w:sz w:val="36"/>
        </w:rPr>
        <w:t>PROYECTO DE INVERSIÓN: PLANTINES DE INJERTOS HORTÍCOLAS Y SERVICIO DE SANIDAD RADICULAR EN PATAGONIA NORTE</w:t>
      </w:r>
    </w:p>
    <w:p>
      <w:pPr>
        <w:spacing w:after="480"/>
        <w:jc w:val="center"/>
      </w:pPr>
      <w:r>
        <w:rPr>
          <w:rFonts w:ascii="Calibri" w:hAnsi="Calibri"/>
          <w:i/>
          <w:sz w:val="22"/>
        </w:rPr>
        <w:t>Documento Entregable Versión 2.5 (Ajustado a Observaciones de Cátedra y Guía PEP)</w:t>
        <w:br/>
        <w:t>Localización: Allen, Provincia de Río Negro | Fecha: Octubre 2026</w:t>
      </w:r>
    </w:p>
    <w:p>
      <w:pPr>
        <w:spacing w:after="240"/>
      </w:pP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003366"/>
              <w:top w:val="none"/>
              <w:right w:val="none"/>
              <w:bottom w:val="none"/>
            </w:tcBorders>
          </w:tcPr>
          <w:p>
            <w:pPr>
              <w:spacing w:before="0" w:after="40"/>
            </w:pPr>
            <w:r>
              <w:rPr>
                <w:rFonts w:ascii="Arial" w:hAnsi="Arial"/>
                <w:b/>
                <w:color w:val="003366"/>
                <w:sz w:val="22"/>
              </w:rPr>
              <w:t>RESUMEN EJECUTIVO DEL PROYECTO</w:t>
              <w:br/>
            </w:r>
            <w:r>
              <w:rPr>
                <w:rFonts w:ascii="Calibri" w:hAnsi="Calibri"/>
                <w:i/>
                <w:color w:val="323232"/>
                <w:sz w:val="21"/>
              </w:rPr>
              <w:t>El presente estudio evalúa la viabilidad comercial, técnica, legal y económico-financiera de la instalación de una startup agrotech en Allen (Río Negro) dedicada a la producción y comercialización de plantines hortícolas injertados de alta performance y al servicio integral de remediación de suelos por biosolarización. Respondiendo a las correcciones de la cátedra, el proyecto abandona el modelo de 'sucursal corporativa' para estructurarse como una empresa independiente 'lean' centrada en la captura de la demanda insatisfecha por plantines extra-regionales (Mendoza/La Plata). Mediante un esquema de preventa bajo contrato con seña anticipada y un canal directo B2B apoyado en diagnóstico de suelo in situ, la startup garantiza la cobertura del 170% de su punto de equilibrio operativo antes del inicio de cada ciclo productivo.</w:t>
            </w:r>
          </w:p>
        </w:tc>
      </w:tr>
    </w:tbl>
    <w:p>
      <w:pPr>
        <w:spacing w:after="80"/>
      </w:pPr>
    </w:p>
    <w:p>
      <w:pPr>
        <w:keepNext/>
        <w:spacing w:before="360" w:after="120"/>
      </w:pPr>
      <w:r>
        <w:rPr>
          <w:rFonts w:ascii="Arial" w:hAnsi="Arial"/>
          <w:b/>
          <w:color w:val="003366"/>
          <w:sz w:val="32"/>
        </w:rPr>
        <w:t>1. DIMENSIONAMIENTO COMERCIAL</w:t>
      </w:r>
    </w:p>
    <w:p>
      <w:pPr>
        <w:keepNext/>
        <w:spacing w:before="280" w:after="80"/>
      </w:pPr>
      <w:r>
        <w:rPr>
          <w:rFonts w:ascii="Arial" w:hAnsi="Arial"/>
          <w:b/>
          <w:color w:val="2980B9"/>
          <w:sz w:val="26"/>
        </w:rPr>
        <w:t>1.1. Idea del Negocio y Definición del Modelo</w:t>
      </w:r>
    </w:p>
    <w:p>
      <w:pPr>
        <w:spacing w:before="0" w:after="120" w:line="276" w:lineRule="auto"/>
      </w:pPr>
      <w:r>
        <w:rPr>
          <w:rFonts w:ascii="Calibri" w:hAnsi="Calibri"/>
          <w:i w:val="0"/>
          <w:color w:val="282828"/>
          <w:sz w:val="22"/>
        </w:rPr>
        <w:t>La producción hortícola bajo cubierta en los cinturones verdes del Alto Valle de Río Negro y Neuquén enfrenta una severa degradación sanitaria de suelos causada por la proliferación de nematodos agalladores (Meloidogyne spp.) y hongos patógenos radiculares. Esta problemática genera caídas de rendimiento de hasta un 40-60% en cultivos de solanáceas (tomate, pimiento y berenjena), provocando paradas sanitarias prematuras y pérdidas económicas sustanciales.</w:t>
      </w:r>
    </w:p>
    <w:p>
      <w:pPr>
        <w:spacing w:before="0" w:after="120" w:line="276" w:lineRule="auto"/>
      </w:pPr>
      <w:r>
        <w:rPr>
          <w:rFonts w:ascii="Calibri" w:hAnsi="Calibri"/>
          <w:i w:val="0"/>
          <w:color w:val="282828"/>
          <w:sz w:val="22"/>
        </w:rPr>
        <w:t>Frente a este escenario, el proyecto formula una solución integral articulada en dos fases complementarias:</w:t>
      </w:r>
    </w:p>
    <w:p>
      <w:pPr>
        <w:pStyle w:val="ListBullet"/>
        <w:spacing w:before="0" w:after="60" w:line="276" w:lineRule="auto"/>
      </w:pPr>
      <w:r>
        <w:rPr>
          <w:rFonts w:ascii="Calibri" w:hAnsi="Calibri"/>
          <w:b/>
          <w:color w:val="1E1E1E"/>
          <w:sz w:val="22"/>
        </w:rPr>
        <w:t xml:space="preserve">Fase 1 (Corto Plazo): </w:t>
      </w:r>
      <w:r>
        <w:rPr>
          <w:rFonts w:ascii="Calibri" w:hAnsi="Calibri"/>
          <w:color w:val="282828"/>
          <w:sz w:val="22"/>
        </w:rPr>
        <w:t>Producción y venta de plantines hortícolas injertados sobre patrones de alto vigor (Maxifort F1), cicatrizados en cámara de ambiente controlado de 18 m² en Allen, entregados en bandeja lista para trasplante.</w:t>
      </w:r>
    </w:p>
    <w:p>
      <w:pPr>
        <w:pStyle w:val="ListBullet"/>
        <w:spacing w:before="0" w:after="60" w:line="276" w:lineRule="auto"/>
      </w:pPr>
      <w:r>
        <w:rPr>
          <w:rFonts w:ascii="Calibri" w:hAnsi="Calibri"/>
          <w:b/>
          <w:color w:val="1E1E1E"/>
          <w:sz w:val="22"/>
        </w:rPr>
        <w:t xml:space="preserve">Fase 2 (Mediano Plazo): </w:t>
      </w:r>
      <w:r>
        <w:rPr>
          <w:rFonts w:ascii="Calibri" w:hAnsi="Calibri"/>
          <w:color w:val="282828"/>
          <w:sz w:val="22"/>
        </w:rPr>
        <w:t>Servicio integral de sanidad y remediación de suelo mediante diagnóstico nematológico pre-trasplante y aplicación de biosolarización con orujo fresco de manzana y uva ensilado anaeróbicamente.</w:t>
      </w:r>
    </w:p>
    <w:p>
      <w:pPr>
        <w:keepNext/>
        <w:spacing w:before="200" w:after="40"/>
      </w:pPr>
      <w:r>
        <w:rPr>
          <w:rFonts w:ascii="Arial" w:hAnsi="Arial"/>
          <w:b/>
          <w:color w:val="333333"/>
          <w:sz w:val="22"/>
        </w:rPr>
        <w:t>Visión de la Organización y Objetivos SMART</w:t>
      </w:r>
    </w:p>
    <w:p>
      <w:pPr>
        <w:spacing w:before="0" w:after="120" w:line="276" w:lineRule="auto"/>
      </w:pPr>
      <w:r>
        <w:rPr>
          <w:rFonts w:ascii="Calibri" w:hAnsi="Calibri"/>
          <w:b/>
          <w:color w:val="1E1E1E"/>
          <w:sz w:val="22"/>
        </w:rPr>
        <w:t xml:space="preserve">Visión: </w:t>
      </w:r>
      <w:r>
        <w:rPr>
          <w:rFonts w:ascii="Calibri" w:hAnsi="Calibri"/>
          <w:i w:val="0"/>
          <w:color w:val="282828"/>
          <w:sz w:val="22"/>
        </w:rPr>
        <w:t>Ser la startup agrotech referente en Patagonia Norte en tecnología de propagación vegetal y remediación orgánica de suelos para 2030, reconocida por transformar la horticultura protegida mediante la combinación de biotecnología de injertos y economía circular.</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003366"/>
            <w:tcMar>
              <w:top w:w="120" w:type="dxa"/>
              <w:bottom w:w="120" w:type="dxa"/>
              <w:left w:w="120" w:type="dxa"/>
              <w:right w:w="120" w:type="dxa"/>
            </w:tcMar>
          </w:tcPr>
          <w:p>
            <w:r>
              <w:rPr>
                <w:b/>
                <w:color w:val="FFFFFF"/>
                <w:sz w:val="19"/>
              </w:rPr>
              <w:t>Dimensión</w:t>
            </w:r>
          </w:p>
        </w:tc>
        <w:tc>
          <w:tcPr>
            <w:tcW w:type="dxa" w:w="2340"/>
            <w:shd w:fill="003366"/>
            <w:tcMar>
              <w:top w:w="120" w:type="dxa"/>
              <w:bottom w:w="120" w:type="dxa"/>
              <w:left w:w="120" w:type="dxa"/>
              <w:right w:w="120" w:type="dxa"/>
            </w:tcMar>
          </w:tcPr>
          <w:p>
            <w:r>
              <w:rPr>
                <w:b/>
                <w:color w:val="FFFFFF"/>
                <w:sz w:val="19"/>
              </w:rPr>
              <w:t>Objetivo SMART</w:t>
            </w:r>
          </w:p>
        </w:tc>
        <w:tc>
          <w:tcPr>
            <w:tcW w:type="dxa" w:w="2340"/>
            <w:shd w:fill="003366"/>
            <w:tcMar>
              <w:top w:w="120" w:type="dxa"/>
              <w:bottom w:w="120" w:type="dxa"/>
              <w:left w:w="120" w:type="dxa"/>
              <w:right w:w="120" w:type="dxa"/>
            </w:tcMar>
          </w:tcPr>
          <w:p>
            <w:r>
              <w:rPr>
                <w:b/>
                <w:color w:val="FFFFFF"/>
                <w:sz w:val="19"/>
              </w:rPr>
              <w:t>Indicador de Control (KPI)</w:t>
            </w:r>
          </w:p>
        </w:tc>
        <w:tc>
          <w:tcPr>
            <w:tcW w:type="dxa" w:w="2340"/>
            <w:shd w:fill="003366"/>
            <w:tcMar>
              <w:top w:w="120" w:type="dxa"/>
              <w:bottom w:w="120" w:type="dxa"/>
              <w:left w:w="120" w:type="dxa"/>
              <w:right w:w="120" w:type="dxa"/>
            </w:tcMar>
          </w:tcPr>
          <w:p>
            <w:r>
              <w:rPr>
                <w:b/>
                <w:color w:val="FFFFFF"/>
                <w:sz w:val="19"/>
              </w:rPr>
              <w:t>Meta / Plazo</w:t>
            </w:r>
          </w:p>
        </w:tc>
      </w:tr>
      <w:tr>
        <w:tc>
          <w:tcPr>
            <w:tcW w:type="dxa" w:w="2340"/>
            <w:shd w:fill="F9FBFD"/>
            <w:tcMar>
              <w:top w:w="100" w:type="dxa"/>
              <w:bottom w:w="100" w:type="dxa"/>
              <w:left w:w="100" w:type="dxa"/>
              <w:right w:w="100" w:type="dxa"/>
            </w:tcMar>
          </w:tcPr>
          <w:p>
            <w:r>
              <w:rPr>
                <w:sz w:val="18"/>
              </w:rPr>
              <w:t>Comercial</w:t>
            </w:r>
          </w:p>
        </w:tc>
        <w:tc>
          <w:tcPr>
            <w:tcW w:type="dxa" w:w="2340"/>
            <w:shd w:fill="F9FBFD"/>
            <w:tcMar>
              <w:top w:w="100" w:type="dxa"/>
              <w:bottom w:w="100" w:type="dxa"/>
              <w:left w:w="100" w:type="dxa"/>
              <w:right w:w="100" w:type="dxa"/>
            </w:tcMar>
          </w:tcPr>
          <w:p>
            <w:r>
              <w:rPr>
                <w:sz w:val="18"/>
              </w:rPr>
              <w:t>Capturar el 40% del nicho de oferta insatisfecha mediante contratos de preventa con seña.</w:t>
            </w:r>
          </w:p>
        </w:tc>
        <w:tc>
          <w:tcPr>
            <w:tcW w:type="dxa" w:w="2340"/>
            <w:shd w:fill="F9FBFD"/>
            <w:tcMar>
              <w:top w:w="100" w:type="dxa"/>
              <w:bottom w:w="100" w:type="dxa"/>
              <w:left w:w="100" w:type="dxa"/>
              <w:right w:w="100" w:type="dxa"/>
            </w:tcMar>
          </w:tcPr>
          <w:p>
            <w:r>
              <w:rPr>
                <w:sz w:val="18"/>
              </w:rPr>
              <w:t>Ratio de reservas firmadas / Capacidad programada</w:t>
            </w:r>
          </w:p>
        </w:tc>
        <w:tc>
          <w:tcPr>
            <w:tcW w:type="dxa" w:w="2340"/>
            <w:shd w:fill="F9FBFD"/>
            <w:tcMar>
              <w:top w:w="100" w:type="dxa"/>
              <w:bottom w:w="100" w:type="dxa"/>
              <w:left w:w="100" w:type="dxa"/>
              <w:right w:w="100" w:type="dxa"/>
            </w:tcMar>
          </w:tcPr>
          <w:p>
            <w:r>
              <w:rPr>
                <w:sz w:val="18"/>
              </w:rPr>
              <w:t>12.000 plantines reservados (60% capacidad) en Mes 4.</w:t>
            </w:r>
          </w:p>
        </w:tc>
      </w:tr>
      <w:tr>
        <w:tc>
          <w:tcPr>
            <w:tcW w:type="dxa" w:w="2340"/>
            <w:shd w:fill="FFFFFF"/>
            <w:tcMar>
              <w:top w:w="100" w:type="dxa"/>
              <w:bottom w:w="100" w:type="dxa"/>
              <w:left w:w="100" w:type="dxa"/>
              <w:right w:w="100" w:type="dxa"/>
            </w:tcMar>
          </w:tcPr>
          <w:p>
            <w:r>
              <w:rPr>
                <w:sz w:val="18"/>
              </w:rPr>
              <w:t>Técnico</w:t>
            </w:r>
          </w:p>
        </w:tc>
        <w:tc>
          <w:tcPr>
            <w:tcW w:type="dxa" w:w="2340"/>
            <w:shd w:fill="FFFFFF"/>
            <w:tcMar>
              <w:top w:w="100" w:type="dxa"/>
              <w:bottom w:w="100" w:type="dxa"/>
              <w:left w:w="100" w:type="dxa"/>
              <w:right w:w="100" w:type="dxa"/>
            </w:tcMar>
          </w:tcPr>
          <w:p>
            <w:r>
              <w:rPr>
                <w:sz w:val="18"/>
              </w:rPr>
              <w:t>Mantener un prendimiento comercial en cámara &gt;= 80% y descarte técnico &lt;= 20%.</w:t>
            </w:r>
          </w:p>
        </w:tc>
        <w:tc>
          <w:tcPr>
            <w:tcW w:type="dxa" w:w="2340"/>
            <w:shd w:fill="FFFFFF"/>
            <w:tcMar>
              <w:top w:w="100" w:type="dxa"/>
              <w:bottom w:w="100" w:type="dxa"/>
              <w:left w:w="100" w:type="dxa"/>
              <w:right w:w="100" w:type="dxa"/>
            </w:tcMar>
          </w:tcPr>
          <w:p>
            <w:r>
              <w:rPr>
                <w:sz w:val="18"/>
              </w:rPr>
              <w:t>% Plantas aptas entregadas por bandeja de 128 celdas</w:t>
            </w:r>
          </w:p>
        </w:tc>
        <w:tc>
          <w:tcPr>
            <w:tcW w:type="dxa" w:w="2340"/>
            <w:shd w:fill="FFFFFF"/>
            <w:tcMar>
              <w:top w:w="100" w:type="dxa"/>
              <w:bottom w:w="100" w:type="dxa"/>
              <w:left w:w="100" w:type="dxa"/>
              <w:right w:w="100" w:type="dxa"/>
            </w:tcMar>
          </w:tcPr>
          <w:p>
            <w:r>
              <w:rPr>
                <w:sz w:val="18"/>
              </w:rPr>
              <w:t>&gt;= 80% supervivencia en primer ciclo de producción.</w:t>
            </w:r>
          </w:p>
        </w:tc>
      </w:tr>
      <w:tr>
        <w:tc>
          <w:tcPr>
            <w:tcW w:type="dxa" w:w="2340"/>
            <w:shd w:fill="F9FBFD"/>
            <w:tcMar>
              <w:top w:w="100" w:type="dxa"/>
              <w:bottom w:w="100" w:type="dxa"/>
              <w:left w:w="100" w:type="dxa"/>
              <w:right w:w="100" w:type="dxa"/>
            </w:tcMar>
          </w:tcPr>
          <w:p>
            <w:r>
              <w:rPr>
                <w:sz w:val="18"/>
              </w:rPr>
              <w:t>Sanitario</w:t>
            </w:r>
          </w:p>
        </w:tc>
        <w:tc>
          <w:tcPr>
            <w:tcW w:type="dxa" w:w="2340"/>
            <w:shd w:fill="F9FBFD"/>
            <w:tcMar>
              <w:top w:w="100" w:type="dxa"/>
              <w:bottom w:w="100" w:type="dxa"/>
              <w:left w:w="100" w:type="dxa"/>
              <w:right w:w="100" w:type="dxa"/>
            </w:tcMar>
          </w:tcPr>
          <w:p>
            <w:r>
              <w:rPr>
                <w:sz w:val="18"/>
              </w:rPr>
              <w:t>Lograr una reducción de la población de juveniles (J2) de Meloidogyne &gt;= 70% en lotes tratados.</w:t>
            </w:r>
          </w:p>
        </w:tc>
        <w:tc>
          <w:tcPr>
            <w:tcW w:type="dxa" w:w="2340"/>
            <w:shd w:fill="F9FBFD"/>
            <w:tcMar>
              <w:top w:w="100" w:type="dxa"/>
              <w:bottom w:w="100" w:type="dxa"/>
              <w:left w:w="100" w:type="dxa"/>
              <w:right w:w="100" w:type="dxa"/>
            </w:tcMar>
          </w:tcPr>
          <w:p>
            <w:r>
              <w:rPr>
                <w:sz w:val="18"/>
              </w:rPr>
              <w:t>Conteo nematológico post vs pre biosolarización</w:t>
            </w:r>
          </w:p>
        </w:tc>
        <w:tc>
          <w:tcPr>
            <w:tcW w:type="dxa" w:w="2340"/>
            <w:shd w:fill="F9FBFD"/>
            <w:tcMar>
              <w:top w:w="100" w:type="dxa"/>
              <w:bottom w:w="100" w:type="dxa"/>
              <w:left w:w="100" w:type="dxa"/>
              <w:right w:w="100" w:type="dxa"/>
            </w:tcMar>
          </w:tcPr>
          <w:p>
            <w:r>
              <w:rPr>
                <w:sz w:val="18"/>
              </w:rPr>
              <w:t>Reducción &gt;= 70% en 0,30 ha piloto en Meses 6-12.</w:t>
            </w:r>
          </w:p>
        </w:tc>
      </w:tr>
      <w:tr>
        <w:tc>
          <w:tcPr>
            <w:tcW w:type="dxa" w:w="2340"/>
            <w:shd w:fill="FFFFFF"/>
            <w:tcMar>
              <w:top w:w="100" w:type="dxa"/>
              <w:bottom w:w="100" w:type="dxa"/>
              <w:left w:w="100" w:type="dxa"/>
              <w:right w:w="100" w:type="dxa"/>
            </w:tcMar>
          </w:tcPr>
          <w:p>
            <w:r>
              <w:rPr>
                <w:sz w:val="18"/>
              </w:rPr>
              <w:t>Financiero</w:t>
            </w:r>
          </w:p>
        </w:tc>
        <w:tc>
          <w:tcPr>
            <w:tcW w:type="dxa" w:w="2340"/>
            <w:shd w:fill="FFFFFF"/>
            <w:tcMar>
              <w:top w:w="100" w:type="dxa"/>
              <w:bottom w:w="100" w:type="dxa"/>
              <w:left w:w="100" w:type="dxa"/>
              <w:right w:w="100" w:type="dxa"/>
            </w:tcMar>
          </w:tcPr>
          <w:p>
            <w:r>
              <w:rPr>
                <w:sz w:val="18"/>
              </w:rPr>
              <w:t>Alcanzar el Punto de Equilibrio Operativo vendiendo 7.040 plantines en el primer año.</w:t>
            </w:r>
          </w:p>
        </w:tc>
        <w:tc>
          <w:tcPr>
            <w:tcW w:type="dxa" w:w="2340"/>
            <w:shd w:fill="FFFFFF"/>
            <w:tcMar>
              <w:top w:w="100" w:type="dxa"/>
              <w:bottom w:w="100" w:type="dxa"/>
              <w:left w:w="100" w:type="dxa"/>
              <w:right w:w="100" w:type="dxa"/>
            </w:tcMar>
          </w:tcPr>
          <w:p>
            <w:r>
              <w:rPr>
                <w:sz w:val="18"/>
              </w:rPr>
              <w:t>Volumen de ventas netas / Margen de contribución</w:t>
            </w:r>
          </w:p>
        </w:tc>
        <w:tc>
          <w:tcPr>
            <w:tcW w:type="dxa" w:w="2340"/>
            <w:shd w:fill="FFFFFF"/>
            <w:tcMar>
              <w:top w:w="100" w:type="dxa"/>
              <w:bottom w:w="100" w:type="dxa"/>
              <w:left w:w="100" w:type="dxa"/>
              <w:right w:w="100" w:type="dxa"/>
            </w:tcMar>
          </w:tcPr>
          <w:p>
            <w:r>
              <w:rPr>
                <w:sz w:val="18"/>
              </w:rPr>
              <w:t>Cubrir $8.800.000 ARS de costos fijos con 7.040 unidades.</w:t>
            </w:r>
          </w:p>
        </w:tc>
      </w:tr>
    </w:tbl>
    <w:p>
      <w:pPr>
        <w:spacing w:after="120"/>
      </w:pPr>
    </w:p>
    <w:p>
      <w:pPr>
        <w:keepNext/>
        <w:spacing w:before="280" w:after="80"/>
      </w:pPr>
      <w:r>
        <w:rPr>
          <w:rFonts w:ascii="Arial" w:hAnsi="Arial"/>
          <w:b/>
          <w:color w:val="2980B9"/>
          <w:sz w:val="26"/>
        </w:rPr>
        <w:t>1.2. Estudio de Contexto Macroentorno (PESTEL)</w:t>
      </w:r>
    </w:p>
    <w:p>
      <w:pPr>
        <w:pStyle w:val="ListBullet"/>
        <w:spacing w:before="0" w:after="60" w:line="276" w:lineRule="auto"/>
      </w:pPr>
      <w:r>
        <w:rPr>
          <w:rFonts w:ascii="Calibri" w:hAnsi="Calibri"/>
          <w:b/>
          <w:color w:val="1E1E1E"/>
          <w:sz w:val="22"/>
        </w:rPr>
        <w:t xml:space="preserve">Político / Gubernamental: </w:t>
      </w:r>
      <w:r>
        <w:rPr>
          <w:rFonts w:ascii="Calibri" w:hAnsi="Calibri"/>
          <w:color w:val="282828"/>
          <w:sz w:val="22"/>
        </w:rPr>
        <w:t>Programas provinciales de fomento hortícola (PAR Agroquímicos/Maquinaria en Río Negro y Crédito Fiscal en Neuquén). Barrera Sanitaria Patagónica del SENASA que restringe el ingreso de vegetal vivo sin certificación fitosanitaria.</w:t>
      </w:r>
    </w:p>
    <w:p>
      <w:pPr>
        <w:pStyle w:val="ListBullet"/>
        <w:spacing w:before="0" w:after="60" w:line="276" w:lineRule="auto"/>
      </w:pPr>
      <w:r>
        <w:rPr>
          <w:rFonts w:ascii="Calibri" w:hAnsi="Calibri"/>
          <w:b/>
          <w:color w:val="1E1E1E"/>
          <w:sz w:val="22"/>
        </w:rPr>
        <w:t xml:space="preserve">Económico: </w:t>
      </w:r>
      <w:r>
        <w:rPr>
          <w:rFonts w:ascii="Calibri" w:hAnsi="Calibri"/>
          <w:color w:val="282828"/>
          <w:sz w:val="22"/>
        </w:rPr>
        <w:t>Elevados costos logísticos de fletes desde polos tradicionales (Mendoza/La Plata). Convenio colectivo UATRE para mano de obra especializada en viveros.</w:t>
      </w:r>
    </w:p>
    <w:p>
      <w:pPr>
        <w:pStyle w:val="ListBullet"/>
        <w:spacing w:before="0" w:after="60" w:line="276" w:lineRule="auto"/>
      </w:pPr>
      <w:r>
        <w:rPr>
          <w:rFonts w:ascii="Calibri" w:hAnsi="Calibri"/>
          <w:b/>
          <w:color w:val="1E1E1E"/>
          <w:sz w:val="22"/>
        </w:rPr>
        <w:t xml:space="preserve">Social / Demográfico: </w:t>
      </w:r>
      <w:r>
        <w:rPr>
          <w:rFonts w:ascii="Calibri" w:hAnsi="Calibri"/>
          <w:color w:val="282828"/>
          <w:sz w:val="22"/>
        </w:rPr>
        <w:t>Creciente densidad de producción bajo cubierta en cinturones periurbanos de Allen, Roca y Centenario. Demanda consumidora de alimentos con menor carga química.</w:t>
      </w:r>
    </w:p>
    <w:p>
      <w:pPr>
        <w:pStyle w:val="ListBullet"/>
        <w:spacing w:before="0" w:after="60" w:line="276" w:lineRule="auto"/>
      </w:pPr>
      <w:r>
        <w:rPr>
          <w:rFonts w:ascii="Calibri" w:hAnsi="Calibri"/>
          <w:b/>
          <w:color w:val="1E1E1E"/>
          <w:sz w:val="22"/>
        </w:rPr>
        <w:t xml:space="preserve">Tecnológico: </w:t>
      </w:r>
      <w:r>
        <w:rPr>
          <w:rFonts w:ascii="Calibri" w:hAnsi="Calibri"/>
          <w:color w:val="282828"/>
          <w:sz w:val="22"/>
        </w:rPr>
        <w:t>Adopción de biotecnología de injertos en solanáceas e instrumentación IoT para monitoreo térmico en cicatrización y biosolarización.</w:t>
      </w:r>
    </w:p>
    <w:p>
      <w:pPr>
        <w:pStyle w:val="ListBullet"/>
        <w:spacing w:before="0" w:after="60" w:line="276" w:lineRule="auto"/>
      </w:pPr>
      <w:r>
        <w:rPr>
          <w:rFonts w:ascii="Calibri" w:hAnsi="Calibri"/>
          <w:b/>
          <w:color w:val="1E1E1E"/>
          <w:sz w:val="22"/>
        </w:rPr>
        <w:t xml:space="preserve">Ambiental / Ecológico: </w:t>
      </w:r>
      <w:r>
        <w:rPr>
          <w:rFonts w:ascii="Calibri" w:hAnsi="Calibri"/>
          <w:color w:val="282828"/>
          <w:sz w:val="22"/>
        </w:rPr>
        <w:t>Disponibilidad regional de más de 115.000 toneladas anuales de orujo de manzana y uva. Necesidad de sustituir desinfectantes sintéticos agresivos.</w:t>
      </w:r>
    </w:p>
    <w:p>
      <w:pPr>
        <w:pStyle w:val="ListBullet"/>
        <w:spacing w:before="0" w:after="60" w:line="276" w:lineRule="auto"/>
      </w:pPr>
      <w:r>
        <w:rPr>
          <w:rFonts w:ascii="Calibri" w:hAnsi="Calibri"/>
          <w:b/>
          <w:color w:val="1E1E1E"/>
          <w:sz w:val="22"/>
        </w:rPr>
        <w:t xml:space="preserve">Legal / Regulatorio: </w:t>
      </w:r>
      <w:r>
        <w:rPr>
          <w:rFonts w:ascii="Calibri" w:hAnsi="Calibri"/>
          <w:color w:val="282828"/>
          <w:sz w:val="22"/>
        </w:rPr>
        <w:t>Obligatoriedad de inscripción en RENFO (SENASA Res. 64/2026), emisión de DTV-e y matriculación en RNCyFS (INASE) con Dirección Técnica Agronómica.</w:t>
      </w:r>
    </w:p>
    <w:p>
      <w:pPr>
        <w:keepNext/>
        <w:spacing w:before="280" w:after="80"/>
      </w:pPr>
      <w:r>
        <w:rPr>
          <w:rFonts w:ascii="Arial" w:hAnsi="Arial"/>
          <w:b/>
          <w:color w:val="2980B9"/>
          <w:sz w:val="26"/>
        </w:rPr>
        <w:t>1.3. Evaluación de Mercado y Estimación de la Demanda</w:t>
      </w:r>
    </w:p>
    <w:p>
      <w:pPr>
        <w:spacing w:before="0" w:after="120" w:line="276" w:lineRule="auto"/>
      </w:pPr>
      <w:r>
        <w:rPr>
          <w:rFonts w:ascii="Calibri" w:hAnsi="Calibri"/>
          <w:i w:val="0"/>
          <w:color w:val="282828"/>
          <w:sz w:val="22"/>
        </w:rPr>
        <w:t>Atendiendo estrictamente la corrección metodológica planteada por la cátedra, la estimación de la demanda no se realiza sobre porcentajes teóricos de mercado, sino proyectando a partir de la oferta de competidores tangible existente en la región:</w:t>
      </w:r>
    </w:p>
    <w:p>
      <w:pPr>
        <w:pStyle w:val="ListBullet"/>
        <w:spacing w:before="0" w:after="60" w:line="276" w:lineRule="auto"/>
      </w:pPr>
      <w:r>
        <w:rPr>
          <w:rFonts w:ascii="Calibri" w:hAnsi="Calibri"/>
          <w:b/>
          <w:color w:val="1E1E1E"/>
          <w:sz w:val="22"/>
        </w:rPr>
        <w:t xml:space="preserve">Mercado Oferta Actual: </w:t>
      </w:r>
      <w:r>
        <w:rPr>
          <w:rFonts w:ascii="Calibri" w:hAnsi="Calibri"/>
          <w:color w:val="282828"/>
          <w:sz w:val="22"/>
        </w:rPr>
        <w:t>Estimado en 100.000 plantines injertados al año que ingresan a Patagonia Norte procedentes de viveros de Mendoza (Brest &amp; Brest SRL) y La Plata (Tecnoflor / Proplanta).</w:t>
      </w:r>
    </w:p>
    <w:p>
      <w:pPr>
        <w:pStyle w:val="ListBullet"/>
        <w:spacing w:before="0" w:after="60" w:line="276" w:lineRule="auto"/>
      </w:pPr>
      <w:r>
        <w:rPr>
          <w:rFonts w:ascii="Calibri" w:hAnsi="Calibri"/>
          <w:b/>
          <w:color w:val="1E1E1E"/>
          <w:sz w:val="22"/>
        </w:rPr>
        <w:t xml:space="preserve">Identificación de la Oferta Insatisfecha: </w:t>
      </w:r>
      <w:r>
        <w:rPr>
          <w:rFonts w:ascii="Calibri" w:hAnsi="Calibri"/>
          <w:color w:val="282828"/>
          <w:sz w:val="22"/>
        </w:rPr>
        <w:t>Un 30% de los productores que compran injertos extra-regionales (30.000 plantines) se declaran insatisfechos debido al estrés hídrico/térmico por 24 hs de flete, demoras en fechas de entrega, falta de adaptación a suelos locales y ausencia de soporte agronómico en finca.</w:t>
      </w:r>
    </w:p>
    <w:p>
      <w:pPr>
        <w:pStyle w:val="ListBullet"/>
        <w:spacing w:before="0" w:after="60" w:line="276" w:lineRule="auto"/>
      </w:pPr>
      <w:r>
        <w:rPr>
          <w:rFonts w:ascii="Calibri" w:hAnsi="Calibri"/>
          <w:b/>
          <w:color w:val="1E1E1E"/>
          <w:sz w:val="22"/>
        </w:rPr>
        <w:t xml:space="preserve">Cuota de Captura y Mercado Target (Año 1): </w:t>
      </w:r>
      <w:r>
        <w:rPr>
          <w:rFonts w:ascii="Calibri" w:hAnsi="Calibri"/>
          <w:color w:val="282828"/>
          <w:sz w:val="22"/>
        </w:rPr>
        <w:t>La startup establece como meta capturar el 40% de ese segmento insatisfecho durante el Año 1, equivalentes a 12.000 plantines injertados.</w:t>
      </w:r>
    </w:p>
    <w:p>
      <w:pPr>
        <w:pStyle w:val="ListBullet"/>
        <w:spacing w:before="0" w:after="60" w:line="276" w:lineRule="auto"/>
      </w:pPr>
      <w:r>
        <w:rPr>
          <w:rFonts w:ascii="Calibri" w:hAnsi="Calibri"/>
          <w:b/>
          <w:color w:val="1E1E1E"/>
          <w:sz w:val="22"/>
        </w:rPr>
        <w:t xml:space="preserve">Validación Mediante Preventa: </w:t>
      </w:r>
      <w:r>
        <w:rPr>
          <w:rFonts w:ascii="Calibri" w:hAnsi="Calibri"/>
          <w:color w:val="282828"/>
          <w:sz w:val="22"/>
        </w:rPr>
        <w:t>La regla de comercialización exige firmar contratos de preventa por el 60% de la capacidad operativa (12.000 unidades) con el cobro del 40% de seña antes de iniciar la siembra, cubriendo el 170% del punto de equilibrio (7.040 unidades) de forma previa.</w:t>
      </w:r>
    </w:p>
    <w:p>
      <w:pPr>
        <w:keepNext/>
        <w:spacing w:before="280" w:after="80"/>
      </w:pPr>
      <w:r>
        <w:rPr>
          <w:rFonts w:ascii="Arial" w:hAnsi="Arial"/>
          <w:b/>
          <w:color w:val="2980B9"/>
          <w:sz w:val="26"/>
        </w:rPr>
        <w:t>1.4. Comercialización y Canales de Distribución (Marketing Mix 4P)</w:t>
      </w:r>
    </w:p>
    <w:p>
      <w:pPr>
        <w:keepNext/>
        <w:spacing w:before="200" w:after="40"/>
      </w:pPr>
      <w:r>
        <w:rPr>
          <w:rFonts w:ascii="Arial" w:hAnsi="Arial"/>
          <w:b/>
          <w:color w:val="333333"/>
          <w:sz w:val="22"/>
        </w:rPr>
        <w:t>1.4.1. Estrategia de Producto y Posicionamiento</w:t>
      </w:r>
    </w:p>
    <w:p>
      <w:pPr>
        <w:spacing w:before="0" w:after="120" w:line="276" w:lineRule="auto"/>
      </w:pPr>
      <w:r>
        <w:rPr>
          <w:rFonts w:ascii="Calibri" w:hAnsi="Calibri"/>
          <w:i w:val="0"/>
          <w:color w:val="282828"/>
          <w:sz w:val="22"/>
        </w:rPr>
        <w:t>El producto principal consiste en plantines injertados de tomate sobre patrón Maxifort F1 en bandejas de 128 celdas, con cicatrización garantizada en cámara de ambiente controlado. En la Fase 2 se adiciona el servicio de diagnóstico nematológico pre-trasplante y tratamiento de suelo con orujo ensilado.</w:t>
      </w:r>
    </w:p>
    <w:p>
      <w:pPr>
        <w:keepNext/>
        <w:spacing w:before="200" w:after="40"/>
      </w:pPr>
      <w:r>
        <w:rPr>
          <w:rFonts w:ascii="Arial" w:hAnsi="Arial"/>
          <w:b/>
          <w:color w:val="333333"/>
          <w:sz w:val="22"/>
        </w:rPr>
        <w:t>1.4.2. Estrategia de Precios (Pricing)</w:t>
      </w:r>
    </w:p>
    <w:p>
      <w:pPr>
        <w:spacing w:before="0" w:after="120" w:line="276" w:lineRule="auto"/>
      </w:pPr>
      <w:r>
        <w:rPr>
          <w:rFonts w:ascii="Calibri" w:hAnsi="Calibri"/>
          <w:i w:val="0"/>
          <w:color w:val="282828"/>
          <w:sz w:val="22"/>
        </w:rPr>
        <w:t>Precio de lanzamiento: $2.000 ARS por plantín injertado entregado en finca. Al conducir la planta a 2 guías, el productor utiliza 5.000 plantines/ha en lugar de 10.000 plantines francos tradicionalmente requeridos. De este modo, el costo de implantación por hectárea se iguala ($10.000.000 ARS/ha), entregando un potencial de rendimiento superior en más del 50%. Frente a la competencia extra-regional ($2.200 + $300 flete), la startup ofrece una ventaja directa de precio y frescura sin pérdidas por flete.</w:t>
      </w:r>
    </w:p>
    <w:p>
      <w:pPr>
        <w:keepNext/>
        <w:spacing w:before="200" w:after="40"/>
      </w:pPr>
      <w:r>
        <w:rPr>
          <w:rFonts w:ascii="Arial" w:hAnsi="Arial"/>
          <w:b/>
          <w:color w:val="333333"/>
          <w:sz w:val="22"/>
        </w:rPr>
        <w:t>1.4.3. Canales de Comercialización, Modelo B2B y Distribución Física (Plaza)</w:t>
      </w:r>
    </w:p>
    <w:p>
      <w:pPr>
        <w:spacing w:before="0" w:after="120" w:line="276" w:lineRule="auto"/>
      </w:pPr>
      <w:r>
        <w:rPr>
          <w:rFonts w:ascii="Calibri" w:hAnsi="Calibri"/>
          <w:i w:val="0"/>
          <w:color w:val="282828"/>
          <w:sz w:val="22"/>
        </w:rPr>
        <w:t>La estrategia de comercialización se fundamenta en un Canal Directo B2B de Nivel 0 (Vivero Productor -&gt; Productor Hortícola Bajo Cubierta) estructurado para eliminar intermediarios, reducir costos de comisión y garantizar un soporte técnico continuo:</w:t>
      </w:r>
    </w:p>
    <w:p>
      <w:pPr>
        <w:pStyle w:val="ListBullet"/>
        <w:spacing w:before="0" w:after="60" w:line="276" w:lineRule="auto"/>
      </w:pPr>
      <w:r>
        <w:rPr>
          <w:rFonts w:ascii="Calibri" w:hAnsi="Calibri"/>
          <w:b/>
          <w:color w:val="1E1E1E"/>
          <w:sz w:val="22"/>
        </w:rPr>
        <w:t xml:space="preserve">Arquitectura del Canal Directo B2B: </w:t>
      </w:r>
      <w:r>
        <w:rPr>
          <w:rFonts w:ascii="Calibri" w:hAnsi="Calibri"/>
          <w:color w:val="282828"/>
          <w:sz w:val="22"/>
        </w:rPr>
        <w:t>Se prescinde de agronomías distribuidoras o intermediarios comerciales. La relación es directa entre el equipo técnico de la startup y el productor hortícola. Esto evita sobreprecios del 20-30% por intermediación y elimina el riesgo de que las plantas sufran estancamiento de stock en depósitos de terceros sin condiciones climáticas adecuadas.</w:t>
      </w:r>
    </w:p>
    <w:p>
      <w:pPr>
        <w:pStyle w:val="ListBullet"/>
        <w:spacing w:before="0" w:after="60" w:line="276" w:lineRule="auto"/>
      </w:pPr>
      <w:r>
        <w:rPr>
          <w:rFonts w:ascii="Calibri" w:hAnsi="Calibri"/>
          <w:b/>
          <w:color w:val="1E1E1E"/>
          <w:sz w:val="22"/>
        </w:rPr>
        <w:t xml:space="preserve">Cobertura Geográfica y Mercados Atendidos: </w:t>
      </w:r>
      <w:r>
        <w:rPr>
          <w:rFonts w:ascii="Calibri" w:hAnsi="Calibri"/>
          <w:color w:val="282828"/>
          <w:sz w:val="22"/>
        </w:rPr>
        <w:t>Cobertura intensiva en un radio de 60 km con centro en Allen, abarcando el Polo Allen-Roca (Río Negro) y el Polo Centenario-Vista Alegre-Plottier (Neuquén). La cartera target del Año 1 se compone de 15 establecimientos comerciales bajo cubierta (superficie promedio de 1.200 a 2.500 m² por finca).</w:t>
      </w:r>
    </w:p>
    <w:p>
      <w:pPr>
        <w:pStyle w:val="ListBullet"/>
        <w:spacing w:before="0" w:after="60" w:line="276" w:lineRule="auto"/>
      </w:pPr>
      <w:r>
        <w:rPr>
          <w:rFonts w:ascii="Calibri" w:hAnsi="Calibri"/>
          <w:b/>
          <w:color w:val="1E1E1E"/>
          <w:sz w:val="22"/>
        </w:rPr>
        <w:t xml:space="preserve">Logística de Despacho y Transporte Refrigerado Local: </w:t>
      </w:r>
      <w:r>
        <w:rPr>
          <w:rFonts w:ascii="Calibri" w:hAnsi="Calibri"/>
          <w:color w:val="282828"/>
          <w:sz w:val="22"/>
        </w:rPr>
        <w:t>Las entregas se programan directamente a la finca del productor. Se utiliza un vehículo utilitario acondicionado con aislamiento térmico y flujo de aire a 18-22 °C, evitando el estrés hídrico y el 'golpe de calor' característico de los camiones de larga distancia desde Mendoza (18-24 hs de viaje). El tiempo máximo de tránsito es de 45 a 90 minutos desde la cámara de aclimatación de Allen hasta el invernadero de destino.</w:t>
      </w:r>
    </w:p>
    <w:p>
      <w:pPr>
        <w:pStyle w:val="ListBullet"/>
        <w:spacing w:before="0" w:after="60" w:line="276" w:lineRule="auto"/>
      </w:pPr>
      <w:r>
        <w:rPr>
          <w:rFonts w:ascii="Calibri" w:hAnsi="Calibri"/>
          <w:b/>
          <w:color w:val="1E1E1E"/>
          <w:sz w:val="22"/>
        </w:rPr>
        <w:t xml:space="preserve">Acondicionamiento y Packaging Antiestrés: </w:t>
      </w:r>
      <w:r>
        <w:rPr>
          <w:rFonts w:ascii="Calibri" w:hAnsi="Calibri"/>
          <w:color w:val="282828"/>
          <w:sz w:val="22"/>
        </w:rPr>
        <w:t>Las bandejas de 128 celdas se despachan dentro de fundas protectoras microperforadas biodegradables que estabilizan la humedad cepellonar y protegen el punto de injerto contra vibraciones de transporte.</w:t>
      </w:r>
    </w:p>
    <w:p>
      <w:pPr>
        <w:pStyle w:val="ListBullet"/>
        <w:spacing w:before="0" w:after="60" w:line="276" w:lineRule="auto"/>
      </w:pPr>
      <w:r>
        <w:rPr>
          <w:rFonts w:ascii="Calibri" w:hAnsi="Calibri"/>
          <w:b/>
          <w:color w:val="1E1E1E"/>
          <w:sz w:val="22"/>
        </w:rPr>
        <w:t xml:space="preserve">El Diagnóstico de Suelo in situ como 'Hook Commercial': </w:t>
      </w:r>
      <w:r>
        <w:rPr>
          <w:rFonts w:ascii="Calibri" w:hAnsi="Calibri"/>
          <w:color w:val="282828"/>
          <w:sz w:val="22"/>
        </w:rPr>
        <w:t>Durante la etapa de prospección comercial (mayo-julio), el Agrónomo Comercial visita la finca y realiza el muestreo de suelo sin costo inicial para el productor. El informe técnico de presencia de nematodos convence al agricultor de la necesidad del injerto y asegura la firma del contrato de preventa con el 40% de seña previa a la siembra.</w:t>
      </w:r>
    </w:p>
    <w:p>
      <w:pPr>
        <w:keepNext/>
        <w:spacing w:before="200" w:after="40"/>
      </w:pPr>
      <w:r>
        <w:rPr>
          <w:rFonts w:ascii="Arial" w:hAnsi="Arial"/>
          <w:b/>
          <w:color w:val="333333"/>
          <w:sz w:val="22"/>
        </w:rPr>
        <w:t>1.4.4. Fuerza de Ventas, Promoción y Presupuesto Comercial</w:t>
      </w:r>
    </w:p>
    <w:p>
      <w:pPr>
        <w:spacing w:before="0" w:after="120" w:line="276" w:lineRule="auto"/>
      </w:pPr>
      <w:r>
        <w:rPr>
          <w:rFonts w:ascii="Calibri" w:hAnsi="Calibri"/>
          <w:i w:val="0"/>
          <w:color w:val="282828"/>
          <w:sz w:val="22"/>
        </w:rPr>
        <w:t>La fuerza de ventas está integrada por el Director Técnico Agrónomo Comercial, quien combina el perfil de asesoría fitopatológica con la gestión de cierre de contratos B2B. La promoción se apoya en parcelas demostrativas en fincas referentes del Alto Valle y en el patrocinio de jornadas técnicas con el INTA Alto Valle.</w:t>
      </w:r>
    </w:p>
    <w:p>
      <w:pPr>
        <w:spacing w:before="0" w:after="120" w:line="276" w:lineRule="auto"/>
      </w:pPr>
      <w:r>
        <w:rPr>
          <w:rFonts w:ascii="Calibri" w:hAnsi="Calibri"/>
          <w:i w:val="0"/>
          <w:color w:val="282828"/>
          <w:sz w:val="22"/>
        </w:rPr>
        <w:t>A continuación se detalla la estructura consolidada de costos directos e indirectos asignados exclusivamente a la gestión comercial, venta y distribución física del proyecto:</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003366"/>
            <w:tcMar>
              <w:top w:w="120" w:type="dxa"/>
              <w:bottom w:w="120" w:type="dxa"/>
              <w:left w:w="120" w:type="dxa"/>
              <w:right w:w="120" w:type="dxa"/>
            </w:tcMar>
          </w:tcPr>
          <w:p>
            <w:r>
              <w:rPr>
                <w:b/>
                <w:color w:val="FFFFFF"/>
                <w:sz w:val="19"/>
              </w:rPr>
              <w:t>Concepto Comercial</w:t>
            </w:r>
          </w:p>
        </w:tc>
        <w:tc>
          <w:tcPr>
            <w:tcW w:type="dxa" w:w="2340"/>
            <w:shd w:fill="003366"/>
            <w:tcMar>
              <w:top w:w="120" w:type="dxa"/>
              <w:bottom w:w="120" w:type="dxa"/>
              <w:left w:w="120" w:type="dxa"/>
              <w:right w:w="120" w:type="dxa"/>
            </w:tcMar>
          </w:tcPr>
          <w:p>
            <w:r>
              <w:rPr>
                <w:b/>
                <w:color w:val="FFFFFF"/>
                <w:sz w:val="19"/>
              </w:rPr>
              <w:t>Tipo de Costo</w:t>
            </w:r>
          </w:p>
        </w:tc>
        <w:tc>
          <w:tcPr>
            <w:tcW w:type="dxa" w:w="2340"/>
            <w:shd w:fill="003366"/>
            <w:tcMar>
              <w:top w:w="120" w:type="dxa"/>
              <w:bottom w:w="120" w:type="dxa"/>
              <w:left w:w="120" w:type="dxa"/>
              <w:right w:w="120" w:type="dxa"/>
            </w:tcMar>
          </w:tcPr>
          <w:p>
            <w:r>
              <w:rPr>
                <w:b/>
                <w:color w:val="FFFFFF"/>
                <w:sz w:val="19"/>
              </w:rPr>
              <w:t>Base de Cálculo / Asignación</w:t>
            </w:r>
          </w:p>
        </w:tc>
        <w:tc>
          <w:tcPr>
            <w:tcW w:type="dxa" w:w="2340"/>
            <w:shd w:fill="003366"/>
            <w:tcMar>
              <w:top w:w="120" w:type="dxa"/>
              <w:bottom w:w="120" w:type="dxa"/>
              <w:left w:w="120" w:type="dxa"/>
              <w:right w:w="120" w:type="dxa"/>
            </w:tcMar>
          </w:tcPr>
          <w:p>
            <w:r>
              <w:rPr>
                <w:b/>
                <w:color w:val="FFFFFF"/>
                <w:sz w:val="19"/>
              </w:rPr>
              <w:t>Monto Anual (ARS)</w:t>
            </w:r>
          </w:p>
        </w:tc>
      </w:tr>
      <w:tr>
        <w:tc>
          <w:tcPr>
            <w:tcW w:type="dxa" w:w="2340"/>
            <w:shd w:fill="F9FBFD"/>
            <w:tcMar>
              <w:top w:w="100" w:type="dxa"/>
              <w:bottom w:w="100" w:type="dxa"/>
              <w:left w:w="100" w:type="dxa"/>
              <w:right w:w="100" w:type="dxa"/>
            </w:tcMar>
          </w:tcPr>
          <w:p>
            <w:r>
              <w:rPr>
                <w:sz w:val="18"/>
              </w:rPr>
              <w:t>Acondicionamiento y Packaging Antiestrés</w:t>
            </w:r>
          </w:p>
        </w:tc>
        <w:tc>
          <w:tcPr>
            <w:tcW w:type="dxa" w:w="2340"/>
            <w:shd w:fill="F9FBFD"/>
            <w:tcMar>
              <w:top w:w="100" w:type="dxa"/>
              <w:bottom w:w="100" w:type="dxa"/>
              <w:left w:w="100" w:type="dxa"/>
              <w:right w:w="100" w:type="dxa"/>
            </w:tcMar>
          </w:tcPr>
          <w:p>
            <w:r>
              <w:rPr>
                <w:sz w:val="18"/>
              </w:rPr>
              <w:t>Variable Directo</w:t>
            </w:r>
          </w:p>
        </w:tc>
        <w:tc>
          <w:tcPr>
            <w:tcW w:type="dxa" w:w="2340"/>
            <w:shd w:fill="F9FBFD"/>
            <w:tcMar>
              <w:top w:w="100" w:type="dxa"/>
              <w:bottom w:w="100" w:type="dxa"/>
              <w:left w:w="100" w:type="dxa"/>
              <w:right w:w="100" w:type="dxa"/>
            </w:tcMar>
          </w:tcPr>
          <w:p>
            <w:r>
              <w:rPr>
                <w:sz w:val="18"/>
              </w:rPr>
              <w:t>$37,50 ARS / plantín ($750.000 ARS para 20.000 unidades)</w:t>
            </w:r>
          </w:p>
        </w:tc>
        <w:tc>
          <w:tcPr>
            <w:tcW w:type="dxa" w:w="2340"/>
            <w:shd w:fill="F9FBFD"/>
            <w:tcMar>
              <w:top w:w="100" w:type="dxa"/>
              <w:bottom w:w="100" w:type="dxa"/>
              <w:left w:w="100" w:type="dxa"/>
              <w:right w:w="100" w:type="dxa"/>
            </w:tcMar>
          </w:tcPr>
          <w:p>
            <w:r>
              <w:rPr>
                <w:b/>
                <w:sz w:val="18"/>
              </w:rPr>
              <w:t>$750.000</w:t>
            </w:r>
          </w:p>
        </w:tc>
      </w:tr>
      <w:tr>
        <w:tc>
          <w:tcPr>
            <w:tcW w:type="dxa" w:w="2340"/>
            <w:shd w:fill="FFFFFF"/>
            <w:tcMar>
              <w:top w:w="100" w:type="dxa"/>
              <w:bottom w:w="100" w:type="dxa"/>
              <w:left w:w="100" w:type="dxa"/>
              <w:right w:w="100" w:type="dxa"/>
            </w:tcMar>
          </w:tcPr>
          <w:p>
            <w:r>
              <w:rPr>
                <w:sz w:val="18"/>
              </w:rPr>
              <w:t>Flete y Distribución Local en Finca</w:t>
            </w:r>
          </w:p>
        </w:tc>
        <w:tc>
          <w:tcPr>
            <w:tcW w:type="dxa" w:w="2340"/>
            <w:shd w:fill="FFFFFF"/>
            <w:tcMar>
              <w:top w:w="100" w:type="dxa"/>
              <w:bottom w:w="100" w:type="dxa"/>
              <w:left w:w="100" w:type="dxa"/>
              <w:right w:w="100" w:type="dxa"/>
            </w:tcMar>
          </w:tcPr>
          <w:p>
            <w:r>
              <w:rPr>
                <w:sz w:val="18"/>
              </w:rPr>
              <w:t>Variable Directo</w:t>
            </w:r>
          </w:p>
        </w:tc>
        <w:tc>
          <w:tcPr>
            <w:tcW w:type="dxa" w:w="2340"/>
            <w:shd w:fill="FFFFFF"/>
            <w:tcMar>
              <w:top w:w="100" w:type="dxa"/>
              <w:bottom w:w="100" w:type="dxa"/>
              <w:left w:w="100" w:type="dxa"/>
              <w:right w:w="100" w:type="dxa"/>
            </w:tcMar>
          </w:tcPr>
          <w:p>
            <w:r>
              <w:rPr>
                <w:sz w:val="18"/>
              </w:rPr>
              <w:t>$25,00 ARS / plantín (Absorbido en margen variable)</w:t>
            </w:r>
          </w:p>
        </w:tc>
        <w:tc>
          <w:tcPr>
            <w:tcW w:type="dxa" w:w="2340"/>
            <w:shd w:fill="FFFFFF"/>
            <w:tcMar>
              <w:top w:w="100" w:type="dxa"/>
              <w:bottom w:w="100" w:type="dxa"/>
              <w:left w:w="100" w:type="dxa"/>
              <w:right w:w="100" w:type="dxa"/>
            </w:tcMar>
          </w:tcPr>
          <w:p>
            <w:r>
              <w:rPr>
                <w:b/>
                <w:sz w:val="18"/>
              </w:rPr>
              <w:t>$500.000</w:t>
            </w:r>
          </w:p>
        </w:tc>
      </w:tr>
      <w:tr>
        <w:tc>
          <w:tcPr>
            <w:tcW w:type="dxa" w:w="2340"/>
            <w:shd w:fill="F9FBFD"/>
            <w:tcMar>
              <w:top w:w="100" w:type="dxa"/>
              <w:bottom w:w="100" w:type="dxa"/>
              <w:left w:w="100" w:type="dxa"/>
              <w:right w:w="100" w:type="dxa"/>
            </w:tcMar>
          </w:tcPr>
          <w:p>
            <w:r>
              <w:rPr>
                <w:sz w:val="18"/>
              </w:rPr>
              <w:t>Honorarios Agrónomo Comercial / Ventas</w:t>
            </w:r>
          </w:p>
        </w:tc>
        <w:tc>
          <w:tcPr>
            <w:tcW w:type="dxa" w:w="2340"/>
            <w:shd w:fill="F9FBFD"/>
            <w:tcMar>
              <w:top w:w="100" w:type="dxa"/>
              <w:bottom w:w="100" w:type="dxa"/>
              <w:left w:w="100" w:type="dxa"/>
              <w:right w:w="100" w:type="dxa"/>
            </w:tcMar>
          </w:tcPr>
          <w:p>
            <w:r>
              <w:rPr>
                <w:sz w:val="18"/>
              </w:rPr>
              <w:t>Fijo Directo</w:t>
            </w:r>
          </w:p>
        </w:tc>
        <w:tc>
          <w:tcPr>
            <w:tcW w:type="dxa" w:w="2340"/>
            <w:shd w:fill="F9FBFD"/>
            <w:tcMar>
              <w:top w:w="100" w:type="dxa"/>
              <w:bottom w:w="100" w:type="dxa"/>
              <w:left w:w="100" w:type="dxa"/>
              <w:right w:w="100" w:type="dxa"/>
            </w:tcMar>
          </w:tcPr>
          <w:p>
            <w:r>
              <w:rPr>
                <w:sz w:val="18"/>
              </w:rPr>
              <w:t>Asesoría técnica, muestreos in situ y cierres B2B (Anual)</w:t>
            </w:r>
          </w:p>
        </w:tc>
        <w:tc>
          <w:tcPr>
            <w:tcW w:type="dxa" w:w="2340"/>
            <w:shd w:fill="F9FBFD"/>
            <w:tcMar>
              <w:top w:w="100" w:type="dxa"/>
              <w:bottom w:w="100" w:type="dxa"/>
              <w:left w:w="100" w:type="dxa"/>
              <w:right w:w="100" w:type="dxa"/>
            </w:tcMar>
          </w:tcPr>
          <w:p>
            <w:r>
              <w:rPr>
                <w:b/>
                <w:sz w:val="18"/>
              </w:rPr>
              <w:t>$3.600.000</w:t>
            </w:r>
          </w:p>
        </w:tc>
      </w:tr>
      <w:tr>
        <w:tc>
          <w:tcPr>
            <w:tcW w:type="dxa" w:w="2340"/>
            <w:shd w:fill="FFFFFF"/>
            <w:tcMar>
              <w:top w:w="100" w:type="dxa"/>
              <w:bottom w:w="100" w:type="dxa"/>
              <w:left w:w="100" w:type="dxa"/>
              <w:right w:w="100" w:type="dxa"/>
            </w:tcMar>
          </w:tcPr>
          <w:p>
            <w:r>
              <w:rPr>
                <w:sz w:val="18"/>
              </w:rPr>
              <w:t>Movilidad, Combustible y Muestreos</w:t>
            </w:r>
          </w:p>
        </w:tc>
        <w:tc>
          <w:tcPr>
            <w:tcW w:type="dxa" w:w="2340"/>
            <w:shd w:fill="FFFFFF"/>
            <w:tcMar>
              <w:top w:w="100" w:type="dxa"/>
              <w:bottom w:w="100" w:type="dxa"/>
              <w:left w:w="100" w:type="dxa"/>
              <w:right w:w="100" w:type="dxa"/>
            </w:tcMar>
          </w:tcPr>
          <w:p>
            <w:r>
              <w:rPr>
                <w:sz w:val="18"/>
              </w:rPr>
              <w:t>Fijo Directo</w:t>
            </w:r>
          </w:p>
        </w:tc>
        <w:tc>
          <w:tcPr>
            <w:tcW w:type="dxa" w:w="2340"/>
            <w:shd w:fill="FFFFFF"/>
            <w:tcMar>
              <w:top w:w="100" w:type="dxa"/>
              <w:bottom w:w="100" w:type="dxa"/>
              <w:left w:w="100" w:type="dxa"/>
              <w:right w:w="100" w:type="dxa"/>
            </w:tcMar>
          </w:tcPr>
          <w:p>
            <w:r>
              <w:rPr>
                <w:sz w:val="18"/>
              </w:rPr>
              <w:t>Gastos de traslado a fincas y envío de muestras a laboratorio</w:t>
            </w:r>
          </w:p>
        </w:tc>
        <w:tc>
          <w:tcPr>
            <w:tcW w:type="dxa" w:w="2340"/>
            <w:shd w:fill="FFFFFF"/>
            <w:tcMar>
              <w:top w:w="100" w:type="dxa"/>
              <w:bottom w:w="100" w:type="dxa"/>
              <w:left w:w="100" w:type="dxa"/>
              <w:right w:w="100" w:type="dxa"/>
            </w:tcMar>
          </w:tcPr>
          <w:p>
            <w:r>
              <w:rPr>
                <w:b/>
                <w:sz w:val="18"/>
              </w:rPr>
              <w:t>$800.000</w:t>
            </w:r>
          </w:p>
        </w:tc>
      </w:tr>
      <w:tr>
        <w:tc>
          <w:tcPr>
            <w:tcW w:type="dxa" w:w="2340"/>
            <w:shd w:fill="F9FBFD"/>
            <w:tcMar>
              <w:top w:w="100" w:type="dxa"/>
              <w:bottom w:w="100" w:type="dxa"/>
              <w:left w:w="100" w:type="dxa"/>
              <w:right w:w="100" w:type="dxa"/>
            </w:tcMar>
          </w:tcPr>
          <w:p>
            <w:r>
              <w:rPr>
                <w:sz w:val="18"/>
              </w:rPr>
              <w:t>Marketing Digital, Difusión y Materiales</w:t>
            </w:r>
          </w:p>
        </w:tc>
        <w:tc>
          <w:tcPr>
            <w:tcW w:type="dxa" w:w="2340"/>
            <w:shd w:fill="F9FBFD"/>
            <w:tcMar>
              <w:top w:w="100" w:type="dxa"/>
              <w:bottom w:w="100" w:type="dxa"/>
              <w:left w:w="100" w:type="dxa"/>
              <w:right w:w="100" w:type="dxa"/>
            </w:tcMar>
          </w:tcPr>
          <w:p>
            <w:r>
              <w:rPr>
                <w:sz w:val="18"/>
              </w:rPr>
              <w:t>Fijo Directo</w:t>
            </w:r>
          </w:p>
        </w:tc>
        <w:tc>
          <w:tcPr>
            <w:tcW w:type="dxa" w:w="2340"/>
            <w:shd w:fill="F9FBFD"/>
            <w:tcMar>
              <w:top w:w="100" w:type="dxa"/>
              <w:bottom w:w="100" w:type="dxa"/>
              <w:left w:w="100" w:type="dxa"/>
              <w:right w:w="100" w:type="dxa"/>
            </w:tcMar>
          </w:tcPr>
          <w:p>
            <w:r>
              <w:rPr>
                <w:sz w:val="18"/>
              </w:rPr>
              <w:t>Pauta geolocalizada, cartelería en finca y folletos técnicos</w:t>
            </w:r>
          </w:p>
        </w:tc>
        <w:tc>
          <w:tcPr>
            <w:tcW w:type="dxa" w:w="2340"/>
            <w:shd w:fill="F9FBFD"/>
            <w:tcMar>
              <w:top w:w="100" w:type="dxa"/>
              <w:bottom w:w="100" w:type="dxa"/>
              <w:left w:w="100" w:type="dxa"/>
              <w:right w:w="100" w:type="dxa"/>
            </w:tcMar>
          </w:tcPr>
          <w:p>
            <w:r>
              <w:rPr>
                <w:b/>
                <w:sz w:val="18"/>
              </w:rPr>
              <w:t>$400.000</w:t>
            </w:r>
          </w:p>
        </w:tc>
      </w:tr>
    </w:tbl>
    <w:p>
      <w:pPr>
        <w:spacing w:after="120"/>
      </w:pPr>
    </w:p>
    <w:p>
      <w:pPr>
        <w:keepNext/>
        <w:spacing w:before="280" w:after="80"/>
      </w:pPr>
      <w:r>
        <w:rPr>
          <w:rFonts w:ascii="Arial" w:hAnsi="Arial"/>
          <w:b/>
          <w:color w:val="2980B9"/>
          <w:sz w:val="26"/>
        </w:rPr>
        <w:t>1.5. Estrategias Competitivas (Matriz FODA Cruzada y Ansoff)</w:t>
      </w:r>
    </w:p>
    <w:p>
      <w:pPr>
        <w:pStyle w:val="ListBullet"/>
        <w:spacing w:before="0" w:after="60" w:line="276" w:lineRule="auto"/>
      </w:pPr>
      <w:r>
        <w:rPr>
          <w:rFonts w:ascii="Calibri" w:hAnsi="Calibri"/>
          <w:b/>
          <w:color w:val="1E1E1E"/>
          <w:sz w:val="22"/>
        </w:rPr>
        <w:t xml:space="preserve">Estrategias FO (Fortalezas - Oportunidades): </w:t>
      </w:r>
      <w:r>
        <w:rPr>
          <w:rFonts w:ascii="Calibri" w:hAnsi="Calibri"/>
          <w:color w:val="282828"/>
          <w:sz w:val="22"/>
        </w:rPr>
        <w:t>Posicionar el paquete 'Plantín Injertado + Diagnóstico de Suelo' aprovechando el financiamiento provincial (PAR Agroquímicos). Usar la cercanía geográfica para garantizar entregas en fecha exacta sin pérdidas de flete.</w:t>
      </w:r>
    </w:p>
    <w:p>
      <w:pPr>
        <w:pStyle w:val="ListBullet"/>
        <w:spacing w:before="0" w:after="60" w:line="276" w:lineRule="auto"/>
      </w:pPr>
      <w:r>
        <w:rPr>
          <w:rFonts w:ascii="Calibri" w:hAnsi="Calibri"/>
          <w:b/>
          <w:color w:val="1E1E1E"/>
          <w:sz w:val="22"/>
        </w:rPr>
        <w:t xml:space="preserve">Estrategias DO (Debilidades - Oportunidades): </w:t>
      </w:r>
      <w:r>
        <w:rPr>
          <w:rFonts w:ascii="Calibri" w:hAnsi="Calibri"/>
          <w:color w:val="282828"/>
          <w:sz w:val="22"/>
        </w:rPr>
        <w:t>Financiar el equipamiento de la cámara de cicatrización ($10,2M) mediante el programa PAR Maquinaria / Crédito Fiscal Neuquén. Desarrollar pruebas internas para acelerar la capacitación operaria.</w:t>
      </w:r>
    </w:p>
    <w:p>
      <w:pPr>
        <w:pStyle w:val="ListBullet"/>
        <w:spacing w:before="0" w:after="60" w:line="276" w:lineRule="auto"/>
      </w:pPr>
      <w:r>
        <w:rPr>
          <w:rFonts w:ascii="Calibri" w:hAnsi="Calibri"/>
          <w:b/>
          <w:color w:val="1E1E1E"/>
          <w:sz w:val="22"/>
        </w:rPr>
        <w:t xml:space="preserve">Estrategias FA (Fortalezas - Amenazas): </w:t>
      </w:r>
      <w:r>
        <w:rPr>
          <w:rFonts w:ascii="Calibri" w:hAnsi="Calibri"/>
          <w:color w:val="282828"/>
          <w:sz w:val="22"/>
        </w:rPr>
        <w:t>Desplazar a competidores de Mendoza demostrando que la conducción a 2 guías equipara el costo por hectareaje y entrega el doble de productividad en suelos infestados.</w:t>
      </w:r>
    </w:p>
    <w:p>
      <w:pPr>
        <w:pStyle w:val="ListBullet"/>
        <w:spacing w:before="0" w:after="60" w:line="276" w:lineRule="auto"/>
      </w:pPr>
      <w:r>
        <w:rPr>
          <w:rFonts w:ascii="Calibri" w:hAnsi="Calibri"/>
          <w:b/>
          <w:color w:val="1E1E1E"/>
          <w:sz w:val="22"/>
        </w:rPr>
        <w:t xml:space="preserve">Estrategias DA (Debilidades - Amenazas): </w:t>
      </w:r>
      <w:r>
        <w:rPr>
          <w:rFonts w:ascii="Calibri" w:hAnsi="Calibri"/>
          <w:color w:val="282828"/>
          <w:sz w:val="22"/>
        </w:rPr>
        <w:t>Implementar la regla estricta de preventa contractual con el 40% de seña para asegurar el flujo de fondos y la rentabilidad antes de la siembra.</w:t>
      </w:r>
    </w:p>
    <w:p>
      <w:pPr>
        <w:keepNext/>
        <w:spacing w:before="360" w:after="120"/>
      </w:pPr>
      <w:r>
        <w:rPr>
          <w:rFonts w:ascii="Arial" w:hAnsi="Arial"/>
          <w:b/>
          <w:color w:val="003366"/>
          <w:sz w:val="32"/>
        </w:rPr>
        <w:t>2. DIMENSIONAMIENTO TÉCNICO - LEGAL</w:t>
      </w:r>
    </w:p>
    <w:p>
      <w:pPr>
        <w:keepNext/>
        <w:spacing w:before="280" w:after="80"/>
      </w:pPr>
      <w:r>
        <w:rPr>
          <w:rFonts w:ascii="Arial" w:hAnsi="Arial"/>
          <w:b/>
          <w:color w:val="2980B9"/>
          <w:sz w:val="26"/>
        </w:rPr>
        <w:t>2.1. Tamaño y Capacidad Instalada</w:t>
      </w:r>
    </w:p>
    <w:p>
      <w:pPr>
        <w:pStyle w:val="ListBullet"/>
        <w:spacing w:before="0" w:after="60" w:line="276" w:lineRule="auto"/>
      </w:pPr>
      <w:r>
        <w:rPr>
          <w:rFonts w:ascii="Calibri" w:hAnsi="Calibri"/>
          <w:b/>
          <w:color w:val="1E1E1E"/>
          <w:sz w:val="22"/>
        </w:rPr>
        <w:t xml:space="preserve">Capacidad Máxima de Diseño: </w:t>
      </w:r>
      <w:r>
        <w:rPr>
          <w:rFonts w:ascii="Calibri" w:hAnsi="Calibri"/>
          <w:color w:val="282828"/>
          <w:sz w:val="22"/>
        </w:rPr>
        <w:t>25.000 plantines por ciclo de cicatrización de 7 días (Cámara de 18 m² con racks de 4 niveles).</w:t>
      </w:r>
    </w:p>
    <w:p>
      <w:pPr>
        <w:pStyle w:val="ListBullet"/>
        <w:spacing w:before="0" w:after="60" w:line="276" w:lineRule="auto"/>
      </w:pPr>
      <w:r>
        <w:rPr>
          <w:rFonts w:ascii="Calibri" w:hAnsi="Calibri"/>
          <w:b/>
          <w:color w:val="1E1E1E"/>
          <w:sz w:val="22"/>
        </w:rPr>
        <w:t xml:space="preserve">Capacidad Efectiva Programada: </w:t>
      </w:r>
      <w:r>
        <w:rPr>
          <w:rFonts w:ascii="Calibri" w:hAnsi="Calibri"/>
          <w:color w:val="282828"/>
          <w:sz w:val="22"/>
        </w:rPr>
        <w:t>20.000 plantines/año en el primer año (Ciclo principal concentrado entre julio y septiembre).</w:t>
      </w:r>
    </w:p>
    <w:p>
      <w:pPr>
        <w:pStyle w:val="ListBullet"/>
        <w:spacing w:before="0" w:after="60" w:line="276" w:lineRule="auto"/>
      </w:pPr>
      <w:r>
        <w:rPr>
          <w:rFonts w:ascii="Calibri" w:hAnsi="Calibri"/>
          <w:b/>
          <w:color w:val="1E1E1E"/>
          <w:sz w:val="22"/>
        </w:rPr>
        <w:t xml:space="preserve">Capacidad Ociosa Planificada: </w:t>
      </w:r>
      <w:r>
        <w:rPr>
          <w:rFonts w:ascii="Calibri" w:hAnsi="Calibri"/>
          <w:color w:val="282828"/>
          <w:sz w:val="22"/>
        </w:rPr>
        <w:t>20% reservada para tandas de resiembra técnica y margen de contingencia.</w:t>
      </w:r>
    </w:p>
    <w:p>
      <w:pPr>
        <w:keepNext/>
        <w:spacing w:before="280" w:after="80"/>
      </w:pPr>
      <w:r>
        <w:rPr>
          <w:rFonts w:ascii="Arial" w:hAnsi="Arial"/>
          <w:b/>
          <w:color w:val="2980B9"/>
          <w:sz w:val="26"/>
        </w:rPr>
        <w:t>2.2. Localización del Proyecto</w:t>
      </w:r>
    </w:p>
    <w:p>
      <w:pPr>
        <w:spacing w:before="0" w:after="120" w:line="276" w:lineRule="auto"/>
      </w:pPr>
      <w:r>
        <w:rPr>
          <w:rFonts w:ascii="Calibri" w:hAnsi="Calibri"/>
          <w:i w:val="0"/>
          <w:color w:val="282828"/>
          <w:sz w:val="22"/>
        </w:rPr>
        <w:t>Mediante la matriz comparativa de localización ponderada, se seleccionó el Municipio de Allen (Río Negro) por su centralidad geográfica respecto a las jugueras/sidreras proveedoras de orujo fresco (materia prima clave para la Fase 2) y su equidistancia entre los mercados consumidores de General Roca y Centenario/Vista Alegre.</w:t>
      </w:r>
    </w:p>
    <w:p>
      <w:pPr>
        <w:keepNext/>
        <w:spacing w:before="280" w:after="80"/>
      </w:pPr>
      <w:r>
        <w:rPr>
          <w:rFonts w:ascii="Arial" w:hAnsi="Arial"/>
          <w:b/>
          <w:color w:val="2980B9"/>
          <w:sz w:val="26"/>
        </w:rPr>
        <w:t>2.3. Estructura de Costos y Punto de Equilibrio Operativo</w:t>
      </w:r>
    </w:p>
    <w:p>
      <w:pPr>
        <w:spacing w:before="0" w:after="120" w:line="276" w:lineRule="auto"/>
      </w:pPr>
      <w:r>
        <w:rPr>
          <w:rFonts w:ascii="Calibri" w:hAnsi="Calibri"/>
          <w:i w:val="0"/>
          <w:color w:val="282828"/>
          <w:sz w:val="22"/>
        </w:rPr>
        <w:t>El modelo económico se estructura dividiendo rigurosamente los costos fijos de la startup de los costos variables directos de producción: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003366"/>
            <w:tcMar>
              <w:top w:w="120" w:type="dxa"/>
              <w:bottom w:w="120" w:type="dxa"/>
              <w:left w:w="120" w:type="dxa"/>
              <w:right w:w="120" w:type="dxa"/>
            </w:tcMar>
          </w:tcPr>
          <w:p>
            <w:r>
              <w:rPr>
                <w:b/>
                <w:color w:val="FFFFFF"/>
                <w:sz w:val="19"/>
              </w:rPr>
              <w:t>Categoría de Costo</w:t>
            </w:r>
          </w:p>
        </w:tc>
        <w:tc>
          <w:tcPr>
            <w:tcW w:type="dxa" w:w="3120"/>
            <w:shd w:fill="003366"/>
            <w:tcMar>
              <w:top w:w="120" w:type="dxa"/>
              <w:bottom w:w="120" w:type="dxa"/>
              <w:left w:w="120" w:type="dxa"/>
              <w:right w:w="120" w:type="dxa"/>
            </w:tcMar>
          </w:tcPr>
          <w:p>
            <w:r>
              <w:rPr>
                <w:b/>
                <w:color w:val="FFFFFF"/>
                <w:sz w:val="19"/>
              </w:rPr>
              <w:t>Detalle de Rubros Incluidos</w:t>
            </w:r>
          </w:p>
        </w:tc>
        <w:tc>
          <w:tcPr>
            <w:tcW w:type="dxa" w:w="3120"/>
            <w:shd w:fill="003366"/>
            <w:tcMar>
              <w:top w:w="120" w:type="dxa"/>
              <w:bottom w:w="120" w:type="dxa"/>
              <w:left w:w="120" w:type="dxa"/>
              <w:right w:w="120" w:type="dxa"/>
            </w:tcMar>
          </w:tcPr>
          <w:p>
            <w:r>
              <w:rPr>
                <w:b/>
                <w:color w:val="FFFFFF"/>
                <w:sz w:val="19"/>
              </w:rPr>
              <w:t>Monto / Valor</w:t>
            </w:r>
          </w:p>
        </w:tc>
      </w:tr>
      <w:tr>
        <w:tc>
          <w:tcPr>
            <w:tcW w:type="dxa" w:w="3120"/>
            <w:shd w:fill="F9FBFD"/>
            <w:tcMar>
              <w:top w:w="100" w:type="dxa"/>
              <w:bottom w:w="100" w:type="dxa"/>
              <w:left w:w="100" w:type="dxa"/>
              <w:right w:w="100" w:type="dxa"/>
            </w:tcMar>
          </w:tcPr>
          <w:p>
            <w:r>
              <w:rPr>
                <w:sz w:val="18"/>
              </w:rPr>
              <w:t>Costo Variable Unitario (CVU)</w:t>
            </w:r>
          </w:p>
        </w:tc>
        <w:tc>
          <w:tcPr>
            <w:tcW w:type="dxa" w:w="3120"/>
            <w:shd w:fill="F9FBFD"/>
            <w:tcMar>
              <w:top w:w="100" w:type="dxa"/>
              <w:bottom w:w="100" w:type="dxa"/>
              <w:left w:w="100" w:type="dxa"/>
              <w:right w:w="100" w:type="dxa"/>
            </w:tcMar>
          </w:tcPr>
          <w:p>
            <w:r>
              <w:rPr>
                <w:sz w:val="18"/>
              </w:rPr>
              <w:t>Semilla Maxifort F1, copa, clips silicona, sustrato, mano de obra injerto, packaging antiestrés y 20% merma técnica</w:t>
            </w:r>
          </w:p>
        </w:tc>
        <w:tc>
          <w:tcPr>
            <w:tcW w:type="dxa" w:w="3120"/>
            <w:shd w:fill="F9FBFD"/>
            <w:tcMar>
              <w:top w:w="100" w:type="dxa"/>
              <w:bottom w:w="100" w:type="dxa"/>
              <w:left w:w="100" w:type="dxa"/>
              <w:right w:w="100" w:type="dxa"/>
            </w:tcMar>
          </w:tcPr>
          <w:p>
            <w:r>
              <w:rPr>
                <w:b/>
                <w:sz w:val="18"/>
              </w:rPr>
              <w:t>$750 ARS / plantín</w:t>
            </w:r>
          </w:p>
        </w:tc>
      </w:tr>
      <w:tr>
        <w:tc>
          <w:tcPr>
            <w:tcW w:type="dxa" w:w="3120"/>
            <w:shd w:fill="FFFFFF"/>
            <w:tcMar>
              <w:top w:w="100" w:type="dxa"/>
              <w:bottom w:w="100" w:type="dxa"/>
              <w:left w:w="100" w:type="dxa"/>
              <w:right w:w="100" w:type="dxa"/>
            </w:tcMar>
          </w:tcPr>
          <w:p>
            <w:r>
              <w:rPr>
                <w:sz w:val="18"/>
              </w:rPr>
              <w:t>Precio de Venta Unitario (P)</w:t>
            </w:r>
          </w:p>
        </w:tc>
        <w:tc>
          <w:tcPr>
            <w:tcW w:type="dxa" w:w="3120"/>
            <w:shd w:fill="FFFFFF"/>
            <w:tcMar>
              <w:top w:w="100" w:type="dxa"/>
              <w:bottom w:w="100" w:type="dxa"/>
              <w:left w:w="100" w:type="dxa"/>
              <w:right w:w="100" w:type="dxa"/>
            </w:tcMar>
          </w:tcPr>
          <w:p>
            <w:r>
              <w:rPr>
                <w:sz w:val="18"/>
              </w:rPr>
              <w:t>Plantín injertado cicatrizado entregado en finca con 45 días de desarrollo</w:t>
            </w:r>
          </w:p>
        </w:tc>
        <w:tc>
          <w:tcPr>
            <w:tcW w:type="dxa" w:w="3120"/>
            <w:shd w:fill="FFFFFF"/>
            <w:tcMar>
              <w:top w:w="100" w:type="dxa"/>
              <w:bottom w:w="100" w:type="dxa"/>
              <w:left w:w="100" w:type="dxa"/>
              <w:right w:w="100" w:type="dxa"/>
            </w:tcMar>
          </w:tcPr>
          <w:p>
            <w:r>
              <w:rPr>
                <w:b/>
                <w:sz w:val="18"/>
              </w:rPr>
              <w:t>$2.000 ARS / plantín</w:t>
            </w:r>
          </w:p>
        </w:tc>
      </w:tr>
      <w:tr>
        <w:tc>
          <w:tcPr>
            <w:tcW w:type="dxa" w:w="3120"/>
            <w:shd w:fill="F9FBFD"/>
            <w:tcMar>
              <w:top w:w="100" w:type="dxa"/>
              <w:bottom w:w="100" w:type="dxa"/>
              <w:left w:w="100" w:type="dxa"/>
              <w:right w:w="100" w:type="dxa"/>
            </w:tcMar>
          </w:tcPr>
          <w:p>
            <w:r>
              <w:rPr>
                <w:sz w:val="18"/>
              </w:rPr>
              <w:t>Margen de Contribución Unitario (MCU)</w:t>
            </w:r>
          </w:p>
        </w:tc>
        <w:tc>
          <w:tcPr>
            <w:tcW w:type="dxa" w:w="3120"/>
            <w:shd w:fill="F9FBFD"/>
            <w:tcMar>
              <w:top w:w="100" w:type="dxa"/>
              <w:bottom w:w="100" w:type="dxa"/>
              <w:left w:w="100" w:type="dxa"/>
              <w:right w:w="100" w:type="dxa"/>
            </w:tcMar>
          </w:tcPr>
          <w:p>
            <w:r>
              <w:rPr>
                <w:sz w:val="18"/>
              </w:rPr>
              <w:t>MCU = Precio ($2.000) - CVU ($750)</w:t>
            </w:r>
          </w:p>
        </w:tc>
        <w:tc>
          <w:tcPr>
            <w:tcW w:type="dxa" w:w="3120"/>
            <w:shd w:fill="F9FBFD"/>
            <w:tcMar>
              <w:top w:w="100" w:type="dxa"/>
              <w:bottom w:w="100" w:type="dxa"/>
              <w:left w:w="100" w:type="dxa"/>
              <w:right w:w="100" w:type="dxa"/>
            </w:tcMar>
          </w:tcPr>
          <w:p>
            <w:r>
              <w:rPr>
                <w:b/>
                <w:sz w:val="18"/>
              </w:rPr>
              <w:t>$1.250 ARS / plantín (62,5%)</w:t>
            </w:r>
          </w:p>
        </w:tc>
      </w:tr>
      <w:tr>
        <w:tc>
          <w:tcPr>
            <w:tcW w:type="dxa" w:w="3120"/>
            <w:shd w:fill="FFFFFF"/>
            <w:tcMar>
              <w:top w:w="100" w:type="dxa"/>
              <w:bottom w:w="100" w:type="dxa"/>
              <w:left w:w="100" w:type="dxa"/>
              <w:right w:w="100" w:type="dxa"/>
            </w:tcMar>
          </w:tcPr>
          <w:p>
            <w:r>
              <w:rPr>
                <w:sz w:val="18"/>
              </w:rPr>
              <w:t>Costos Fijos Anuales (CF)</w:t>
            </w:r>
          </w:p>
        </w:tc>
        <w:tc>
          <w:tcPr>
            <w:tcW w:type="dxa" w:w="3120"/>
            <w:shd w:fill="FFFFFF"/>
            <w:tcMar>
              <w:top w:w="100" w:type="dxa"/>
              <w:bottom w:w="100" w:type="dxa"/>
              <w:left w:w="100" w:type="dxa"/>
              <w:right w:w="100" w:type="dxa"/>
            </w:tcMar>
          </w:tcPr>
          <w:p>
            <w:r>
              <w:rPr>
                <w:sz w:val="18"/>
              </w:rPr>
              <w:t>Amortización de equipos ($2,8M), Honorarios Director Técnico ($3,6M), Registros e Insumos ($1,2M), Muestreos y Mkt ($1,2M)</w:t>
            </w:r>
          </w:p>
        </w:tc>
        <w:tc>
          <w:tcPr>
            <w:tcW w:type="dxa" w:w="3120"/>
            <w:shd w:fill="FFFFFF"/>
            <w:tcMar>
              <w:top w:w="100" w:type="dxa"/>
              <w:bottom w:w="100" w:type="dxa"/>
              <w:left w:w="100" w:type="dxa"/>
              <w:right w:w="100" w:type="dxa"/>
            </w:tcMar>
          </w:tcPr>
          <w:p>
            <w:r>
              <w:rPr>
                <w:b/>
                <w:sz w:val="18"/>
              </w:rPr>
              <w:t>$8.800.000 ARS / año</w:t>
            </w:r>
          </w:p>
        </w:tc>
      </w:tr>
      <w:tr>
        <w:tc>
          <w:tcPr>
            <w:tcW w:type="dxa" w:w="3120"/>
            <w:shd w:fill="F9FBFD"/>
            <w:tcMar>
              <w:top w:w="100" w:type="dxa"/>
              <w:bottom w:w="100" w:type="dxa"/>
              <w:left w:w="100" w:type="dxa"/>
              <w:right w:w="100" w:type="dxa"/>
            </w:tcMar>
          </w:tcPr>
          <w:p>
            <w:r>
              <w:rPr>
                <w:sz w:val="18"/>
              </w:rPr>
              <w:t>Punto de Equilibrio Operativo (Qpe)</w:t>
            </w:r>
          </w:p>
        </w:tc>
        <w:tc>
          <w:tcPr>
            <w:tcW w:type="dxa" w:w="3120"/>
            <w:shd w:fill="F9FBFD"/>
            <w:tcMar>
              <w:top w:w="100" w:type="dxa"/>
              <w:bottom w:w="100" w:type="dxa"/>
              <w:left w:w="100" w:type="dxa"/>
              <w:right w:w="100" w:type="dxa"/>
            </w:tcMar>
          </w:tcPr>
          <w:p>
            <w:r>
              <w:rPr>
                <w:sz w:val="18"/>
              </w:rPr>
              <w:t>Qpe = CF ($8.800.000) / MCU ($1.250)</w:t>
            </w:r>
          </w:p>
        </w:tc>
        <w:tc>
          <w:tcPr>
            <w:tcW w:type="dxa" w:w="3120"/>
            <w:shd w:fill="F9FBFD"/>
            <w:tcMar>
              <w:top w:w="100" w:type="dxa"/>
              <w:bottom w:w="100" w:type="dxa"/>
              <w:left w:w="100" w:type="dxa"/>
              <w:right w:w="100" w:type="dxa"/>
            </w:tcMar>
          </w:tcPr>
          <w:p>
            <w:r>
              <w:rPr>
                <w:b/>
                <w:sz w:val="18"/>
              </w:rPr>
              <w:t>7.040 plantines / año</w:t>
            </w:r>
          </w:p>
        </w:tc>
      </w:tr>
      <w:tr>
        <w:tc>
          <w:tcPr>
            <w:tcW w:type="dxa" w:w="3120"/>
            <w:shd w:fill="FFFFFF"/>
            <w:tcMar>
              <w:top w:w="100" w:type="dxa"/>
              <w:bottom w:w="100" w:type="dxa"/>
              <w:left w:w="100" w:type="dxa"/>
              <w:right w:w="100" w:type="dxa"/>
            </w:tcMar>
          </w:tcPr>
          <w:p>
            <w:r>
              <w:rPr>
                <w:sz w:val="18"/>
              </w:rPr>
              <w:t>Ventas de Preventa Garantizadas</w:t>
            </w:r>
          </w:p>
        </w:tc>
        <w:tc>
          <w:tcPr>
            <w:tcW w:type="dxa" w:w="3120"/>
            <w:shd w:fill="FFFFFF"/>
            <w:tcMar>
              <w:top w:w="100" w:type="dxa"/>
              <w:bottom w:w="100" w:type="dxa"/>
              <w:left w:w="100" w:type="dxa"/>
              <w:right w:w="100" w:type="dxa"/>
            </w:tcMar>
          </w:tcPr>
          <w:p>
            <w:r>
              <w:rPr>
                <w:sz w:val="18"/>
              </w:rPr>
              <w:t>60% de la capacidad operativa (20.000 un) señadas mediante contrato</w:t>
            </w:r>
          </w:p>
        </w:tc>
        <w:tc>
          <w:tcPr>
            <w:tcW w:type="dxa" w:w="3120"/>
            <w:shd w:fill="FFFFFF"/>
            <w:tcMar>
              <w:top w:w="100" w:type="dxa"/>
              <w:bottom w:w="100" w:type="dxa"/>
              <w:left w:w="100" w:type="dxa"/>
              <w:right w:w="100" w:type="dxa"/>
            </w:tcMar>
          </w:tcPr>
          <w:p>
            <w:r>
              <w:rPr>
                <w:b/>
                <w:sz w:val="18"/>
              </w:rPr>
              <w:t>12.000 plantines (170% cobertura Qpe)</w:t>
            </w:r>
          </w:p>
        </w:tc>
      </w:tr>
    </w:tbl>
    <w:p>
      <w:pPr>
        <w:spacing w:after="120"/>
      </w:pPr>
    </w:p>
    <w:p>
      <w:pPr>
        <w:keepNext/>
        <w:spacing w:before="280" w:after="80"/>
      </w:pPr>
      <w:r>
        <w:rPr>
          <w:rFonts w:ascii="Arial" w:hAnsi="Arial"/>
          <w:b/>
          <w:color w:val="2980B9"/>
          <w:sz w:val="26"/>
        </w:rPr>
        <w:t>2.4. Marco Legal y Normativo Sanitario</w:t>
      </w:r>
    </w:p>
    <w:p>
      <w:pPr>
        <w:pStyle w:val="ListBullet"/>
        <w:spacing w:before="0" w:after="60" w:line="276" w:lineRule="auto"/>
      </w:pPr>
      <w:r>
        <w:rPr>
          <w:rFonts w:ascii="Calibri" w:hAnsi="Calibri"/>
          <w:b/>
          <w:color w:val="1E1E1E"/>
          <w:sz w:val="22"/>
        </w:rPr>
        <w:t xml:space="preserve">RENFO (SENASA): </w:t>
      </w:r>
      <w:r>
        <w:rPr>
          <w:rFonts w:ascii="Calibri" w:hAnsi="Calibri"/>
          <w:color w:val="282828"/>
          <w:sz w:val="22"/>
        </w:rPr>
        <w:t>Inscripción obligatoria bajo la Res. SENASA 64/2026 para producción y tránsito de material fitosanitario.</w:t>
      </w:r>
    </w:p>
    <w:p>
      <w:pPr>
        <w:pStyle w:val="ListBullet"/>
        <w:spacing w:before="0" w:after="60" w:line="276" w:lineRule="auto"/>
      </w:pPr>
      <w:r>
        <w:rPr>
          <w:rFonts w:ascii="Calibri" w:hAnsi="Calibri"/>
          <w:b/>
          <w:color w:val="1E1E1E"/>
          <w:sz w:val="22"/>
        </w:rPr>
        <w:t xml:space="preserve">Documento de Tránsito Vegetal (DTV-e): </w:t>
      </w:r>
      <w:r>
        <w:rPr>
          <w:rFonts w:ascii="Calibri" w:hAnsi="Calibri"/>
          <w:color w:val="282828"/>
          <w:sz w:val="22"/>
        </w:rPr>
        <w:t>Emisión obligatoria para el traslado interjurisdiccional de plantines en Río Negro y Neuquén.</w:t>
      </w:r>
    </w:p>
    <w:p>
      <w:pPr>
        <w:pStyle w:val="ListBullet"/>
        <w:spacing w:before="0" w:after="60" w:line="276" w:lineRule="auto"/>
      </w:pPr>
      <w:r>
        <w:rPr>
          <w:rFonts w:ascii="Calibri" w:hAnsi="Calibri"/>
          <w:b/>
          <w:color w:val="1E1E1E"/>
          <w:sz w:val="22"/>
        </w:rPr>
        <w:t xml:space="preserve">INASE (RNCyFS): </w:t>
      </w:r>
      <w:r>
        <w:rPr>
          <w:rFonts w:ascii="Calibri" w:hAnsi="Calibri"/>
          <w:color w:val="282828"/>
          <w:sz w:val="22"/>
        </w:rPr>
        <w:t>Registro bajo Categoría Vivero Hortícola con la cobertura de un Ingeniero Agrónomo Matriculado.</w:t>
      </w:r>
    </w:p>
    <w:p>
      <w:pPr>
        <w:pStyle w:val="ListBullet"/>
        <w:spacing w:before="0" w:after="60" w:line="276" w:lineRule="auto"/>
      </w:pPr>
      <w:r>
        <w:rPr>
          <w:rFonts w:ascii="Calibri" w:hAnsi="Calibri"/>
          <w:b/>
          <w:color w:val="1E1E1E"/>
          <w:sz w:val="22"/>
        </w:rPr>
        <w:t xml:space="preserve">Estructura Societaria: </w:t>
      </w:r>
      <w:r>
        <w:rPr>
          <w:rFonts w:ascii="Calibri" w:hAnsi="Calibri"/>
          <w:color w:val="282828"/>
          <w:sz w:val="22"/>
        </w:rPr>
        <w:t>Adopción de la figura de Sociedad por Acciones Simplificada (SAS) para facilitar el ingreso de inversores privados.</w:t>
      </w:r>
    </w:p>
    <w:p>
      <w:pPr>
        <w:keepNext/>
        <w:spacing w:before="360" w:after="120"/>
      </w:pPr>
      <w:r>
        <w:rPr>
          <w:rFonts w:ascii="Arial" w:hAnsi="Arial"/>
          <w:b/>
          <w:color w:val="003366"/>
          <w:sz w:val="32"/>
        </w:rPr>
        <w:t>3. DIMENSIONAMIENTO ECONÓMICO - FINANCIERO</w:t>
      </w:r>
    </w:p>
    <w:p>
      <w:pPr>
        <w:keepNext/>
        <w:spacing w:before="280" w:after="80"/>
      </w:pPr>
      <w:r>
        <w:rPr>
          <w:rFonts w:ascii="Arial" w:hAnsi="Arial"/>
          <w:b/>
          <w:color w:val="2980B9"/>
          <w:sz w:val="26"/>
        </w:rPr>
        <w:t>3.1. Presupuesto de Inversión Inicial</w:t>
      </w:r>
    </w:p>
    <w:p>
      <w:pPr>
        <w:spacing w:before="0" w:after="120" w:line="276" w:lineRule="auto"/>
      </w:pPr>
      <w:r>
        <w:rPr>
          <w:rFonts w:ascii="Calibri" w:hAnsi="Calibri"/>
          <w:i w:val="0"/>
          <w:color w:val="282828"/>
          <w:sz w:val="22"/>
        </w:rPr>
        <w:t>La inversión inicial requerida asciende a $14.000.000 ARS, desglosada en los siguientes activos específicos:</w:t>
      </w:r>
    </w:p>
    <w:p>
      <w:pPr>
        <w:pStyle w:val="ListBullet"/>
        <w:spacing w:before="0" w:after="60" w:line="276" w:lineRule="auto"/>
      </w:pPr>
      <w:r>
        <w:rPr>
          <w:rFonts w:ascii="Calibri" w:hAnsi="Calibri"/>
          <w:b/>
          <w:color w:val="1E1E1E"/>
          <w:sz w:val="22"/>
        </w:rPr>
        <w:t xml:space="preserve">Cámara de Cicatrización de 18 m²: </w:t>
      </w:r>
      <w:r>
        <w:rPr>
          <w:rFonts w:ascii="Calibri" w:hAnsi="Calibri"/>
          <w:color w:val="282828"/>
          <w:sz w:val="22"/>
        </w:rPr>
        <w:t>$10.200.000 ARS (Paneles aislantes poliuretano, Split Inverter 4.500 fg, humidificador ultrasónico &gt;90% HR, racks 4 niveles, luces LED vegetativas).</w:t>
      </w:r>
    </w:p>
    <w:p>
      <w:pPr>
        <w:pStyle w:val="ListBullet"/>
        <w:spacing w:before="0" w:after="60" w:line="276" w:lineRule="auto"/>
      </w:pPr>
      <w:r>
        <w:rPr>
          <w:rFonts w:ascii="Calibri" w:hAnsi="Calibri"/>
          <w:b/>
          <w:color w:val="1E1E1E"/>
          <w:sz w:val="22"/>
        </w:rPr>
        <w:t xml:space="preserve">Puesto de Injerto e Instrumental: </w:t>
      </w:r>
      <w:r>
        <w:rPr>
          <w:rFonts w:ascii="Calibri" w:hAnsi="Calibri"/>
          <w:color w:val="282828"/>
          <w:sz w:val="22"/>
        </w:rPr>
        <w:t>$900.000 ARS (Mesadas inox, bisturís quirúrgicos, clips de silicona de 2 mm, pulverizadores).</w:t>
      </w:r>
    </w:p>
    <w:p>
      <w:pPr>
        <w:pStyle w:val="ListBullet"/>
        <w:spacing w:before="0" w:after="60" w:line="276" w:lineRule="auto"/>
      </w:pPr>
      <w:r>
        <w:rPr>
          <w:rFonts w:ascii="Calibri" w:hAnsi="Calibri"/>
          <w:b/>
          <w:color w:val="1E1E1E"/>
          <w:sz w:val="22"/>
        </w:rPr>
        <w:t xml:space="preserve">Instrumental de Diagnóstico y Campo: </w:t>
      </w:r>
      <w:r>
        <w:rPr>
          <w:rFonts w:ascii="Calibri" w:hAnsi="Calibri"/>
          <w:color w:val="282828"/>
          <w:sz w:val="22"/>
        </w:rPr>
        <w:t>$1.300.000 ARS (Barreno calador, dataloggers térmicos sumergibles, refractómetro).</w:t>
      </w:r>
    </w:p>
    <w:p>
      <w:pPr>
        <w:pStyle w:val="ListBullet"/>
        <w:spacing w:before="0" w:after="60" w:line="276" w:lineRule="auto"/>
      </w:pPr>
      <w:r>
        <w:rPr>
          <w:rFonts w:ascii="Calibri" w:hAnsi="Calibri"/>
          <w:b/>
          <w:color w:val="1E1E1E"/>
          <w:sz w:val="22"/>
        </w:rPr>
        <w:t xml:space="preserve">Gastos Preoperativos y Capacitación: </w:t>
      </w:r>
      <w:r>
        <w:rPr>
          <w:rFonts w:ascii="Calibri" w:hAnsi="Calibri"/>
          <w:color w:val="282828"/>
          <w:sz w:val="22"/>
        </w:rPr>
        <w:t>$1.600.000 ARS (Ensayos de calibración, lotes de prueba y entrenamiento de operarios).</w:t>
      </w:r>
    </w:p>
    <w:p>
      <w:pPr>
        <w:keepNext/>
        <w:spacing w:before="280" w:after="80"/>
      </w:pPr>
      <w:r>
        <w:rPr>
          <w:rFonts w:ascii="Arial" w:hAnsi="Arial"/>
          <w:b/>
          <w:color w:val="2980B9"/>
          <w:sz w:val="26"/>
        </w:rPr>
        <w:t>3.2. Evaluación Financiera e Indicadores de Rentabilidad</w:t>
      </w:r>
    </w:p>
    <w:p>
      <w:pPr>
        <w:spacing w:before="0" w:after="120" w:line="276" w:lineRule="auto"/>
      </w:pPr>
      <w:r>
        <w:rPr>
          <w:rFonts w:ascii="Calibri" w:hAnsi="Calibri"/>
          <w:i w:val="0"/>
          <w:color w:val="282828"/>
          <w:sz w:val="22"/>
        </w:rPr>
        <w:t>El flujo de fondos proyectado a 5 años (considerando un crecimiento gradual en la adopción del servicio de biosolarización de la Fase 2) arroja los siguientes indicadores clave:</w:t>
      </w:r>
    </w:p>
    <w:p>
      <w:pPr>
        <w:pStyle w:val="ListBullet"/>
        <w:spacing w:before="0" w:after="60" w:line="276" w:lineRule="auto"/>
      </w:pPr>
      <w:r>
        <w:rPr>
          <w:rFonts w:ascii="Calibri" w:hAnsi="Calibri"/>
          <w:b/>
          <w:color w:val="1E1E1E"/>
          <w:sz w:val="22"/>
        </w:rPr>
        <w:t xml:space="preserve">Valor Actual Neto (VAN): </w:t>
      </w:r>
      <w:r>
        <w:rPr>
          <w:rFonts w:ascii="Calibri" w:hAnsi="Calibri"/>
          <w:color w:val="282828"/>
          <w:sz w:val="22"/>
        </w:rPr>
        <w:t>$58.420.000 ARS (calculado a una Tasa de Descuento WACC del 18% en términos reales).</w:t>
      </w:r>
    </w:p>
    <w:p>
      <w:pPr>
        <w:pStyle w:val="ListBullet"/>
        <w:spacing w:before="0" w:after="60" w:line="276" w:lineRule="auto"/>
      </w:pPr>
      <w:r>
        <w:rPr>
          <w:rFonts w:ascii="Calibri" w:hAnsi="Calibri"/>
          <w:b/>
          <w:color w:val="1E1E1E"/>
          <w:sz w:val="22"/>
        </w:rPr>
        <w:t xml:space="preserve">Tasa Interna de Retorno (TIR): </w:t>
      </w:r>
      <w:r>
        <w:rPr>
          <w:rFonts w:ascii="Calibri" w:hAnsi="Calibri"/>
          <w:color w:val="282828"/>
          <w:sz w:val="22"/>
        </w:rPr>
        <w:t>108,5% anual (demostrando la elevada rentabilidad sobre los activos específicos invertidos).</w:t>
      </w:r>
    </w:p>
    <w:p>
      <w:pPr>
        <w:pStyle w:val="ListBullet"/>
        <w:spacing w:before="0" w:after="60" w:line="276" w:lineRule="auto"/>
      </w:pPr>
      <w:r>
        <w:rPr>
          <w:rFonts w:ascii="Calibri" w:hAnsi="Calibri"/>
          <w:b/>
          <w:color w:val="1E1E1E"/>
          <w:sz w:val="22"/>
        </w:rPr>
        <w:t xml:space="preserve">Período de Recuperación (Payback): </w:t>
      </w:r>
      <w:r>
        <w:rPr>
          <w:rFonts w:ascii="Calibri" w:hAnsi="Calibri"/>
          <w:color w:val="282828"/>
          <w:sz w:val="22"/>
        </w:rPr>
        <w:t>1,1 años (recuperación de la inversión inicial en la primera campaña comercial).</w:t>
      </w:r>
    </w:p>
    <w:p>
      <w:pPr>
        <w:pStyle w:val="ListBullet"/>
        <w:spacing w:before="0" w:after="60" w:line="276" w:lineRule="auto"/>
      </w:pPr>
      <w:r>
        <w:rPr>
          <w:rFonts w:ascii="Calibri" w:hAnsi="Calibri"/>
          <w:b/>
          <w:color w:val="1E1E1E"/>
          <w:sz w:val="22"/>
        </w:rPr>
        <w:t xml:space="preserve">Estructura de Financiamiento: </w:t>
      </w:r>
      <w:r>
        <w:rPr>
          <w:rFonts w:ascii="Calibri" w:hAnsi="Calibri"/>
          <w:color w:val="282828"/>
          <w:sz w:val="22"/>
        </w:rPr>
        <w:t>60% aportado por inversores privados (capital accionario SAS) y 40% mediante financiamiento del Programa PAR Agroquímicos/Maquinaria de Río Negro a tasa bonificada.</w:t>
      </w:r>
    </w:p>
    <w:p>
      <w:pPr>
        <w:keepNext/>
        <w:spacing w:before="360" w:after="120"/>
      </w:pPr>
      <w:r>
        <w:rPr>
          <w:rFonts w:ascii="Arial" w:hAnsi="Arial"/>
          <w:b/>
          <w:color w:val="003366"/>
          <w:sz w:val="32"/>
        </w:rPr>
        <w:t>4. RIESGO E INCERTIDUMBRE</w:t>
      </w:r>
    </w:p>
    <w:p>
      <w:pPr>
        <w:keepNext/>
        <w:spacing w:before="280" w:after="80"/>
      </w:pPr>
      <w:r>
        <w:rPr>
          <w:rFonts w:ascii="Arial" w:hAnsi="Arial"/>
          <w:b/>
          <w:color w:val="2980B9"/>
          <w:sz w:val="26"/>
        </w:rPr>
        <w:t>4.1. Sensibilización por Escenarios</w:t>
      </w:r>
    </w:p>
    <w:p>
      <w:pPr>
        <w:pStyle w:val="ListBullet"/>
        <w:spacing w:before="0" w:after="60" w:line="276" w:lineRule="auto"/>
      </w:pPr>
      <w:r>
        <w:rPr>
          <w:rFonts w:ascii="Calibri" w:hAnsi="Calibri"/>
          <w:b/>
          <w:color w:val="1E1E1E"/>
          <w:sz w:val="22"/>
        </w:rPr>
        <w:t xml:space="preserve">Escenario Optimista: </w:t>
      </w:r>
      <w:r>
        <w:rPr>
          <w:rFonts w:ascii="Calibri" w:hAnsi="Calibri"/>
          <w:color w:val="282828"/>
          <w:sz w:val="22"/>
        </w:rPr>
        <w:t>Ventas de 25.000 plantines (+25%), adopción rápida de biosolarización en Fase 2. VAN: $82,3M ARS | TIR: 142%.</w:t>
      </w:r>
    </w:p>
    <w:p>
      <w:pPr>
        <w:pStyle w:val="ListBullet"/>
        <w:spacing w:before="0" w:after="60" w:line="276" w:lineRule="auto"/>
      </w:pPr>
      <w:r>
        <w:rPr>
          <w:rFonts w:ascii="Calibri" w:hAnsi="Calibri"/>
          <w:b/>
          <w:color w:val="1E1E1E"/>
          <w:sz w:val="22"/>
        </w:rPr>
        <w:t xml:space="preserve">Escenario Base: </w:t>
      </w:r>
      <w:r>
        <w:rPr>
          <w:rFonts w:ascii="Calibri" w:hAnsi="Calibri"/>
          <w:color w:val="282828"/>
          <w:sz w:val="22"/>
        </w:rPr>
        <w:t>Ventas de 20.000 plantines, descarte del 20%, precios de $2.000 ARS. VAN: $58,4M ARS | TIR: 108,5%.</w:t>
      </w:r>
    </w:p>
    <w:p>
      <w:pPr>
        <w:pStyle w:val="ListBullet"/>
        <w:spacing w:before="0" w:after="60" w:line="276" w:lineRule="auto"/>
      </w:pPr>
      <w:r>
        <w:rPr>
          <w:rFonts w:ascii="Calibri" w:hAnsi="Calibri"/>
          <w:b/>
          <w:color w:val="1E1E1E"/>
          <w:sz w:val="22"/>
        </w:rPr>
        <w:t xml:space="preserve">Escenario Pesimista: </w:t>
      </w:r>
      <w:r>
        <w:rPr>
          <w:rFonts w:ascii="Calibri" w:hAnsi="Calibri"/>
          <w:color w:val="282828"/>
          <w:sz w:val="22"/>
        </w:rPr>
        <w:t>Ventas de 12.000 plantines (solo preventa garantizada), incremento del 20% en insumos importados. VAN: $18,1M ARS | TIR: 41,2%.</w:t>
      </w:r>
    </w:p>
    <w:p>
      <w:pPr>
        <w:keepNext/>
        <w:spacing w:before="280" w:after="80"/>
      </w:pPr>
      <w:r>
        <w:rPr>
          <w:rFonts w:ascii="Arial" w:hAnsi="Arial"/>
          <w:b/>
          <w:color w:val="2980B9"/>
          <w:sz w:val="26"/>
        </w:rPr>
        <w:t>4.2. Matriz de Mitigación de Riesgos</w:t>
      </w:r>
    </w:p>
    <w:p>
      <w:pPr>
        <w:pStyle w:val="ListBullet"/>
        <w:spacing w:before="0" w:after="60" w:line="276" w:lineRule="auto"/>
      </w:pPr>
      <w:r>
        <w:rPr>
          <w:rFonts w:ascii="Calibri" w:hAnsi="Calibri"/>
          <w:b/>
          <w:color w:val="1E1E1E"/>
          <w:sz w:val="22"/>
        </w:rPr>
        <w:t xml:space="preserve">Riesgo Fisiológico en Cicatrización: </w:t>
      </w:r>
      <w:r>
        <w:rPr>
          <w:rFonts w:ascii="Calibri" w:hAnsi="Calibri"/>
          <w:color w:val="282828"/>
          <w:sz w:val="22"/>
        </w:rPr>
        <w:t>Control automatizado con sensores IoT y humidificador ultrasónico con alarma remota.</w:t>
      </w:r>
    </w:p>
    <w:p>
      <w:pPr>
        <w:pStyle w:val="ListBullet"/>
        <w:spacing w:before="0" w:after="60" w:line="276" w:lineRule="auto"/>
      </w:pPr>
      <w:r>
        <w:rPr>
          <w:rFonts w:ascii="Calibri" w:hAnsi="Calibri"/>
          <w:b/>
          <w:color w:val="1E1E1E"/>
          <w:sz w:val="22"/>
        </w:rPr>
        <w:t xml:space="preserve">Riesgo de Cadena de Pagos / Insumos: </w:t>
      </w:r>
      <w:r>
        <w:rPr>
          <w:rFonts w:ascii="Calibri" w:hAnsi="Calibri"/>
          <w:color w:val="282828"/>
          <w:sz w:val="22"/>
        </w:rPr>
        <w:t>Exigencia contractual irrenunciable del 40% de seña para iniciar la siembra en cámara.</w:t>
      </w:r>
    </w:p>
    <w:p>
      <w:pPr>
        <w:pStyle w:val="ListBullet"/>
        <w:spacing w:before="0" w:after="60" w:line="276" w:lineRule="auto"/>
      </w:pPr>
      <w:r>
        <w:rPr>
          <w:rFonts w:ascii="Calibri" w:hAnsi="Calibri"/>
          <w:b/>
          <w:color w:val="1E1E1E"/>
          <w:sz w:val="22"/>
        </w:rPr>
        <w:t xml:space="preserve">Riesgo de Abasto de Orujo (Fase 2): </w:t>
      </w:r>
      <w:r>
        <w:rPr>
          <w:rFonts w:ascii="Calibri" w:hAnsi="Calibri"/>
          <w:color w:val="282828"/>
          <w:sz w:val="22"/>
        </w:rPr>
        <w:t>Contratos de suministro a largo plazo con jugueras de Allen y bodegas de Neuquén a costo de retiro.</w:t>
      </w:r>
    </w:p>
    <w:p>
      <w:pPr>
        <w:keepNext/>
        <w:spacing w:before="360" w:after="120"/>
      </w:pPr>
      <w:r>
        <w:rPr>
          <w:rFonts w:ascii="Arial" w:hAnsi="Arial"/>
          <w:b/>
          <w:color w:val="003366"/>
          <w:sz w:val="32"/>
        </w:rPr>
        <w:t>ANEXO A: FUENTES BIBLIOGRÁFICAS Y REFERENCIAS (37 FUENTES)</w:t>
      </w:r>
    </w:p>
    <w:p>
      <w:pPr>
        <w:spacing w:before="0" w:after="120" w:line="276" w:lineRule="auto"/>
      </w:pPr>
      <w:r>
        <w:rPr>
          <w:rFonts w:ascii="Calibri" w:hAnsi="Calibri"/>
          <w:i w:val="0"/>
          <w:color w:val="282828"/>
          <w:sz w:val="22"/>
        </w:rPr>
        <w:t>A continuación se listan las 37 fuentes consultadas e integradas para la formulación del presente estudio de inversión:</w:t>
      </w:r>
    </w:p>
    <w:p>
      <w:pPr>
        <w:pStyle w:val="ListBullet"/>
        <w:spacing w:before="0" w:after="60" w:line="276" w:lineRule="auto"/>
      </w:pPr>
      <w:r>
        <w:rPr>
          <w:rFonts w:ascii="Calibri" w:hAnsi="Calibri"/>
          <w:color w:val="282828"/>
          <w:sz w:val="22"/>
        </w:rPr>
        <w:t>[S1] Gobierno de Río Negro. «Río Negro produce hortalizas con identidad y diversificación». 07/05/2026.</w:t>
      </w:r>
    </w:p>
    <w:p>
      <w:pPr>
        <w:pStyle w:val="ListBullet"/>
        <w:spacing w:before="0" w:after="60" w:line="276" w:lineRule="auto"/>
      </w:pPr>
      <w:r>
        <w:rPr>
          <w:rFonts w:ascii="Calibri" w:hAnsi="Calibri"/>
          <w:color w:val="282828"/>
          <w:sz w:val="22"/>
        </w:rPr>
        <w:t>[S2] Gobierno de Río Negro. «Río Negro refuerza la prevención sanitaria en invernaderos hortícolas». 23/12/2025.</w:t>
      </w:r>
    </w:p>
    <w:p>
      <w:pPr>
        <w:pStyle w:val="ListBullet"/>
        <w:spacing w:before="0" w:after="60" w:line="276" w:lineRule="auto"/>
      </w:pPr>
      <w:r>
        <w:rPr>
          <w:rFonts w:ascii="Calibri" w:hAnsi="Calibri"/>
          <w:color w:val="282828"/>
          <w:sz w:val="22"/>
        </w:rPr>
        <w:t>[S3] Diario Río Negro. «Plantines desde Allen para toda la región». 18/12/2021.</w:t>
      </w:r>
    </w:p>
    <w:p>
      <w:pPr>
        <w:pStyle w:val="ListBullet"/>
        <w:spacing w:before="0" w:after="60" w:line="276" w:lineRule="auto"/>
      </w:pPr>
      <w:r>
        <w:rPr>
          <w:rFonts w:ascii="Calibri" w:hAnsi="Calibri"/>
          <w:color w:val="282828"/>
          <w:sz w:val="22"/>
        </w:rPr>
        <w:t>[S4] Diario Río Negro. «Stefenelli, el agricultor: recuerdo de la escuela audaz que se convirtió en semillero». 25/01/2026.</w:t>
      </w:r>
    </w:p>
    <w:p>
      <w:pPr>
        <w:pStyle w:val="ListBullet"/>
        <w:spacing w:before="0" w:after="60" w:line="276" w:lineRule="auto"/>
      </w:pPr>
      <w:r>
        <w:rPr>
          <w:rFonts w:ascii="Calibri" w:hAnsi="Calibri"/>
          <w:color w:val="282828"/>
          <w:sz w:val="22"/>
        </w:rPr>
        <w:t>[S5] INTA / Argentina.gob.ar. «Con injertos, el cultivo de tomate rinde hasta un 58 % más». 22/08/2019.</w:t>
      </w:r>
    </w:p>
    <w:p>
      <w:pPr>
        <w:pStyle w:val="ListBullet"/>
        <w:spacing w:before="0" w:after="60" w:line="276" w:lineRule="auto"/>
      </w:pPr>
      <w:r>
        <w:rPr>
          <w:rFonts w:ascii="Calibri" w:hAnsi="Calibri"/>
          <w:color w:val="282828"/>
          <w:sz w:val="22"/>
        </w:rPr>
        <w:t>[S6] Tecnoflor. «Productos y servicios — especies injertadas y polos de comercialización publicados». Consulta 17/09/2026.</w:t>
      </w:r>
    </w:p>
    <w:p>
      <w:pPr>
        <w:pStyle w:val="ListBullet"/>
        <w:spacing w:before="0" w:after="60" w:line="276" w:lineRule="auto"/>
      </w:pPr>
      <w:r>
        <w:rPr>
          <w:rFonts w:ascii="Calibri" w:hAnsi="Calibri"/>
          <w:color w:val="282828"/>
          <w:sz w:val="22"/>
        </w:rPr>
        <w:t>[S7] Proplanta. «Injertos hortícolas». Consulta 17/09/2026.</w:t>
      </w:r>
    </w:p>
    <w:p>
      <w:pPr>
        <w:pStyle w:val="ListBullet"/>
        <w:spacing w:before="0" w:after="60" w:line="276" w:lineRule="auto"/>
      </w:pPr>
      <w:r>
        <w:rPr>
          <w:rFonts w:ascii="Calibri" w:hAnsi="Calibri"/>
          <w:color w:val="282828"/>
          <w:sz w:val="22"/>
        </w:rPr>
        <w:t>[S8] Proplanta. «Tecnología / distribución nacional». Consulta 17/09/2026.</w:t>
      </w:r>
    </w:p>
    <w:p>
      <w:pPr>
        <w:pStyle w:val="ListBullet"/>
        <w:spacing w:before="0" w:after="60" w:line="276" w:lineRule="auto"/>
      </w:pPr>
      <w:r>
        <w:rPr>
          <w:rFonts w:ascii="Calibri" w:hAnsi="Calibri"/>
          <w:color w:val="282828"/>
          <w:sz w:val="22"/>
        </w:rPr>
        <w:t>[S9] Brest &amp; Brest SRL. «Despacho de plantines injertados hacia Neuquén y Río Negro». Publicación comercial, agosto de 2026.</w:t>
      </w:r>
    </w:p>
    <w:p>
      <w:pPr>
        <w:pStyle w:val="ListBullet"/>
        <w:spacing w:before="0" w:after="60" w:line="276" w:lineRule="auto"/>
      </w:pPr>
      <w:r>
        <w:rPr>
          <w:rFonts w:ascii="Calibri" w:hAnsi="Calibri"/>
          <w:color w:val="282828"/>
          <w:sz w:val="22"/>
        </w:rPr>
        <w:t>[S10] Bayer / Seminis. «Maxifort — portainjerto para tomate y berenjena». Consulta 17/09/2026.</w:t>
      </w:r>
    </w:p>
    <w:p>
      <w:pPr>
        <w:pStyle w:val="ListBullet"/>
        <w:spacing w:before="0" w:after="60" w:line="276" w:lineRule="auto"/>
      </w:pPr>
      <w:r>
        <w:rPr>
          <w:rFonts w:ascii="Calibri" w:hAnsi="Calibri"/>
          <w:color w:val="282828"/>
          <w:sz w:val="22"/>
        </w:rPr>
        <w:t>[S11] Syngenta Vegetables Argentina. «Robusto — portainjerto para pimiento». Consulta 17/09/2026.</w:t>
      </w:r>
    </w:p>
    <w:p>
      <w:pPr>
        <w:pStyle w:val="ListBullet"/>
        <w:spacing w:before="0" w:after="60" w:line="276" w:lineRule="auto"/>
      </w:pPr>
      <w:r>
        <w:rPr>
          <w:rFonts w:ascii="Calibri" w:hAnsi="Calibri"/>
          <w:color w:val="282828"/>
          <w:sz w:val="22"/>
        </w:rPr>
        <w:t>[S12] INTA. «Manual de producción integrada de las principales especies hortícolas de Argentina». 2025.</w:t>
      </w:r>
    </w:p>
    <w:p>
      <w:pPr>
        <w:pStyle w:val="ListBullet"/>
        <w:spacing w:before="0" w:after="60" w:line="276" w:lineRule="auto"/>
      </w:pPr>
      <w:r>
        <w:rPr>
          <w:rFonts w:ascii="Calibri" w:hAnsi="Calibri"/>
          <w:color w:val="282828"/>
          <w:sz w:val="22"/>
        </w:rPr>
        <w:t>[S13] Mitidieri, M. et al. «Calidad del suelo y sanidad de cultivo después de quince años de biosolarización». 40° Congreso Argentino de Horticultura, 2018.</w:t>
      </w:r>
    </w:p>
    <w:p>
      <w:pPr>
        <w:pStyle w:val="ListBullet"/>
        <w:spacing w:before="0" w:after="60" w:line="276" w:lineRule="auto"/>
      </w:pPr>
      <w:r>
        <w:rPr>
          <w:rFonts w:ascii="Calibri" w:hAnsi="Calibri"/>
          <w:color w:val="282828"/>
          <w:sz w:val="22"/>
        </w:rPr>
        <w:t>[S14] Bucki, P. «Aptitud de la solarización para incrementar la temperatura del suelo en campo e invernadero en el Alto Valle de Río Negro y Neuquén». 1999.</w:t>
      </w:r>
    </w:p>
    <w:p>
      <w:pPr>
        <w:pStyle w:val="ListBullet"/>
        <w:spacing w:before="0" w:after="60" w:line="276" w:lineRule="auto"/>
      </w:pPr>
      <w:r>
        <w:rPr>
          <w:rFonts w:ascii="Calibri" w:hAnsi="Calibri"/>
          <w:color w:val="282828"/>
          <w:sz w:val="22"/>
        </w:rPr>
        <w:t>[S15] SINAVIMO / SENASA. «Ficha técnica de Meloidogyne incognita». Consulta 24/09/2026.</w:t>
      </w:r>
    </w:p>
    <w:p>
      <w:pPr>
        <w:pStyle w:val="ListBullet"/>
        <w:spacing w:before="0" w:after="60" w:line="276" w:lineRule="auto"/>
      </w:pPr>
      <w:r>
        <w:rPr>
          <w:rFonts w:ascii="Calibri" w:hAnsi="Calibri"/>
          <w:color w:val="282828"/>
          <w:sz w:val="22"/>
        </w:rPr>
        <w:t>[S16] Gobierno de Río Negro. «Río Negro transforma el orujo de manzana en oportunidad productiva». 2025.</w:t>
      </w:r>
    </w:p>
    <w:p>
      <w:pPr>
        <w:pStyle w:val="ListBullet"/>
        <w:spacing w:before="0" w:after="60" w:line="276" w:lineRule="auto"/>
      </w:pPr>
      <w:r>
        <w:rPr>
          <w:rFonts w:ascii="Calibri" w:hAnsi="Calibri"/>
          <w:color w:val="282828"/>
          <w:sz w:val="22"/>
        </w:rPr>
        <w:t>[S17] Joseph, D.; Leslie, A.; Vollmer, K.; Hooks, C. — University of Maryland. «Evaluating Biosolarization, Cover Cropping and Strip Tillage as an Integrated Pest Management Tool in Eggplant». 2026.</w:t>
      </w:r>
    </w:p>
    <w:p>
      <w:pPr>
        <w:pStyle w:val="ListBullet"/>
        <w:spacing w:before="0" w:after="60" w:line="276" w:lineRule="auto"/>
      </w:pPr>
      <w:r>
        <w:rPr>
          <w:rFonts w:ascii="Calibri" w:hAnsi="Calibri"/>
          <w:color w:val="282828"/>
          <w:sz w:val="22"/>
        </w:rPr>
        <w:t>[S18] Achmon, Y. et al. «Assessment of tomato and wine processing solid wastes as soil amendments for biosolarization». Waste Management, 2016.</w:t>
      </w:r>
    </w:p>
    <w:p>
      <w:pPr>
        <w:pStyle w:val="ListBullet"/>
        <w:spacing w:before="0" w:after="60" w:line="276" w:lineRule="auto"/>
      </w:pPr>
      <w:r>
        <w:rPr>
          <w:rFonts w:ascii="Calibri" w:hAnsi="Calibri"/>
          <w:color w:val="282828"/>
          <w:sz w:val="22"/>
        </w:rPr>
        <w:t>[S19] LMNeuquén (datos INV). «Patagonia Norte, a la cabeza de la pérdida de viñedos a nivel nacional». 27/05/2025.</w:t>
      </w:r>
    </w:p>
    <w:p>
      <w:pPr>
        <w:pStyle w:val="ListBullet"/>
        <w:spacing w:before="0" w:after="60" w:line="276" w:lineRule="auto"/>
      </w:pPr>
      <w:r>
        <w:rPr>
          <w:rFonts w:ascii="Calibri" w:hAnsi="Calibri"/>
          <w:color w:val="282828"/>
          <w:sz w:val="22"/>
        </w:rPr>
        <w:t>[S20] López-Astorga, M. et al. «Orujo de uva: más que un residuo, una fuente de compuestos bioactivos». Revista Biotecnia / SciELO, 2022.</w:t>
      </w:r>
    </w:p>
    <w:p>
      <w:pPr>
        <w:pStyle w:val="ListBullet"/>
        <w:spacing w:before="0" w:after="60" w:line="276" w:lineRule="auto"/>
      </w:pPr>
      <w:r>
        <w:rPr>
          <w:rFonts w:ascii="Calibri" w:hAnsi="Calibri"/>
          <w:color w:val="282828"/>
          <w:sz w:val="22"/>
        </w:rPr>
        <w:t>[S21] Bichos de Campo. «Más invernaderos y más concentración: el cinturón hortícola rionegrino triplicó su producción bajo cubierta en menos de una década». 10/05/2026.</w:t>
      </w:r>
    </w:p>
    <w:p>
      <w:pPr>
        <w:pStyle w:val="ListBullet"/>
        <w:spacing w:before="0" w:after="60" w:line="276" w:lineRule="auto"/>
      </w:pPr>
      <w:r>
        <w:rPr>
          <w:rFonts w:ascii="Calibri" w:hAnsi="Calibri"/>
          <w:color w:val="282828"/>
          <w:sz w:val="22"/>
        </w:rPr>
        <w:t>[S22] Neuquén Informa. «Neuquén apuesta a incrementar su producción para abastecer el consumo local». 02/09/2024.</w:t>
      </w:r>
    </w:p>
    <w:p>
      <w:pPr>
        <w:pStyle w:val="ListBullet"/>
        <w:spacing w:before="0" w:after="60" w:line="276" w:lineRule="auto"/>
      </w:pPr>
      <w:r>
        <w:rPr>
          <w:rFonts w:ascii="Calibri" w:hAnsi="Calibri"/>
          <w:color w:val="282828"/>
          <w:sz w:val="22"/>
        </w:rPr>
        <w:t>[S23] ANR (datos INDEC). «Datos definitivos Censo 2022: ¿cuántos habitantes hay en el departamento General Roca?». 21/11/2023.</w:t>
      </w:r>
    </w:p>
    <w:p>
      <w:pPr>
        <w:pStyle w:val="ListBullet"/>
        <w:spacing w:before="0" w:after="60" w:line="276" w:lineRule="auto"/>
      </w:pPr>
      <w:r>
        <w:rPr>
          <w:rFonts w:ascii="Calibri" w:hAnsi="Calibri"/>
          <w:color w:val="282828"/>
          <w:sz w:val="22"/>
        </w:rPr>
        <w:t>[S24] COPADE Neuquén. «Demografía y dinámica poblacional (Censo 2022)». Consulta 25/09/2026.</w:t>
      </w:r>
    </w:p>
    <w:p>
      <w:pPr>
        <w:pStyle w:val="ListBullet"/>
        <w:spacing w:before="0" w:after="60" w:line="276" w:lineRule="auto"/>
      </w:pPr>
      <w:r>
        <w:rPr>
          <w:rFonts w:ascii="Calibri" w:hAnsi="Calibri"/>
          <w:color w:val="282828"/>
          <w:sz w:val="22"/>
        </w:rPr>
        <w:t>[S25] Argentina.gob.ar. «Tomate: un fruto que supera las expectativas y promete un sostenido crecimiento». 22/08/2022.</w:t>
      </w:r>
    </w:p>
    <w:p>
      <w:pPr>
        <w:pStyle w:val="ListBullet"/>
        <w:spacing w:before="0" w:after="60" w:line="276" w:lineRule="auto"/>
      </w:pPr>
      <w:r>
        <w:rPr>
          <w:rFonts w:ascii="Calibri" w:hAnsi="Calibri"/>
          <w:color w:val="282828"/>
          <w:sz w:val="22"/>
        </w:rPr>
        <w:t>[S26] UNLP, Facultad de Ciencias Agrarias y Forestales. «Trabajo final: Productividad de plantas injertadas de tomate». 2024.</w:t>
      </w:r>
    </w:p>
    <w:p>
      <w:pPr>
        <w:pStyle w:val="ListBullet"/>
        <w:spacing w:before="0" w:after="60" w:line="276" w:lineRule="auto"/>
      </w:pPr>
      <w:r>
        <w:rPr>
          <w:rFonts w:ascii="Calibri" w:hAnsi="Calibri"/>
          <w:color w:val="282828"/>
          <w:sz w:val="22"/>
        </w:rPr>
        <w:t>[S27] Precios del Central (relevamiento del Mercado Central de Buenos Aires). «Precio mayorista promedio del tomate redondo». 25/09/2026.</w:t>
      </w:r>
    </w:p>
    <w:p>
      <w:pPr>
        <w:pStyle w:val="ListBullet"/>
        <w:spacing w:before="0" w:after="60" w:line="276" w:lineRule="auto"/>
      </w:pPr>
      <w:r>
        <w:rPr>
          <w:rFonts w:ascii="Calibri" w:hAnsi="Calibri"/>
          <w:color w:val="282828"/>
          <w:sz w:val="22"/>
        </w:rPr>
        <w:t>[S28] DolarApi. «Cotización del dólar oficial: $ 1.500 compra / $ 1.550 venta». 28/09/2026.</w:t>
      </w:r>
    </w:p>
    <w:p>
      <w:pPr>
        <w:pStyle w:val="ListBullet"/>
        <w:spacing w:before="0" w:after="60" w:line="276" w:lineRule="auto"/>
      </w:pPr>
      <w:r>
        <w:rPr>
          <w:rFonts w:ascii="Calibri" w:hAnsi="Calibri"/>
          <w:color w:val="282828"/>
          <w:sz w:val="22"/>
        </w:rPr>
        <w:t>[S29] Gobierno de la Provincia del Neuquén. «Las hortalizas de Centenario y Vista Alegre ganan terreno en las góndolas regionales». 14/11/2025.</w:t>
      </w:r>
    </w:p>
    <w:p>
      <w:pPr>
        <w:pStyle w:val="ListBullet"/>
        <w:spacing w:before="0" w:after="60" w:line="276" w:lineRule="auto"/>
      </w:pPr>
      <w:r>
        <w:rPr>
          <w:rFonts w:ascii="Calibri" w:hAnsi="Calibri"/>
          <w:color w:val="282828"/>
          <w:sz w:val="22"/>
        </w:rPr>
        <w:t>[S30] INTA Alto Valle. «Ensilado y conservación de orujo de manzana para alimentación ganadera y enmiendas orgánicas». 2023.</w:t>
      </w:r>
    </w:p>
    <w:p>
      <w:pPr>
        <w:pStyle w:val="ListBullet"/>
        <w:spacing w:before="0" w:after="60" w:line="276" w:lineRule="auto"/>
      </w:pPr>
      <w:r>
        <w:rPr>
          <w:rFonts w:ascii="Calibri" w:hAnsi="Calibri"/>
          <w:color w:val="282828"/>
          <w:sz w:val="22"/>
        </w:rPr>
        <w:t>[S31] De Ruiter / Bayer Vegetables. «Ficha técnica de portainjerto Maxifort F1 para solanáceas». Consulta 2026.</w:t>
      </w:r>
    </w:p>
    <w:p>
      <w:pPr>
        <w:pStyle w:val="ListBullet"/>
        <w:spacing w:before="0" w:after="60" w:line="276" w:lineRule="auto"/>
      </w:pPr>
      <w:r>
        <w:rPr>
          <w:rFonts w:ascii="Calibri" w:hAnsi="Calibri"/>
          <w:color w:val="282828"/>
          <w:sz w:val="22"/>
        </w:rPr>
        <w:t>[S32] UATRE. «Escala salarial vigente para trabajadores rurales especializados en propagación y viveros». 2026.</w:t>
      </w:r>
    </w:p>
    <w:p>
      <w:pPr>
        <w:pStyle w:val="ListBullet"/>
        <w:spacing w:before="0" w:after="60" w:line="276" w:lineRule="auto"/>
      </w:pPr>
      <w:r>
        <w:rPr>
          <w:rFonts w:ascii="Calibri" w:hAnsi="Calibri"/>
          <w:color w:val="282828"/>
          <w:sz w:val="22"/>
        </w:rPr>
        <w:t>[S33] Cátedra Sistemas de Gestión (UTN FRBA). «Guía Resumen PEP (Proyecto de Evaluación de Proyectos de Inversión) — Formato Oficial de Presentación». 2026.</w:t>
      </w:r>
    </w:p>
    <w:p>
      <w:pPr>
        <w:pStyle w:val="ListBullet"/>
        <w:spacing w:before="0" w:after="60" w:line="276" w:lineRule="auto"/>
      </w:pPr>
      <w:r>
        <w:rPr>
          <w:rFonts w:ascii="Calibri" w:hAnsi="Calibri"/>
          <w:color w:val="282828"/>
          <w:sz w:val="22"/>
        </w:rPr>
        <w:t>[S34] Prof. José. «Devolución oral y observaciones técnico-comerciales al TP v2.4 (Audio y Transcripción de Cátedra)». Octubre 2026.</w:t>
      </w:r>
    </w:p>
    <w:p>
      <w:pPr>
        <w:pStyle w:val="ListBullet"/>
        <w:spacing w:before="0" w:after="60" w:line="276" w:lineRule="auto"/>
      </w:pPr>
      <w:r>
        <w:rPr>
          <w:rFonts w:ascii="Calibri" w:hAnsi="Calibri"/>
          <w:color w:val="282828"/>
          <w:sz w:val="22"/>
        </w:rPr>
        <w:t>[S35] SENASA. «Resolución 64/2026 y Normativa de Registro Nacional Fitosanitario de Operadores de Material de Propagación (RENFO) y DTV-e». 2026.</w:t>
      </w:r>
    </w:p>
    <w:p>
      <w:pPr>
        <w:pStyle w:val="ListBullet"/>
        <w:spacing w:before="0" w:after="60" w:line="276" w:lineRule="auto"/>
      </w:pPr>
      <w:r>
        <w:rPr>
          <w:rFonts w:ascii="Calibri" w:hAnsi="Calibri"/>
          <w:color w:val="282828"/>
          <w:sz w:val="22"/>
        </w:rPr>
        <w:t>[S36] INASE. «Registro Nacional de Comercio y Fiscalización de Semillas (RNCyFS), Categoría Vivero Hortícola y Dirección Técnica Matriculada». 2026.</w:t>
      </w:r>
    </w:p>
    <w:p>
      <w:pPr>
        <w:pStyle w:val="ListBullet"/>
        <w:spacing w:before="0" w:after="60" w:line="276" w:lineRule="auto"/>
      </w:pPr>
      <w:r>
        <w:rPr>
          <w:rFonts w:ascii="Calibri" w:hAnsi="Calibri"/>
          <w:color w:val="282828"/>
          <w:sz w:val="22"/>
        </w:rPr>
        <w:t>[S37] Ministerio de Desarrollo Económico y Productivo de Río Negro / Centro Pyme-ADENEU. «Programas PAR Agroquímicos/Maquinaria y Régimen de Crédito Fiscal para Inversiones Productivas».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