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TECNOLÓGICA NACIONAL · FRBA</w:t>
      </w:r>
    </w:p>
    <w:p>
      <w:pPr>
        <w:jc w:val="center"/>
      </w:pPr>
      <w:r>
        <w:rPr>
          <w:b/>
          <w:color w:val="153B42"/>
          <w:sz w:val="42"/>
        </w:rPr>
        <w:t>PROYECTO DE INVERSIÓN</w:t>
      </w:r>
    </w:p>
    <w:p>
      <w:pPr>
        <w:jc w:val="center"/>
      </w:pPr>
      <w:r>
        <w:rPr>
          <w:color w:val="14695E"/>
          <w:sz w:val="30"/>
        </w:rPr>
        <w:t>Plantines hortícolas injertados y manejo sanitario radicular</w:t>
        <w:br/>
        <w:t>Patagonia Norte</w:t>
      </w:r>
    </w:p>
    <w:p>
      <w:pPr>
        <w:jc w:val="center"/>
      </w:pPr>
      <w:r>
        <w:t>Sistemas de Gestión · Versión revisada de trabajo · Octubre 2026</w:t>
      </w:r>
    </w:p>
    <w:p>
      <w:pPr>
        <w:spacing w:before="200" w:after="240"/>
        <w:ind w:left="159" w:right="142"/>
        <w:shd w:fill="E8F3F0"/>
        <w:pBdr>
          <w:left w:val="single" w:sz="22" w:color="0E5A4F"/>
        </w:pBdr>
      </w:pPr>
      <w:r>
        <w:rPr>
          <w:b/>
          <w:color w:val="0E5A4F"/>
        </w:rPr>
        <w:t xml:space="preserve">PROPUESTA  |  </w:t>
      </w:r>
      <w:r>
        <w:rPr>
          <w:i/>
          <w:sz w:val="18"/>
        </w:rPr>
        <w:t>Crear una startup independiente en Patagonia Norte especializada en plantines hortícolas injertados y manejo sanitario radicular para productores bajo cubierta. En la primera etapa producirá y venderá plantines injertados contra pedido, comenzando por tomate. En una segunda etapa evaluará servicios de diagnóstico y tratamiento pretrasplante del suelo, con investigación de biosolarización y mezclas de orujo de manzana y uva. La expansión comercial estará condicionada a validar demanda, eficacia técnica y costos; no se presupone acceso a activos o clientes de otra empresa.</w:t>
      </w:r>
    </w:p>
    <w:p>
      <w:pPr>
        <w:pStyle w:val="Heading1"/>
      </w:pPr>
      <w:r>
        <w:t>1. Introducción y contexto</w:t>
      </w:r>
    </w:p>
    <w:p>
      <w:r>
        <w:t>El proyecto propone crear en el Alto Valle una empresa independiente especializada en producción bajo pedido de plantines hortícolas injertados, con tomate como producto inicial, y en servicios de diagnóstico y manejo sanitario del suelo para productores comerciales bajo cubierta. Se plantea una entrada gradual porque la demanda regional específica de injertados y la respuesta comercial a un proveedor nuevo todavía deben medirse.</w:t>
      </w:r>
    </w:p>
    <w:p>
      <w:r>
        <w:t>La oportunidad parte de una actividad regional documentada: Río Negro reportó en 2026 10.892 ha hortícolas, más de 800 productores y más de 100 ha bajo cubierta destinadas a hortalizas de fruto y hoja [S1]. Centenario y Vista Alegre registraron 51.200 m² bajo cubierta en 2025 [S29]. Estas superficies acreditan actividad, pero no equivalen a hectáreas de tomate injertado ni a órdenes disponibles para esta empresa.</w:t>
      </w:r>
    </w:p>
    <w:p>
      <w:r>
        <w:t>El problema sanitario también es concreto: el gobierno de Río Negro informó detecciones de nematodos del género Meloidogyne en invernaderos hortícolas [S2]. INTA recomienda integrar el uso de portainjertos resistentes con diagnóstico y manejo del suelo [S12]. La venta del plantín constituye la primera fuente de ingreso; el servicio sanitario es una ampliación sujeta a pruebas técnicas, económicas y regulatorias.</w:t>
      </w:r>
    </w:p>
    <w:p>
      <w:pPr>
        <w:pStyle w:val="Heading1"/>
      </w:pPr>
      <w:r>
        <w:t>2. Problema productivo y fundamento técnico</w:t>
      </w:r>
    </w:p>
    <w:p>
      <w:r>
        <w:t>Los nematodos agalladores penetran las raíces y provocan agallas que afectan la absorción de agua y nutrientes, reducen el vigor y pueden comprometer el rendimiento. Su persistencia en el suelo explica por qué el productor puede repetir pérdidas aun si renueva el material vegetal [S15]. El diagnóstico debe confirmar la plaga y presión en cada establecimiento: un antecedente regional no demuestra infestación universal.</w:t>
      </w:r>
    </w:p>
    <w:p>
      <w:r>
        <w:t>El injerto combina una variedad comercial (copa) con un portainjerto seleccionado por características radiculares, vigor y resistencia/tolerancia específicas [S10–S12]. No esteriliza el suelo: la respuesta depende del material, la población de nematodos y el ambiente. Por eso la propuesta diferencia la calidad del plantín del resultado agronómico de toda la campaña; no promete rendimientos garantizados.</w:t>
      </w:r>
    </w:p>
    <w:p>
      <w:r>
        <w:t>La solarización y la biosolarización cuentan con antecedentes argentinos y regionales [S12–S14]. La segunda incorpora materia orgánica, agua y cobertura plástica para modificar condiciones térmicas y biológicas. Su eficacia depende del suelo, la época, la duración y el patógeno; corresponde ensayarla frente a testigos y alternativas estándar antes de cobrar por un protocolo propio.</w:t>
      </w:r>
    </w:p>
    <w:p>
      <w:pPr>
        <w:pStyle w:val="Heading1"/>
      </w:pPr>
      <w:r>
        <w:t>3. Producto, alcance y etapas de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Oferta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Condición comercial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Inicio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Tomate injertado listo para trasplante; lotes identificados, genética acordada y entrega programada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Producción contra reserva; control de prendimiento y merma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Expansión vegetal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Pimiento/morrón injertado y, después, berenjena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Pilotos por combinación patrón–copa; sólo ampliar con supervivencia y pedidos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Sanidad estándar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Diagnóstico del lote y asesoramiento/manejo pretrasplante con intervención técnica autorizada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Servicio independiente sujeto a disponibilidad de responsables y protocolo aplicable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I+D regional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Comparación de biosolarización con orujos de manzana y uva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No atribuir eficacia ni ingreso recurrente antes de validar</w:t>
            </w:r>
          </w:p>
        </w:tc>
      </w:tr>
    </w:tbl>
    <w:p>
      <w:pPr>
        <w:spacing w:after="0"/>
      </w:pPr>
    </w:p>
    <w:p>
      <w:r>
        <w:t>El cliente compra plantines injertados —no tomates, pimientos o berenjenas cosechados— y, opcionalmente, un servicio de suelo. La empresa no cultiva ni comercializa el fruto final. La propuesta integral combina dos prestaciones que también pueden contratarse separadamente.</w:t>
      </w:r>
    </w:p>
    <w:p>
      <w:pPr>
        <w:pStyle w:val="Heading1"/>
      </w:pPr>
      <w:r>
        <w:t>4. Mercado, competencia y demanda</w:t>
      </w:r>
    </w:p>
    <w:p>
      <w:pPr>
        <w:pStyle w:val="Heading2"/>
      </w:pPr>
      <w:r>
        <w:t>4.1 Mercado observable y límite de los datos</w:t>
      </w:r>
    </w:p>
    <w:p>
      <w:r>
        <w:t>La horticultura protegida regional es el mercado de referencia, pero no existe en las fuentes reunidas una medición pública confiable de qué proporción usa injertos, cuánto compra cada productor o cuántos clientes se encuentran insatisfechos. No debe presentarse como dato una demanda de 100.000 unidades, una insatisfacción del 30 % ni cuotas del 45 % o 32 % asignadas a competidores.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representa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Mercado potencial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Productores de cultivos hortícolas compatibles, principalmente bajo cubierta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Base territorial respaldada; faltan hectáreas específicas por cultivo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Mercado atendible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Clientes dentro del radio logístico, con necesidad técnica y presupuesto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Estimación pendiente de segmentación y relevamiento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Captación inicial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Objetivo tentativo de 10.000–20.000–30.000 plantines en escenarios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Meta de gestión, no demanda observada; validar con reservas</w:t>
            </w:r>
          </w:p>
        </w:tc>
      </w:tr>
    </w:tbl>
    <w:p>
      <w:pPr>
        <w:spacing w:after="0"/>
      </w:pPr>
    </w:p>
    <w:p>
      <w:pPr>
        <w:pStyle w:val="Heading2"/>
      </w:pPr>
      <w:r>
        <w:t>4.2 Competidores y alternativas reales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Evidencia disponible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Qué debemos comprobar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Tecnoflor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Ofrece especies hortícolas injertadas; cobertura publicada por zonas [S6]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Alcance y condiciones efectivas de entrega en Patagonia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Proplanta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Declara injertos hortícolas y distribución nacional [S7–S8]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Precio y servicio puesto en destino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Brest &amp; Brest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Antecedentes de despachos de injertados hacia Río Negro/Neuquén [S9]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Volumen, frecuencia, calidad de servicio y precio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Plantín convencional o producción propia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Alternativas de abastecimiento que ya conoce el productor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Costo de oportunidad y disposición a cambiar</w:t>
            </w:r>
          </w:p>
        </w:tc>
      </w:tr>
    </w:tbl>
    <w:p>
      <w:pPr>
        <w:spacing w:after="0"/>
      </w:pPr>
    </w:p>
    <w:p>
      <w:r>
        <w:t>La diferencia defendible no es “nadie vende injertados”: sí existe oferta. La hipótesis comercial es que algunos productores valoren lotes pequeños o programados, genética acordada, cercanía, trazabilidad y un apoyo sanitario integral. Falta demostrar con evidencia comercial que pagarían por esos atributos y en qué condiciones.</w:t>
      </w:r>
    </w:p>
    <w:p>
      <w:pPr>
        <w:pStyle w:val="Heading1"/>
      </w:pPr>
      <w:r>
        <w:t>5. Comercialización y estrategia de entrada</w:t>
      </w:r>
    </w:p>
    <w:p>
      <w:r>
        <w:t>La captación comenzará por venta directa B2B a productores profesionales bajo cubierta. Como canales secundarios se evaluarán prescripciones de asesores agronómicos y derivaciones desde agronomías regionales, sin presumir convenios ni participaciones por canal. La operación comercial seguirá: prospección → visita/consulta → especificación de genética, volumen y fecha → presupuesto y reserva → siembra/injerto → control de lote → entrega → seguimiento y recompra.</w:t>
      </w:r>
    </w:p>
    <w:p>
      <w:r>
        <w:t>Para reducir la barrera de confianza de una empresa nueva se propondrán lotes comerciales iniciales acotados, con seguimiento del prendimiento y reclamos. Las parcelas demostrativas y visitas deben presupuestarse; no son ventas aseguradas ni pruebas de mejora de rendimiento sin comparación válida.</w:t>
      </w:r>
    </w:p>
    <w:p>
      <w:r>
        <w:t>La meta de 20.000 plantines/año puede utilizarse como escenario de planificación; la producción se habilitará gradualmente con reservas efectivas. La regla interna propuesta de reservar al menos 60 % del volumen planificado es una condición de gestión, no una tasa de conversión ya observada. El porcentaje de seña por cada pedido se pactará por separado.</w:t>
      </w:r>
    </w:p>
    <w:p>
      <w:pPr>
        <w:pStyle w:val="Heading1"/>
      </w:pPr>
      <w:r>
        <w:t>6. Infraestructura, proceso y capacidad</w:t>
      </w:r>
    </w:p>
    <w:p>
      <w:r/>
      <w:r>
        <w:t>La empresa deberá alquilar, acondicionar o instalar una unidad de propagación y cicatrización propia. La localización en Allen o su entorno se considera una alternativa de estudio por proximidad a productores y corredores logísticos; su selección definitiva dependerá de costos de instalación, habilitaciones, servicios y accesibilidad. No se presume disponibilidad previa de infraestructura ni cartera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Infraestructura o recurso requerido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Decisión pendiente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Propagación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Área protegida, bandejas, sustrato, riego y germinación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Alquilar, instalar o contratar siembra a terceros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Injerto y cicatrización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Mesas higiénicas, herramientas, cámara climática y aclimatación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Dimensionar por pico semanal y días de ocupación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Calidad y distribución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Registro de lotes, inspección, embalaje y transporte protegido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Definir radio, fletes y política de reposición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Servicio sanitario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Responsable técnico, muestreo, laboratorio, insumos y seguimiento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Tercerizar/autorizar servicios según normativa</w:t>
            </w:r>
          </w:p>
        </w:tc>
      </w:tr>
    </w:tbl>
    <w:p>
      <w:pPr>
        <w:spacing w:after="0"/>
      </w:pPr>
    </w:p>
    <w:p>
      <w:pPr>
        <w:pStyle w:val="Heading2"/>
      </w:pPr>
      <w:r>
        <w:t>6.1 Secuencia y fórmula de capacidad</w:t>
      </w:r>
    </w:p>
    <w:p>
      <w:r>
        <w:t>Ingreso de semillas → siembra sincronizada de pie y copa → selección de diámetros → injerto → cicatrización → aclimatación → control y liberación de lote → entrega trazable. La pérdida debe calcularse por etapas para evitar contar dos veces la merma: plantas vendibles = unidades iniciadas × supervivencia de germinación × supervivencia de injerto × supervivencia de aclimatación.</w:t>
      </w:r>
    </w:p>
    <w:p>
      <w:r/>
      <w:r>
        <w:t>Ejemplo ilustrativo: para entregar 20.000 unidades con 80 % de supervivencia total, hay que iniciar 25.000 plantas. Ese 80 % no es una tasa validada; se reemplazará por datos de lotes piloto. La cámara se dimensionará con producción semanal máxima, cantidad de bandejas y días de cicatrización; los operarios, con injertos/hora medidos. La superficie de cámara debe calcularse a partir de la capacidad propia proyectada, sin adoptar dimensiones tomadas de otro emprendimiento.</w:t>
      </w:r>
    </w:p>
    <w:p>
      <w:pPr>
        <w:pStyle w:val="Heading1"/>
      </w:pPr>
      <w:r>
        <w:t>7. Organización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Modalidad inicial propuesta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Dirección y administración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Inversión, compras, cobros, presupuesto, coordinación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Propia con contabilidad tercerizada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Producción y calidad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Siembra, injerto, cicatrización, descarte, registros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Equipo operativo entrenado; dimensionamiento por demanda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Responsable agronómico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Protocolos, sanidad, supervisión y recomendaciones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Profesional competente a presupuestar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Ventas y logística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Captación, reservas, promesas de entrega, seguimiento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Función cubierta desde el inicio; posible logística contratada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Laboratorio y especialidades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Análisis de nematodos y evaluaciones específicas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Prestaciones externas con tarifas verificables</w:t>
            </w:r>
          </w:p>
        </w:tc>
      </w:tr>
    </w:tbl>
    <w:p>
      <w:pPr>
        <w:spacing w:after="0"/>
      </w:pPr>
    </w:p>
    <w:p>
      <w:r>
        <w:t>El organigrama define funciones, no cinco contrataciones automáticas. Antes de presupuestar deben establecerse dedicaciones, reemplazos, convenios laborales, honorarios y alcance de servicios externos. La estructura de costos de una startup debe incluir administración, ventas, marketing, tecnología y comunicaciones, tal como observó el profesor.</w:t>
      </w:r>
    </w:p>
    <w:p>
      <w:pPr>
        <w:pStyle w:val="Heading1"/>
      </w:pPr>
      <w:r>
        <w:t>8. Monetización, estructura de costos e inversión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Prestación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Unidad de cobro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Condición de venta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Plantín injertado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Por unidad vendible y variedad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Precio propuesto sujeto a cotización B2B y costo real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Diagnóstico de suelo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Por lote, muestreo o informe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Depende de laboratorio, visita y profesional habilitado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Tratamiento sanitario estándar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Por m² o invernadero tratado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Sólo con protocolo factible y responsable técnico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Programa integral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Plantas + diagnóstico + tratamiento + seguimiento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Descuento sólo si existen ahorros operativos comprobables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Mezcla experimental de orujos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Sin ingreso recurrente supuesto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Piloto con financiación propia o compartida</w:t>
            </w:r>
          </w:p>
        </w:tc>
      </w:tr>
    </w:tbl>
    <w:p>
      <w:pPr>
        <w:spacing w:after="0"/>
      </w:pPr>
    </w:p>
    <w:p>
      <w:r>
        <w:t>Ingreso = Σ(plantines vendidos por especie × precio) + diagnósticos × tarifa + m² efectivamente tratados × precio/m² + seguimientos contratados. No sumar diagnósticos incluidos en paquetes como ventas adicionales. La diferencia precio – costo variable es margen de contribución, no utilidad. La utilidad depende también de costos fijos, amortización, impuestos y capital de trabajo.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Partidas que deben presupuestarse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Inversión inicial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Acondicionamiento, propagación, cicatrización, mesas, herramientas, controles, distribución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Variable por plantín vendible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Semillas patrón y copa, clips, sustrato, bandejas, servicios, injerto, descartes y embalaje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Estructura fija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Alquiler, personal, agrónomo, administración, seguros, tecnología y comunicaciones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Comercial / logística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Prospección, demostraciones, transporte, reposiciones y cobranza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Sanidad del suelo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Laboratorio, muestreo, plástico, agua, enmienda, incorporación, traslado y seguimiento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Capital de trabajo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Insumos y sueldos previos al cobro, estacionalidad y reservas</w:t>
            </w:r>
          </w:p>
        </w:tc>
      </w:tr>
    </w:tbl>
    <w:p>
      <w:pPr>
        <w:spacing w:after="0"/>
      </w:pPr>
    </w:p>
    <w:p>
      <w:r/>
      <w:r>
        <w:t>Los costos de una línea incorporada a un vivero existente no son transferibles directamente a una startup independiente. Se presupuestarán todos los recursos propios y los servicios contratados: instalaciones, equipamiento, personal, administración, logística y capital de trabajo. Los indicadores VAN y TIR se calcularán cuando estén validados los presupuestos y el escenario comercial.</w:t>
      </w:r>
    </w:p>
    <w:p>
      <w:pPr>
        <w:pStyle w:val="Heading1"/>
      </w:pPr>
      <w:r>
        <w:t>9. Programa sanitario y piloto experimental</w:t>
      </w:r>
    </w:p>
    <w:p>
      <w:r>
        <w:t>Se diferencian dos actividades: (a) servicios de diagnóstico y manejo sanitario utilizando métodos técnicamente fundamentados y bajo responsabilidad profesional; (b) investigación propia para evaluar una mezcla de orujos. El antecedente de Maryland utilizó orujo de manzana y uva en proporción 3:1 en berenjena; no demostró por sí mismo control efectivo de nematodos en Patagonia [S17]. Investigaciones con otros orujos y biosolarización son apoyo metodológico, no evidencia de eficacia local [S18].</w:t>
      </w:r>
    </w:p>
    <w:p>
      <w:r>
        <w:t>Río Negro informó más de 115.000 toneladas de orujo de manzana generado en 2024 [S16], pero generación no equivale a volumen disponible, gratuito o apto para uso agrícola. La proporción 3:1, almacenamiento, dosis y duración se tratarán como variables de ensayo. No se asume que ensilar preserve idénticas propiedades para biosolarización ni se fija una dosis comercial de 2,5 kg/m² sin validación.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Ensayo</w:t>
            </w:r>
          </w:p>
        </w:tc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Comparación buscada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T0: planta franca / suelo habitual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Daño base y producción sin injerto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T1: injertada / suelo habitual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Aporte del injerto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T2: injertada / biosolarización de referencia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Complementariedad del tratamiento estándar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T3–T6: injertada + mezclas de orujos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Manzana, 3:1 manzana-uva, 1:1 y uva; explorar dosis y tiempos posteriores</w:t>
            </w:r>
          </w:p>
        </w:tc>
      </w:tr>
    </w:tbl>
    <w:p>
      <w:pPr>
        <w:spacing w:after="0"/>
      </w:pPr>
    </w:p>
    <w:p>
      <w:r>
        <w:t>Indicadores: nematodos antes/después, temperatura del suelo, agallamiento, prendimiento, producción vendible, costos por m² y resultados entre temporadas. Repeticiones, aleatorización y aprobación técnica deben definirse antes del ensayo. Si no hay beneficio agronómico y económico frente al tratamiento de referencia, se descarta o reformula el protocolo propio. No se ofrecen garantías de rendimiento.</w:t>
      </w:r>
    </w:p>
    <w:p>
      <w:pPr>
        <w:pStyle w:val="Heading1"/>
      </w:pPr>
      <w:r>
        <w:t>10. Sostenibilidad y marco de operación</w:t>
      </w:r>
    </w:p>
    <w:p>
      <w:r>
        <w:t>La sostenibilidad económica depende de márgenes por unidad vendible, capacidad utilizada, reservas, recompra y recuperación de inversión. En el plano social, la empresa puede aportar empleo especializado, capacitación en injertos y acompañamiento técnico a productores. Ambientalmente, el uso eficiente de insumos y una eventual valorización de orujos son oportunidades a medir, no beneficios ambientales garantizados: su balance depende de transporte, plástico, agua y disposición final.</w:t>
      </w:r>
    </w:p>
    <w:p>
      <w:r>
        <w:t>La producción y circulación de material de propagación, las intervenciones profesionales y los tratamientos fitosanitarios deben ajustarse a los requisitos vigentes de INASE y SENASA, así como a los permisos locales. Una formulación experimental con finalidad fitosanitaria no puede comercializarse automáticamente. Los registros y autorizaciones se verificarán para el establecimiento y los productos concretos antes de operar.</w:t>
      </w:r>
    </w:p>
    <w:p>
      <w:pPr>
        <w:pStyle w:val="Heading1"/>
      </w:pPr>
      <w:r>
        <w:t>11. Riesgos, validaciones y criterios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Respuesta prevista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Evidencia que falta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Demanda inferior al objetivo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Producción bajo reserva; lotes de entrada y canales múltiples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Pedidos y conversiones reales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Precios insuficientes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Cotización y margen mínimo por variedad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Tres cotizaciones B2B comparables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Merma o capacidad limitada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Medición de cada etapa y máximo semanal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 de prendimiento y ciclos de cámara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Costos fijos mayores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Contrataciones por etapa y tercerización evaluada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Alquiler, sueldos y servicios presupuestados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Piloto sanitario ineficaz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Mantener plantines y descartar protocolo propio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Ensayo con control y evaluación económica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Falta de capital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Inversión por hitos, evaluación de fuentes de fondos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Condiciones de financiación verificadas</w:t>
            </w:r>
          </w:p>
        </w:tc>
      </w:tr>
    </w:tbl>
    <w:p>
      <w:pPr>
        <w:spacing w:after="0"/>
      </w:pPr>
    </w:p>
    <w:p>
      <w:pPr>
        <w:pStyle w:val="Heading1"/>
      </w:pPr>
      <w:r>
        <w:t>12. Cierre y alcance de esta entrega</w:t>
      </w:r>
    </w:p>
    <w:p>
      <w:r>
        <w:t>La oportunidad está técnicamente justificada y comercialmente planteada, pero no se considera rentabilidad demostrada. El proyecto se formula como startup independiente cuyo ingreso inicial proviene de plantines injertados contra pedido y cuya diversificación posible son servicios de suelo. La siguiente decisión requiere demostrar compradores, costo por planta vendible, infraestructura realizable y condiciones para ofrecer sanidad bajo responsabilidad técnica.</w:t>
      </w:r>
    </w:p>
    <w:p>
      <w:r>
        <w:t>Conseguir reservas y recompra, estabilizar supervivencia y controlar costos son condiciones previas a escalar; validar una mezcla de orujos sería una ventaja futura y no un supuesto de ingresos del primer año. La investigación pendiente se concentra en cinco frentes: mercado, infraestructura, precios y costos, servicio sanitario y financiamiento.</w:t>
      </w:r>
    </w:p>
    <w:p>
      <w:pPr>
        <w:pStyle w:val="Heading1"/>
      </w:pPr>
      <w:r>
        <w:t>Anexo A. Evidencia, hipótesis y datos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3324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Tratamiento en la formulación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Documentado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Superficie protegida regional; nematodos detectados; oferentes de injertados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Afirmar sólo el alcance que indican las fuentes</w:t>
            </w:r>
          </w:p>
        </w:tc>
      </w:tr>
      <w:tr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Hipótesis gerencial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Meta 20.000 plantines; 60 % de reservas; tres canales propuestos</w:t>
            </w:r>
          </w:p>
        </w:tc>
        <w:tc>
          <w:tcPr>
            <w:tcW w:type="dxa" w:w="3324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No describir como ventas ni compromisos reales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Por verificar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Precios B2B, cuota de mercado, inversión, merma, capacidad, costos de sanidad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Conservar como dato faltante; sustituir al relevar</w:t>
            </w:r>
          </w:p>
        </w:tc>
      </w:tr>
    </w:tbl>
    <w:p>
      <w:pPr>
        <w:spacing w:after="0"/>
      </w:pPr>
    </w:p>
    <w:p>
      <w:pPr>
        <w:pStyle w:val="Heading2"/>
      </w:pPr>
      <w:r>
        <w:t>Investigaciones para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4986"/>
            <w:vAlign w:val="center"/>
            <w:shd w:fill="153B42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Información verificable a obtener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1. Mercado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Hectáreas por cultivo; oferta de injertados; volúmenes y compradores; brechas de servicio; fuentes de datos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2. Infraestructura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Alquiler o sitio disponible; cámara, siembra, instalaciones, capacidad, habilitaciones y presupuestos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3. Precios y costos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Cotizaciones B2B comparables; insumos, personal, logística y prueba de costo por planta vendible</w:t>
            </w:r>
          </w:p>
        </w:tc>
      </w:tr>
      <w:tr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4. Servicio sanitario</w:t>
            </w:r>
          </w:p>
        </w:tc>
        <w:tc>
          <w:tcPr>
            <w:tcW w:type="dxa" w:w="4986"/>
            <w:vAlign w:val="center"/>
            <w:shd w:fill="F3F7F6"/>
          </w:tcPr>
          <w:p>
            <w:pPr>
              <w:spacing w:after="0"/>
            </w:pPr>
            <w:r>
              <w:rPr>
                <w:sz w:val="17"/>
              </w:rPr>
              <w:t>Laboratorios y tarifas; responsable técnico; costo por m²; disponibilidad de orujos; requisitos legales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5. Financiamiento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7"/>
              </w:rPr>
              <w:t>Capital propio, alternativas de crédito, garantías, tasas, plazos y disponibilidad vigente</w:t>
            </w:r>
          </w:p>
        </w:tc>
      </w:tr>
    </w:tbl>
    <w:p>
      <w:pPr>
        <w:spacing w:after="0"/>
      </w:pPr>
    </w:p>
    <w:p>
      <w:pPr>
        <w:pStyle w:val="Heading1"/>
      </w:pPr>
      <w:r>
        <w:t>Anexo B. Lean Canvas — esquema visual de nueve bloques</w:t>
      </w:r>
    </w:p>
    <w:p>
      <w:r>
        <w:t>Síntesis del modelo empresarial. Los bloques reúnen la propuesta comercial y distinguen las capacidades previstas de las hipótesis que siguen pendientes de validación.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871"/>
            <w:vMerge w:val="restart"/>
            <w:vAlign w:val="top"/>
            <w:shd w:fill="EDF5F2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PROBLEMA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Nematodos y patógenos reducen vigor y pueden comprometer la cosecha.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Necesidad de plantines injertados confiables, con variedad y fecha acordadas.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Alternativas: almácigo propio o viveros externos; falta validar brechas de servicio.</w:t>
            </w:r>
          </w:p>
        </w:tc>
        <w:tc>
          <w:tcPr>
            <w:tcW w:type="dxa" w:w="1871"/>
            <w:vAlign w:val="top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SOLUCIÓN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Inicio: plantines de tomate injertado por encargo, con control de calidad y trazabilidad.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Servicio sanitario: muestreo, diagnóstico y manejo pretrasplante, según capacidad técnica.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Programa integrado; mezcla de orujos sólo después de validación experimental.</w:t>
            </w:r>
          </w:p>
        </w:tc>
        <w:tc>
          <w:tcPr>
            <w:tcW w:type="dxa" w:w="1871"/>
            <w:vMerge w:val="restart"/>
            <w:vAlign w:val="top"/>
            <w:shd w:fill="EDF5F2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PROPUESTA ÚNICA DE VALOR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Plantines injertados para horticultura protegida de Patagonia Norte, producidos por pedido y entregados según trasplante.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Acompañamiento y registro técnico para reducir incertidumbre de abastecimiento.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Integración futura del manejo de suelo, condicionada a resultados.</w:t>
            </w:r>
          </w:p>
        </w:tc>
        <w:tc>
          <w:tcPr>
            <w:tcW w:type="dxa" w:w="1871"/>
            <w:vAlign w:val="top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VENTAJA DIFÍCIL DE COPIAR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A construir, no existente: protocolos propios contrastados en condiciones regionales.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Historial de calidad, lotes, respuesta sanitaria y resultados del cliente.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Recompra, confiabilidad y vínculos técnicos sostenidos; no prometer exclusividad.</w:t>
            </w:r>
          </w:p>
        </w:tc>
        <w:tc>
          <w:tcPr>
            <w:tcW w:type="dxa" w:w="1871"/>
            <w:vMerge w:val="restart"/>
            <w:vAlign w:val="top"/>
            <w:shd w:fill="EDF5F2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SEGMENTOS DE CLIENTES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Productores comerciales bajo cubierta de tomate en Río Negro y Neuquén.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Posteriormente, productores de pimiento y berenjena.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Primeros adoptantes: quienes compran plantines o sufren presión sanitaria; volumen aún por validar.</w:t>
            </w: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1871"/>
            <w:vAlign w:val="top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MÉTRICAS CLAVE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Reservas efectivas y tasa de conversión a compra.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Prendimiento/supervivencia y costo por plantín vendible.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Entregas en fecha, reclamos y recompra.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En pilotos sanitarios: eficacia, costo/m² y desempeño del cultivo.</w:t>
            </w:r>
          </w:p>
        </w:tc>
        <w:tc>
          <w:tcPr>
            <w:tcW w:type="dxa" w:w="1871"/>
            <w:vMerge/>
          </w:tcPr>
          <w:p/>
        </w:tc>
        <w:tc>
          <w:tcPr>
            <w:tcW w:type="dxa" w:w="1871"/>
            <w:vAlign w:val="top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CANALES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Prospección y venta directa B2B; pedidos programados con reserva.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Asesores agronómicos y agronomías como posibles prescriptores.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Entrega logística coordinada y seguimiento posventa.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Ensayos demostrativos para generar confianza; acuerdos aún no confirmados.</w:t>
            </w:r>
          </w:p>
        </w:tc>
        <w:tc>
          <w:tcPr>
            <w:tcW w:type="dxa" w:w="1871"/>
            <w:vMerge/>
          </w:tcPr>
          <w:p/>
        </w:tc>
      </w:tr>
      <w:tr>
        <w:trPr>
          <w:cantSplit/>
        </w:trPr>
        <w:tc>
          <w:tcPr>
            <w:tcW w:type="dxa" w:w="5613"/>
            <w:gridSpan w:val="3"/>
            <w:vAlign w:val="top"/>
            <w:shd w:fill="EDF5F2"/>
            <w:shd w:fill="EDF5F2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ESTRUCTURA DE COSTOS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Inversión: acondicionamiento, cámara de cicatrización, herramientas y equipos.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Producción: semillas, patrones, clips, sustrato, bandejas, merma y personal.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Estructura: alquiler, servicios, administración, comercialización y flete.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Sanidad: laboratorio, materiales, técnicos y capital de trabajo.</w:t>
            </w:r>
          </w:p>
        </w:tc>
        <w:tc>
          <w:tcPr>
            <w:tcW w:type="dxa" w:w="3742"/>
            <w:gridSpan w:val="2"/>
            <w:vAlign w:val="top"/>
            <w:shd w:fill="EDF5F2"/>
            <w:shd w:fill="EDF5F2"/>
          </w:tcPr>
          <w:p>
            <w:pPr>
              <w:spacing w:after="60"/>
            </w:pPr>
            <w:r/>
            <w:r>
              <w:rPr>
                <w:b/>
                <w:color w:val="00584D"/>
                <w:sz w:val="16"/>
              </w:rPr>
              <w:t>FUENTES DE INGRESOS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Plantines injertados por unidad entregada; opción de semilla aportada por cliente a cotizar.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Diagnóstico sanitario por lote/visita cuando esté operativo.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Tratamiento por m² y programa integral suelo + plantín + seguimiento sólo con protocolo habilitado y validado.</w:t>
            </w:r>
          </w:p>
          <w:p>
            <w:pPr>
              <w:spacing w:after="40" w:line="252" w:lineRule="auto"/>
            </w:pPr>
            <w:r>
              <w:rPr>
                <w:sz w:val="15"/>
              </w:rPr>
              <w:t>• Precios y volúmenes: hipótesis, no ventas confirmadas.</w:t>
            </w:r>
          </w:p>
        </w:tc>
      </w:tr>
    </w:tbl>
    <w:p>
      <w:pPr>
        <w:pStyle w:val="Heading1"/>
      </w:pPr>
      <w:r>
        <w:t>Fuentes documentales principales (preservadas de la 2.4)</w:t>
      </w:r>
    </w:p>
    <w:p>
      <w:pPr>
        <w:spacing w:after="40"/>
      </w:pPr>
      <w:r>
        <w:rPr>
          <w:sz w:val="16"/>
        </w:rPr>
        <w:t xml:space="preserve">[S1] Gobierno de Río Negro. Río Negro produce hortalizas con identidad y diversificación. 07/05/2026. </w:t>
      </w:r>
      <w:hyperlink r:id="rId10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[S2] Gobierno de Río Negro. Río Negro refuerza la prevención sanitaria en invernaderos hortícolas. 23/12/2025. </w:t>
      </w:r>
      <w:hyperlink r:id="rId11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>[S4] Diario Río Negro. Stefenelli, el agricultor: recuerdo de la escuela audaz que se convirtió en semillero. 25/01/2026 (act. 16/04/2026).</w:t>
      </w:r>
    </w:p>
    <w:p>
      <w:pPr>
        <w:spacing w:after="40"/>
      </w:pPr>
      <w:r>
        <w:rPr>
          <w:sz w:val="16"/>
        </w:rPr>
        <w:t xml:space="preserve">[S5] INTA / Argentina.gob.ar. Con injertos, el cultivo de tomate rinde hasta un 58 % más. 22/08/2019. </w:t>
      </w:r>
      <w:hyperlink r:id="rId13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[S6] Tecnoflor. Productos y servicios — especies injertadas y polos de comercialización publicados. Consulta 17/09/2026. </w:t>
      </w:r>
      <w:hyperlink r:id="rId14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[S7] Proplanta. Injertos hortícolas. Consulta 17/09/2026. </w:t>
      </w:r>
      <w:hyperlink r:id="rId15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[S8] Proplanta. Tecnología / distribución nacional. Consulta 17/09/2026. </w:t>
      </w:r>
      <w:hyperlink r:id="rId16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[S9] Brest &amp; Brest SRL. Despacho de plantines injertados hacia Neuquén y Río Negro. Publicación comercial, agosto de 2026. No informa volumen, precio ni frecuencia. </w:t>
      </w:r>
      <w:hyperlink r:id="rId17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[S10] Bayer / Seminis. Maxifort — portainjerto para tomate y berenjena. Consulta 17/09/2026. </w:t>
      </w:r>
      <w:hyperlink r:id="rId18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[S11] Syngenta Vegetables Argentina. Robusto — portainjerto para pimiento. Consulta 17/09/2026. </w:t>
      </w:r>
      <w:hyperlink r:id="rId19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[S12] INTA. Manual de producción integrada de las principales especies hortícolas de Argentina. 2025. Capítulo de protección vegetal y manejo de nematodos. </w:t>
      </w:r>
      <w:hyperlink r:id="rId20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>[S13] Mitidieri, M. et al. Calidad del suelo y sanidad de cultivo después de quince años de biosolarización. 40° Congreso Argentino de Horticultura, 2018.</w:t>
      </w:r>
    </w:p>
    <w:p>
      <w:pPr>
        <w:spacing w:after="40"/>
      </w:pPr>
      <w:r>
        <w:rPr>
          <w:sz w:val="16"/>
        </w:rPr>
        <w:t xml:space="preserve">[S14] Bucki, P. Aptitud de la solarización para incrementar la temperatura del suelo en campo e invernadero en el Alto Valle de Río Negro y Neuquén. 1999. </w:t>
      </w:r>
      <w:hyperlink r:id="rId21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[S15] SINAVIMO / SENASA. Ficha técnica de Meloidogyne incognita. Consulta 24/09/2026. </w:t>
      </w:r>
      <w:hyperlink r:id="rId22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[S16] Gobierno de Río Negro. Río Negro transforma el orujo de manzana en oportunidad productiva. 2025. </w:t>
      </w:r>
      <w:hyperlink r:id="rId23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[S17] Joseph, D.; Leslie, A.; Vollmer, K.; Hooks, C. — University of Maryland. Evaluating Biosolarization, Cover Cropping and Strip Tillage as an Integrated Pest Management Tool in Eggplant. Consulta 24/09/2026. </w:t>
      </w:r>
      <w:hyperlink r:id="rId24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[S18] Achmon, Y. et al. Assessment of tomato and wine processing solid wastes as soil amendments for biosolarization. Waste Management, 2016. </w:t>
      </w:r>
      <w:hyperlink r:id="rId25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[S19] LMNeuquén (datos INV). Patagonia Norte, a la cabeza de la pérdida de viñedos a nivel nacional. 27/05/2025. </w:t>
      </w:r>
      <w:hyperlink r:id="rId26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>[S20] López-Astorga, M. et al. Orujo de uva: más que un residuo, una fuente de compuestos bioactivos. Revista Biotecnia / SciELO, 2022.</w:t>
      </w:r>
    </w:p>
    <w:p>
      <w:pPr>
        <w:spacing w:after="40"/>
      </w:pPr>
      <w:r>
        <w:rPr>
          <w:sz w:val="16"/>
        </w:rPr>
        <w:t xml:space="preserve">[S21] Bichos de Campo. Más invernaderos y más concentración: el cinturón hortícola rionegrino triplicó su producción bajo cubierta en menos de una década. 10/05/2026. </w:t>
      </w:r>
      <w:hyperlink r:id="rId27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[S22] Neuquén Informa. Neuquén apuesta a incrementar su producción para abastecer el consumo local. 02/09/2024. </w:t>
      </w:r>
      <w:hyperlink r:id="rId28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[S23] ANR (datos INDEC). Datos definitivos Censo 2022: ¿cuántos habitantes hay en el departamento General Roca? 21/11/2023. </w:t>
      </w:r>
      <w:hyperlink r:id="rId29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[S24] COPADE Neuquén. Demografía y dinámica poblacional (Censo 2022). Consulta 25/09/2026. </w:t>
      </w:r>
      <w:hyperlink r:id="rId30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[S25] Argentina.gob.ar. Tomate: un fruto que supera las expectativas y promete un sostenido crecimiento. 22/08/2022. </w:t>
      </w:r>
      <w:hyperlink r:id="rId31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[S26] UNLP, Facultad de Ciencias Agrarias y Forestales. Trabajo final: Productividad de plantas injertadas de tomate (densidad, conducción a 2 y 4 ramas, costo del plantín injertado). </w:t>
      </w:r>
      <w:hyperlink r:id="rId32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[S29] Gobierno de la Provincia del Neuquén. “Las hortalizas de Centenario y Vista Alegre ganan terreno en las góndolas regionales”. 14/11/2025. </w:t>
      </w:r>
      <w:hyperlink r:id="rId33">
        <w:r>
          <w:rPr>
            <w:color w:val="0563C1"/>
          </w:rPr>
          <w:t>Enlace</w:t>
        </w:r>
      </w:hyperlink>
    </w:p>
    <w:p>
      <w:pPr>
        <w:spacing w:after="40"/>
      </w:pPr>
      <w:r>
        <w:rPr>
          <w:sz w:val="16"/>
        </w:rPr>
        <w:t xml:space="preserve">[S30] INTA Alto Valle. Ensilado y conservación de orujo de manzana para alimentación ganadera y enmiendas orgánicas. 2023.  [S31] De Ruiter / Bayer Vegetables. Ficha técnica de portainjerto Maxifort F1 para solanáceas. Consulta 2026. </w:t>
      </w:r>
      <w:hyperlink r:id="rId34">
        <w:r>
          <w:rPr>
            <w:color w:val="0563C1"/>
          </w:rPr>
          <w:t>Enlace</w:t>
        </w:r>
      </w:hyperlink>
    </w:p>
    <w:p>
      <w:r>
        <w:t>Nota de alcance: las fuentes institucionales respaldan contexto, tecnología y oferta declarada; ninguna acredita, por sí sola, cuota de mercado, disposición de compra o costos actuales de la startup.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UTN FRBA · Sistemas de Gestión · Proyecto de inversión · Revisión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53B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53B4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53B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ionegro.gov.ar/articulo/59060/rio-negro-produce-hortalizas-con-identidad-y-diversificacion" TargetMode="External"/><Relationship Id="rId11" Type="http://schemas.openxmlformats.org/officeDocument/2006/relationships/hyperlink" Target="https://rionegro.gov.ar/articulo/57202/rio-negro-refuerza-la-prevencion-sanitaria-en-invernaderos-horticolas" TargetMode="External"/><Relationship Id="rId12" Type="http://schemas.openxmlformats.org/officeDocument/2006/relationships/hyperlink" Target="https://www.rionegro.com.ar/plantines-desde-allen-para-toda-la-region-2080676/" TargetMode="External"/><Relationship Id="rId13" Type="http://schemas.openxmlformats.org/officeDocument/2006/relationships/hyperlink" Target="https://www.argentina.gob.ar/noticias/con-injertos-el-cultivo-de-tomate-rinde-hasta-un-58-mas" TargetMode="External"/><Relationship Id="rId14" Type="http://schemas.openxmlformats.org/officeDocument/2006/relationships/hyperlink" Target="https://tecnoflor.com.ar/productos-y-servicios-b/" TargetMode="External"/><Relationship Id="rId15" Type="http://schemas.openxmlformats.org/officeDocument/2006/relationships/hyperlink" Target="https://www.proplanta-sa.com.ar/injertos/" TargetMode="External"/><Relationship Id="rId16" Type="http://schemas.openxmlformats.org/officeDocument/2006/relationships/hyperlink" Target="https://www.proplanta-sa.com.ar/tecnologia/" TargetMode="External"/><Relationship Id="rId17" Type="http://schemas.openxmlformats.org/officeDocument/2006/relationships/hyperlink" Target="https://www.facebook.com/brestybrestsrl/videos/1593619305587357/" TargetMode="External"/><Relationship Id="rId18" Type="http://schemas.openxmlformats.org/officeDocument/2006/relationships/hyperlink" Target="https://www.vegetables.bayer.com/cl/es-cl/productos/sandia/details.html/rootstock_maxifort_argentina_seminis_fresh_market_open_field_fresh_market_all.html" TargetMode="External"/><Relationship Id="rId19" Type="http://schemas.openxmlformats.org/officeDocument/2006/relationships/hyperlink" Target="https://www.syngentavegetables.com/es-ar/product/seed/pimiento/robusto" TargetMode="External"/><Relationship Id="rId20" Type="http://schemas.openxmlformats.org/officeDocument/2006/relationships/hyperlink" Target="https://repositorio.inta.gob.ar/xmlui/handle/20.500.12123/22538" TargetMode="External"/><Relationship Id="rId21" Type="http://schemas.openxmlformats.org/officeDocument/2006/relationships/hyperlink" Target="https://repositoriosdigitales.mincyt.gob.ar/vufind/Record/SEDICI_af3943cec8f1a27e6c2e30cf4f7ac0c8" TargetMode="External"/><Relationship Id="rId22" Type="http://schemas.openxmlformats.org/officeDocument/2006/relationships/hyperlink" Target="https://www.sinavimo.gob.ar/plaga/meloidogyne-incognita" TargetMode="External"/><Relationship Id="rId23" Type="http://schemas.openxmlformats.org/officeDocument/2006/relationships/hyperlink" Target="https://rionegro.gov.ar/articulo/55003/rio-negro-transforma-el-orujo-de-manzana-en-oportunidad-productiva" TargetMode="External"/><Relationship Id="rId24" Type="http://schemas.openxmlformats.org/officeDocument/2006/relationships/hyperlink" Target="https://agnr.umd.edu/evaluating-biosolarization-cover-cropping-and-strip-tillage-integrated-pest-management-tool" TargetMode="External"/><Relationship Id="rId25" Type="http://schemas.openxmlformats.org/officeDocument/2006/relationships/hyperlink" Target="https://pubmed.ncbi.nlm.nih.gov/26525530/" TargetMode="External"/><Relationship Id="rId26" Type="http://schemas.openxmlformats.org/officeDocument/2006/relationships/hyperlink" Target="https://masp.lmneuquen.com/vitivinicultura/patagonia-norte-la-cabeza-la-perdida-vinedos-nivel-nacional-n1192286" TargetMode="External"/><Relationship Id="rId27" Type="http://schemas.openxmlformats.org/officeDocument/2006/relationships/hyperlink" Target="https://bichosdecampo.com/mas-invernaderos-y-mas-concentracion-sin-sumar-demasiados-jugadores-nuevos-el-cinturon-horticola-rionegrino-triplico-su-produccion-bajo-cubierta-en-menos-de-una-decada-y-abre-interrogantes-sobre-su/" TargetMode="External"/><Relationship Id="rId28" Type="http://schemas.openxmlformats.org/officeDocument/2006/relationships/hyperlink" Target="https://www.neuqueninforma.gob.ar/noticias/2024/09/02/242687-neuquen-apuesta-a-incrementar-su-produccion-para-abastecer-el-consumo-local" TargetMode="External"/><Relationship Id="rId29" Type="http://schemas.openxmlformats.org/officeDocument/2006/relationships/hyperlink" Target="https://www.anroca.com.ar/noticias/2023/11/21/152881-datos-definitivos-censo-2022-cuantos-habitantes-hay-en-el-departamento-general-roca" TargetMode="External"/><Relationship Id="rId30" Type="http://schemas.openxmlformats.org/officeDocument/2006/relationships/hyperlink" Target="https://www.copade.gob.ar/demografia-y-dinamica-poblacional/" TargetMode="External"/><Relationship Id="rId31" Type="http://schemas.openxmlformats.org/officeDocument/2006/relationships/hyperlink" Target="https://www.argentina.gob.ar/noticias/tomate-un-fruto-que-supera-las-expectativas-y-promete-un-sostenido-crecimiento" TargetMode="External"/><Relationship Id="rId32" Type="http://schemas.openxmlformats.org/officeDocument/2006/relationships/hyperlink" Target="http://sedici.unlp.edu.ar/bitstream/handle/10915/63581/Documento_completo.pdf?sequence=1" TargetMode="External"/><Relationship Id="rId33" Type="http://schemas.openxmlformats.org/officeDocument/2006/relationships/hyperlink" Target="https://www.neuqueninforma.gob.ar/amp/noticias/2025/11/14/252511-las-hortalizas-de-centenario-y-vista-alegre-ganan-terreno-en-las-gondolas-regionales" TargetMode="External"/><Relationship Id="rId34" Type="http://schemas.openxmlformats.org/officeDocument/2006/relationships/hyperlink" Target="https://www.vegetables.bayer.com/is/es-es/productos/catalogo/details.html/rootstock_maxifort_argentina_seminis_fresh_market_open_field_fresh_market_al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