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5EBC3406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Джақсыбаевой</w:t>
      </w:r>
      <w:proofErr w:type="spellEnd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Даны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Смаиловны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EBE551B" w14:textId="542CFA80" w:rsidR="008E48D3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тел:87011018617</w:t>
      </w:r>
    </w:p>
    <w:p w14:paraId="5C92EA5F" w14:textId="7CADF2AE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8440548" w14:textId="0B0854BA" w:rsidR="007C37D7" w:rsidRDefault="007C37D7" w:rsidP="007C37D7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C72CD">
        <w:rPr>
          <w:rFonts w:ascii="Times New Roman" w:hAnsi="Times New Roman" w:cs="Times New Roman"/>
          <w:b/>
          <w:sz w:val="24"/>
          <w:szCs w:val="24"/>
        </w:rPr>
        <w:t>Представитель истца:</w:t>
      </w:r>
    </w:p>
    <w:p w14:paraId="5D07DD96" w14:textId="70DE7715" w:rsidR="007C37D7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ТОО «Ю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РИДИЧЕСКАЯ КОМПАНИЯ ЗАНДОС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58717B3C" w14:textId="77777777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Адрес: Казахстан, Алматы,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улица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дом 180 </w:t>
      </w:r>
    </w:p>
    <w:p w14:paraId="0C1010A4" w14:textId="5851E2AA" w:rsidR="00425A42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БИН: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250140011970 Банк: АО "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Kaspi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Bank" 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КБе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17 БИК: CASPKZKA Номер счёта: KZ65722S000042972097</w:t>
      </w: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11BA400B" w:rsidR="00CD4E76" w:rsidRPr="00293E2E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: </w:t>
      </w:r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343655DA" w:rsidR="007A42A4" w:rsidRPr="00293E2E" w:rsidRDefault="001614C0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: </w:t>
      </w:r>
      <w:proofErr w:type="spellStart"/>
      <w:r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</w:p>
    <w:p w14:paraId="75BA6CD7" w14:textId="0F7F047E" w:rsidR="006E3E96" w:rsidRPr="00293E2E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D4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ИИН</w:t>
      </w:r>
      <w:r w:rsidRPr="00293E2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proofErr w:type="spellStart"/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293E2E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4FE9ECE8" w14:textId="77777777" w:rsidR="008E48D3" w:rsidRPr="00293E2E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val="en-US" w:eastAsia="ru-RU"/>
        </w:rPr>
      </w:pPr>
    </w:p>
    <w:p w14:paraId="5C3272B2" w14:textId="7010D4C7" w:rsidR="008E48D3" w:rsidRPr="006D0E8A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val="en-US"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</w:t>
      </w:r>
      <w:r w:rsidRPr="006D0E8A">
        <w:rPr>
          <w:rFonts w:ascii="Times New Roman" w:eastAsia="Times New Roman" w:hAnsi="Times New Roman" w:cs="Times New Roman"/>
          <w:i/>
          <w:lang w:val="en-US"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i/>
          <w:lang w:eastAsia="ru-RU"/>
        </w:rPr>
        <w:t>иска</w:t>
      </w:r>
      <w:r w:rsidR="008E48D3" w:rsidRPr="006D0E8A">
        <w:rPr>
          <w:rFonts w:ascii="Times New Roman" w:eastAsia="Times New Roman" w:hAnsi="Times New Roman" w:cs="Times New Roman"/>
          <w:i/>
          <w:lang w:val="en-US" w:eastAsia="ru-RU"/>
        </w:rPr>
        <w:t xml:space="preserve"> – </w:t>
      </w:r>
      <w:proofErr w:type="spellStart"/>
      <w:r w:rsidR="00DB2EB8" w:rsidRPr="00DB2EB8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notarial_plus_mainsumma</w:t>
      </w:r>
      <w:proofErr w:type="spellEnd"/>
    </w:p>
    <w:p w14:paraId="1666FE84" w14:textId="6A82E4E3" w:rsidR="008E48D3" w:rsidRPr="006D0E8A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val="en-US" w:eastAsia="ru-RU"/>
        </w:rPr>
      </w:pPr>
    </w:p>
    <w:p w14:paraId="3A93D72B" w14:textId="77777777" w:rsidR="006E3E96" w:rsidRPr="006D0E8A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val="en-US"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C058685" w:rsidR="008E48D3" w:rsidRDefault="001614C0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на сумму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1614C0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3EA1CB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</w:t>
      </w:r>
      <w:proofErr w:type="gramStart"/>
      <w:r w:rsidRPr="00C83917">
        <w:rPr>
          <w:rFonts w:ascii="Times New Roman" w:eastAsia="Times New Roman" w:hAnsi="Times New Roman" w:cs="Times New Roman"/>
          <w:lang w:eastAsia="ru-RU"/>
        </w:rPr>
        <w:t>Истец</w:t>
      </w:r>
      <w:proofErr w:type="gramEnd"/>
      <w:r w:rsidRPr="00C83917">
        <w:rPr>
          <w:rFonts w:ascii="Times New Roman" w:eastAsia="Times New Roman" w:hAnsi="Times New Roman" w:cs="Times New Roman"/>
          <w:lang w:eastAsia="ru-RU"/>
        </w:rPr>
        <w:t xml:space="preserve">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действий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119743A1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="001614C0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года задолженность Ответчика перед Истцом по Договору микрокредита составляет: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79822A2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541D0CD5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151EA7EE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1A50E989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  <w:proofErr w:type="spellEnd"/>
    </w:p>
    <w:p w14:paraId="6DD8C80D" w14:textId="532C3093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>на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электронный адрес ответчика была направлен</w:t>
      </w:r>
      <w:r w:rsidR="00286215">
        <w:rPr>
          <w:rFonts w:ascii="Times New Roman" w:eastAsia="Times New Roman" w:hAnsi="Times New Roman" w:cs="Times New Roman"/>
          <w:u w:val="single"/>
          <w:lang w:eastAsia="ru-RU"/>
        </w:rPr>
        <w:t>о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уведомление о наличии не исполнения обязательств (</w:t>
      </w:r>
      <w:r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Досудебная претензия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)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, </w:t>
      </w:r>
      <w:r w:rsidR="007C37D7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DEECDF1" w:rsidR="008E48D3" w:rsidRPr="00D917CE" w:rsidRDefault="005D3DA9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5D3DA9">
        <w:rPr>
          <w:rFonts w:ascii="Times New Roman" w:eastAsia="Times New Roman" w:hAnsi="Times New Roman" w:cs="Times New Roman"/>
          <w:lang w:eastAsia="ru-RU"/>
        </w:rPr>
        <w:t>По правилам статей 109,113 ГПК подлежат взысканию с ответчика в пользу истца сумма государственной пошлины в размере, расходы по оплате помощи представителя по имущественным требованиям общая сумма этих расходов не должна превышать десять процентов от удовлетворенной части иска.</w:t>
      </w: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 xml:space="preserve">На основании вышеизложенного, и руководствуясь ст. ст. 272, 273, 722 ГК РК, ст. ст. 151 - </w:t>
      </w:r>
      <w:proofErr w:type="gramStart"/>
      <w:r w:rsidRPr="00D917CE">
        <w:rPr>
          <w:rFonts w:ascii="Times New Roman" w:eastAsia="Times New Roman" w:hAnsi="Times New Roman" w:cs="Times New Roman"/>
          <w:lang w:eastAsia="ru-RU"/>
        </w:rPr>
        <w:t>153  ГПК</w:t>
      </w:r>
      <w:proofErr w:type="gramEnd"/>
      <w:r w:rsidRPr="00D917CE">
        <w:rPr>
          <w:rFonts w:ascii="Times New Roman" w:eastAsia="Times New Roman" w:hAnsi="Times New Roman" w:cs="Times New Roman"/>
          <w:lang w:eastAsia="ru-RU"/>
        </w:rPr>
        <w:t xml:space="preserve">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704ECE65" w:rsidR="00F91B99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1614C0" w:rsidRPr="001614C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D917CE">
        <w:rPr>
          <w:rFonts w:ascii="Times New Roman" w:eastAsia="Times New Roman" w:hAnsi="Times New Roman" w:cs="Times New Roman"/>
          <w:b/>
          <w:lang w:eastAsia="ru-RU"/>
        </w:rPr>
        <w:t xml:space="preserve">, </w:t>
      </w:r>
    </w:p>
    <w:p w14:paraId="3063AD6C" w14:textId="66D433AD" w:rsidR="008E48D3" w:rsidRPr="00D917C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из которых:</w:t>
      </w:r>
    </w:p>
    <w:p w14:paraId="03AE2356" w14:textId="273326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465ADF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A428E53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4968F317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1614C0" w:rsidRPr="001356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135618" w:rsidRPr="00135618">
        <w:rPr>
          <w:rFonts w:ascii="Times New Roman" w:eastAsia="Times New Roman" w:hAnsi="Times New Roman" w:cs="Times New Roman"/>
          <w:lang w:eastAsia="ru-RU"/>
        </w:rPr>
        <w:t>-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5C65D353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1614C0"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94F04F" w14:textId="24F4BF91" w:rsidR="00DE12E9" w:rsidRDefault="00DE12E9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Взыскать </w:t>
      </w:r>
      <w:r w:rsidR="007C37D7">
        <w:rPr>
          <w:rFonts w:ascii="Times New Roman" w:eastAsia="Times New Roman" w:hAnsi="Times New Roman" w:cs="Times New Roman"/>
          <w:lang w:eastAsia="ru-RU"/>
        </w:rPr>
        <w:t xml:space="preserve">в пользу </w:t>
      </w:r>
      <w:r w:rsidR="007C37D7" w:rsidRPr="00D917CE">
        <w:rPr>
          <w:rFonts w:ascii="Times New Roman" w:eastAsia="Times New Roman" w:hAnsi="Times New Roman" w:cs="Times New Roman"/>
          <w:lang w:eastAsia="ru-RU"/>
        </w:rPr>
        <w:t xml:space="preserve">Товарищества с ограниченной ответственностью «Микрофинансовая организация </w:t>
      </w:r>
      <w:proofErr w:type="spellStart"/>
      <w:r w:rsidR="007C37D7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7C37D7">
        <w:rPr>
          <w:rFonts w:ascii="Times New Roman" w:eastAsia="Times New Roman" w:hAnsi="Times New Roman" w:cs="Times New Roman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lang w:eastAsia="ru-RU"/>
        </w:rPr>
        <w:t xml:space="preserve">расходы по оплате представительских услуг в размере </w:t>
      </w:r>
      <w:r w:rsidR="00FC6339" w:rsidRPr="00FC6339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4031ECD9" w14:textId="272DACE6" w:rsidR="002324D8" w:rsidRDefault="002324D8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Платежное поручение.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3130E95D" w14:textId="4085B399" w:rsidR="00B52E25" w:rsidRPr="00293E2E" w:rsidRDefault="00B52E25" w:rsidP="00293E2E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1D593394" w14:textId="6246EA48" w:rsidR="00425A42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Приказ о назначении Директора;</w:t>
      </w:r>
    </w:p>
    <w:p w14:paraId="5596AB77" w14:textId="56ABFD8E" w:rsidR="005D3DA9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Договор на оказание юридических услуг.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0D81169E" w:rsidR="008E48D3" w:rsidRPr="00135618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Директор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lang w:eastAsia="ru-RU"/>
        </w:rPr>
        <w:t>Джақсыбаева</w:t>
      </w:r>
      <w:proofErr w:type="spellEnd"/>
      <w:r w:rsidR="005D3DA9">
        <w:rPr>
          <w:rFonts w:ascii="Times New Roman" w:eastAsia="Times New Roman" w:hAnsi="Times New Roman" w:cs="Times New Roman"/>
          <w:b/>
          <w:lang w:eastAsia="ru-RU"/>
        </w:rPr>
        <w:t xml:space="preserve"> Д.С.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83B69" w14:textId="77777777" w:rsidR="00C20D49" w:rsidRDefault="00C20D49">
      <w:pPr>
        <w:spacing w:after="0" w:line="240" w:lineRule="auto"/>
      </w:pPr>
      <w:r>
        <w:separator/>
      </w:r>
    </w:p>
  </w:endnote>
  <w:endnote w:type="continuationSeparator" w:id="0">
    <w:p w14:paraId="0EA53815" w14:textId="77777777" w:rsidR="00C20D49" w:rsidRDefault="00C2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A2F9" w14:textId="04E47229" w:rsidR="00682FA1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86215">
      <w:rPr>
        <w:noProof/>
      </w:rPr>
      <w:t>3</w:t>
    </w:r>
    <w:r>
      <w:fldChar w:fldCharType="end"/>
    </w:r>
  </w:p>
  <w:p w14:paraId="0809F337" w14:textId="77777777" w:rsidR="00682FA1" w:rsidRDefault="00C20D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1BCC" w14:textId="77777777" w:rsidR="00C20D49" w:rsidRDefault="00C20D49">
      <w:pPr>
        <w:spacing w:after="0" w:line="240" w:lineRule="auto"/>
      </w:pPr>
      <w:r>
        <w:separator/>
      </w:r>
    </w:p>
  </w:footnote>
  <w:footnote w:type="continuationSeparator" w:id="0">
    <w:p w14:paraId="189B7765" w14:textId="77777777" w:rsidR="00C20D49" w:rsidRDefault="00C2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02140"/>
    <w:rsid w:val="00027A4C"/>
    <w:rsid w:val="00033A7E"/>
    <w:rsid w:val="000D24B9"/>
    <w:rsid w:val="00106C34"/>
    <w:rsid w:val="00135618"/>
    <w:rsid w:val="0015794F"/>
    <w:rsid w:val="001614C0"/>
    <w:rsid w:val="001873AB"/>
    <w:rsid w:val="001C5EFE"/>
    <w:rsid w:val="001D37E1"/>
    <w:rsid w:val="002324D8"/>
    <w:rsid w:val="00273847"/>
    <w:rsid w:val="00286215"/>
    <w:rsid w:val="00293E2E"/>
    <w:rsid w:val="0030427F"/>
    <w:rsid w:val="0034373F"/>
    <w:rsid w:val="003F51A4"/>
    <w:rsid w:val="00425A42"/>
    <w:rsid w:val="004C05EA"/>
    <w:rsid w:val="005B28E3"/>
    <w:rsid w:val="005D3DA9"/>
    <w:rsid w:val="006777A5"/>
    <w:rsid w:val="006A565C"/>
    <w:rsid w:val="006D0E8A"/>
    <w:rsid w:val="006E3E96"/>
    <w:rsid w:val="00750664"/>
    <w:rsid w:val="007A42A4"/>
    <w:rsid w:val="007A4B19"/>
    <w:rsid w:val="007C37D7"/>
    <w:rsid w:val="007C5DC1"/>
    <w:rsid w:val="008267CF"/>
    <w:rsid w:val="008E48D3"/>
    <w:rsid w:val="00916D4A"/>
    <w:rsid w:val="00A940E8"/>
    <w:rsid w:val="00A95CAC"/>
    <w:rsid w:val="00AC1EF4"/>
    <w:rsid w:val="00AC2D5B"/>
    <w:rsid w:val="00B37532"/>
    <w:rsid w:val="00B52E25"/>
    <w:rsid w:val="00BE2E1F"/>
    <w:rsid w:val="00C20D49"/>
    <w:rsid w:val="00C83917"/>
    <w:rsid w:val="00CD4E76"/>
    <w:rsid w:val="00D764F5"/>
    <w:rsid w:val="00D917CE"/>
    <w:rsid w:val="00DB2EB8"/>
    <w:rsid w:val="00DE12E9"/>
    <w:rsid w:val="00EE2490"/>
    <w:rsid w:val="00F65361"/>
    <w:rsid w:val="00F85805"/>
    <w:rsid w:val="00F91B99"/>
    <w:rsid w:val="00FC6339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erkezhan darkenbayeva</cp:lastModifiedBy>
  <cp:revision>14</cp:revision>
  <cp:lastPrinted>2022-02-11T07:57:00Z</cp:lastPrinted>
  <dcterms:created xsi:type="dcterms:W3CDTF">2023-02-21T11:01:00Z</dcterms:created>
  <dcterms:modified xsi:type="dcterms:W3CDTF">2025-04-10T16:27:00Z</dcterms:modified>
</cp:coreProperties>
</file>