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2816"/>
      </w:tblGrid>
      <w:tr>
        <w:tc>
          <w:tcPr>
            <w:tcW w:type="dxa" w:w="7625"/>
            <w:shd w:fill="D4000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ZABBIX</w:t>
            </w:r>
          </w:p>
        </w:tc>
        <w:tc>
          <w:tcPr>
            <w:tcW w:type="dxa" w:w="7625"/>
            <w:shd w:fill="15364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DOCUMENTO DE APRESENTAÇÃO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rFonts w:ascii="Arial" w:hAnsi="Arial"/>
          <w:b/>
          <w:color w:val="15364A"/>
          <w:sz w:val="52"/>
        </w:rPr>
        <w:t>Solução Integrada de Gestão de Plantão NOC/SOC no Zabbix</w:t>
      </w:r>
    </w:p>
    <w:p>
      <w:pPr>
        <w:spacing w:after="120"/>
      </w:pPr>
      <w:r>
        <w:rPr>
          <w:rFonts w:ascii="Arial" w:hAnsi="Arial"/>
          <w:color w:val="5B6770"/>
          <w:sz w:val="23"/>
        </w:rPr>
        <w:t>Planejamento de escala, operação em tempo real e repasse estruturado em uma única jornada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7909560" cy="439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mon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4394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color w:val="1677B8"/>
                <w:sz w:val="15"/>
              </w:rPr>
              <w:t>Solução</w:t>
              <w:br/>
            </w:r>
            <w:r>
              <w:rPr>
                <w:rFonts w:ascii="Arial" w:hAnsi="Arial"/>
                <w:color w:val="1F2933"/>
                <w:sz w:val="17"/>
              </w:rPr>
              <w:t>Escala + Repasse + Dashboard NOC/SOC</w:t>
            </w:r>
          </w:p>
        </w:tc>
        <w:tc>
          <w:tcPr>
            <w:tcW w:type="dxa" w:w="5083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color w:val="1677B8"/>
                <w:sz w:val="15"/>
              </w:rPr>
              <w:t>Elaboração</w:t>
              <w:br/>
            </w:r>
            <w:r>
              <w:rPr>
                <w:rFonts w:ascii="Arial" w:hAnsi="Arial"/>
                <w:color w:val="1F2933"/>
                <w:sz w:val="17"/>
              </w:rPr>
              <w:t>Rafael M. A. Leão Ereno - MALE</w:t>
            </w:r>
          </w:p>
        </w:tc>
        <w:tc>
          <w:tcPr>
            <w:tcW w:type="dxa" w:w="5083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color w:val="1677B8"/>
                <w:sz w:val="15"/>
              </w:rPr>
              <w:t>Data</w:t>
              <w:br/>
            </w:r>
            <w:r>
              <w:rPr>
                <w:rFonts w:ascii="Arial" w:hAnsi="Arial"/>
                <w:color w:val="1F2933"/>
                <w:sz w:val="17"/>
              </w:rPr>
              <w:t>16/07/2026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CONTEXTO</w:t>
      </w:r>
    </w:p>
    <w:p>
      <w:pPr>
        <w:pStyle w:val="Heading1"/>
        <w:keepNext/>
        <w:pBdr>
          <w:bottom w:val="single" w:sz="8" w:space="4" w:color="D40000"/>
        </w:pBdr>
      </w:pPr>
      <w:r>
        <w:t>A solução em uma visão executiva</w:t>
      </w:r>
    </w:p>
    <w:p>
      <w:pPr>
        <w:spacing w:after="160"/>
      </w:pPr>
      <w:r>
        <w:rPr>
          <w:rFonts w:ascii="Arial" w:hAnsi="Arial"/>
          <w:color w:val="5B6770"/>
          <w:sz w:val="21"/>
        </w:rPr>
        <w:t>Três módulos especializados trabalham como uma solução única para organizar o ciclo completo do plantão: preparar a cobertura, operar os alertas e transferir o contexto do turno com rastreabilidade.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D40000"/>
                <w:sz w:val="20"/>
              </w:rPr>
              <w:t>1. Planejar</w:t>
              <w:br/>
            </w:r>
            <w:r>
              <w:rPr>
                <w:rFonts w:ascii="Arial" w:hAnsi="Arial"/>
                <w:color w:val="1F2933"/>
                <w:sz w:val="17"/>
              </w:rPr>
              <w:t>Escala mensal, técnico principal, reserva, telefones, importação e histórico de alterações.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1677B8"/>
                <w:sz w:val="20"/>
              </w:rPr>
              <w:t>2. Operar</w:t>
              <w:br/>
            </w:r>
            <w:r>
              <w:rPr>
                <w:rFonts w:ascii="Arial" w:hAnsi="Arial"/>
                <w:color w:val="1F2933"/>
                <w:sz w:val="17"/>
              </w:rPr>
              <w:t>Dashboard consolidado NOC/SOC, filtros, priorização por severidade, ACK, atualização e visão multi-servidor.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7B2CBF"/>
                <w:sz w:val="20"/>
              </w:rPr>
              <w:t>3. Repassar</w:t>
              <w:br/>
            </w:r>
            <w:r>
              <w:rPr>
                <w:rFonts w:ascii="Arial" w:hAnsi="Arial"/>
                <w:color w:val="1F2933"/>
                <w:sz w:val="17"/>
              </w:rPr>
              <w:t>KPIs do turno, MTTA, alertas herdados, pendências sem ACK, presença, diário de bordo e relatório PDF.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5020"/>
      </w:tblGrid>
      <w:tr>
        <w:tc>
          <w:tcPr>
            <w:tcW w:type="dxa" w:w="7625"/>
            <w:shd w:fill="2E7D3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625"/>
            <w:shd w:fill="EAF6E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Resultado esperado</w:t>
              <w:br/>
            </w:r>
            <w:r>
              <w:rPr>
                <w:rFonts w:ascii="Arial" w:hAnsi="Arial"/>
                <w:color w:val="1F2933"/>
                <w:sz w:val="17"/>
              </w:rPr>
              <w:t>Reduzir lacunas de cobertura, acelerar o reconhecimento de incidentes, dar visibilidade gerencial ao turno e garantir que o próximo plantonista receba informações completas e verificáveis.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VALOR</w:t>
      </w:r>
    </w:p>
    <w:p>
      <w:pPr>
        <w:pStyle w:val="Heading1"/>
        <w:keepNext/>
        <w:pBdr>
          <w:bottom w:val="single" w:sz="8" w:space="4" w:color="D40000"/>
        </w:pBdr>
      </w:pPr>
      <w:r>
        <w:t>Problemas operacionais que a solução endereça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D40000"/>
                <w:sz w:val="20"/>
              </w:rPr>
              <w:t>Escala dispersa</w:t>
              <w:br/>
            </w:r>
            <w:r>
              <w:rPr>
                <w:rFonts w:ascii="Arial" w:hAnsi="Arial"/>
                <w:color w:val="1F2933"/>
                <w:sz w:val="17"/>
              </w:rPr>
              <w:t>Planilhas e mensagens paralelas dificultam saber quem está responsável e quem é o reserva.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A66100"/>
                <w:sz w:val="20"/>
              </w:rPr>
              <w:t>Cobertura incompleta</w:t>
              <w:br/>
            </w:r>
            <w:r>
              <w:rPr>
                <w:rFonts w:ascii="Arial" w:hAnsi="Arial"/>
                <w:color w:val="1F2933"/>
                <w:sz w:val="17"/>
              </w:rPr>
              <w:t>Dias sem técnico escalado são identificados visualmente antes de virarem risco operacional.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1677B8"/>
                <w:sz w:val="20"/>
              </w:rPr>
              <w:t>Operação fragmentada</w:t>
              <w:br/>
            </w:r>
            <w:r>
              <w:rPr>
                <w:rFonts w:ascii="Arial" w:hAnsi="Arial"/>
                <w:color w:val="1F2933"/>
                <w:sz w:val="17"/>
              </w:rPr>
              <w:t>Múltiplas telas e servidores Zabbix tornam a priorização lenta e sujeita a perda de contexto.</w:t>
            </w:r>
          </w:p>
        </w:tc>
      </w:tr>
      <w:tr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7B2CBF"/>
                <w:sz w:val="20"/>
              </w:rPr>
              <w:t>ACK sem visibilidade</w:t>
              <w:br/>
            </w:r>
            <w:r>
              <w:rPr>
                <w:rFonts w:ascii="Arial" w:hAnsi="Arial"/>
                <w:color w:val="1F2933"/>
                <w:sz w:val="17"/>
              </w:rPr>
              <w:t>Eventos sem reconhecimento e MTTA elevado passam a ser destacados e mensurados.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2E7D32"/>
                <w:sz w:val="20"/>
              </w:rPr>
              <w:t>Repasse informal</w:t>
              <w:br/>
            </w:r>
            <w:r>
              <w:rPr>
                <w:rFonts w:ascii="Arial" w:hAnsi="Arial"/>
                <w:color w:val="1F2933"/>
                <w:sz w:val="17"/>
              </w:rPr>
              <w:t>Pendências e decisões ficam registradas em diário de bordo associado ao turno e ao analista.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15364A"/>
                <w:sz w:val="20"/>
              </w:rPr>
              <w:t>Baixa rastreabilidade</w:t>
              <w:br/>
            </w:r>
            <w:r>
              <w:rPr>
                <w:rFonts w:ascii="Arial" w:hAnsi="Arial"/>
                <w:color w:val="1F2933"/>
                <w:sz w:val="17"/>
              </w:rPr>
              <w:t>Histórico de escala, comentários, ACKs e relatórios fortalecem auditoria e governança.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COMPOSIÇÃO</w:t>
      </w:r>
    </w:p>
    <w:p>
      <w:pPr>
        <w:pStyle w:val="Heading1"/>
        <w:keepNext/>
        <w:pBdr>
          <w:bottom w:val="single" w:sz="8" w:space="4" w:color="D40000"/>
        </w:pBdr>
      </w:pPr>
      <w:r>
        <w:t>Arquitetura funcional da solução</w:t>
      </w:r>
    </w:p>
    <w:p>
      <w:pPr>
        <w:spacing w:after="160"/>
      </w:pPr>
      <w:r>
        <w:rPr>
          <w:rFonts w:ascii="Arial" w:hAnsi="Arial"/>
          <w:color w:val="5B6770"/>
          <w:sz w:val="21"/>
        </w:rPr>
        <w:t>Os módulos possuem responsabilidades próprias. Quando habilitados em conjunto, integram-se ao menu Plantão e formam uma jornada contínua dentro do frontend do Zabbix.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4320"/>
        <w:gridCol w:w="3024"/>
        <w:gridCol w:w="4896"/>
      </w:tblGrid>
      <w:tr>
        <w:trPr>
          <w:tblHeader w:val="true"/>
        </w:trPr>
        <w:tc>
          <w:tcPr>
            <w:tcW w:type="dxa" w:w="3812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812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Responsabilidade principal</w:t>
            </w:r>
          </w:p>
        </w:tc>
        <w:tc>
          <w:tcPr>
            <w:tcW w:type="dxa" w:w="3812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Usuário típico</w:t>
            </w:r>
          </w:p>
        </w:tc>
        <w:tc>
          <w:tcPr>
            <w:tcW w:type="dxa" w:w="3812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Principais entregas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Escala de Plantão</w:t>
            </w:r>
          </w:p>
        </w:tc>
        <w:tc>
          <w:tcPr>
            <w:tcW w:type="dxa" w:w="43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Planejamento e cadastro da cobertura</w:t>
            </w:r>
          </w:p>
        </w:tc>
        <w:tc>
          <w:tcPr>
            <w:tcW w:type="dxa" w:w="302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Coordenador, líder e plantonista</w:t>
            </w:r>
          </w:p>
        </w:tc>
        <w:tc>
          <w:tcPr>
            <w:tcW w:type="dxa" w:w="489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Visão Geral, calendário, reserva, telefones, CSV/XLSX e histórico</w:t>
            </w:r>
          </w:p>
        </w:tc>
      </w:tr>
      <w:tr>
        <w:trPr>
          <w:cantSplit/>
        </w:trPr>
        <w:tc>
          <w:tcPr>
            <w:tcW w:type="dxa" w:w="288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NOC/SOC Dashboard</w:t>
            </w:r>
          </w:p>
        </w:tc>
        <w:tc>
          <w:tcPr>
            <w:tcW w:type="dxa" w:w="43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Operação e tratamento em tempo real</w:t>
            </w:r>
          </w:p>
        </w:tc>
        <w:tc>
          <w:tcPr>
            <w:tcW w:type="dxa" w:w="302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Analista NOC/SOC</w:t>
            </w:r>
          </w:p>
        </w:tc>
        <w:tc>
          <w:tcPr>
            <w:tcW w:type="dxa" w:w="489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Consolidação multi-servidor, filtros, severidade, Update/ACK, mass update, CSV e wall mode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Repasse de Plantão</w:t>
            </w:r>
          </w:p>
        </w:tc>
        <w:tc>
          <w:tcPr>
            <w:tcW w:type="dxa" w:w="43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Consolidação e transferência do turno</w:t>
            </w:r>
          </w:p>
        </w:tc>
        <w:tc>
          <w:tcPr>
            <w:tcW w:type="dxa" w:w="302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Plantonista e liderança</w:t>
            </w:r>
          </w:p>
        </w:tc>
        <w:tc>
          <w:tcPr>
            <w:tcW w:type="dxa" w:w="489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KPIs, MTTA, heatmap, herdados, sem ACK, presença, diário e PDF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5020"/>
      </w:tblGrid>
      <w:tr>
        <w:tc>
          <w:tcPr>
            <w:tcW w:type="dxa" w:w="7625"/>
            <w:shd w:fill="1677B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625"/>
            <w:shd w:fill="EAF4FB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1677B8"/>
                <w:sz w:val="18"/>
              </w:rPr>
              <w:t>Integração sem perda de autonomia</w:t>
              <w:br/>
            </w:r>
            <w:r>
              <w:rPr>
                <w:rFonts w:ascii="Arial" w:hAnsi="Arial"/>
                <w:color w:val="1F2933"/>
                <w:sz w:val="17"/>
              </w:rPr>
              <w:t>Cada módulo pode cumprir sua função isoladamente. Na solução completa, o módulo de Escala estrutura o menu Plantão, enquanto Dashboard NOC/SOC e Repasse são apresentados como etapas complementares do mesmo processo.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PROCESSO</w:t>
      </w:r>
    </w:p>
    <w:p>
      <w:pPr>
        <w:pStyle w:val="Heading1"/>
        <w:keepNext/>
        <w:pBdr>
          <w:bottom w:val="single" w:sz="8" w:space="4" w:color="D40000"/>
        </w:pBdr>
      </w:pPr>
      <w:r>
        <w:t>Jornada operacional do plantonista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D40000"/>
                <w:sz w:val="20"/>
              </w:rPr>
              <w:t>Antes do plantão</w:t>
              <w:br/>
            </w:r>
            <w:r>
              <w:rPr>
                <w:rFonts w:ascii="Arial" w:hAnsi="Arial"/>
                <w:color w:val="1F2933"/>
                <w:sz w:val="17"/>
              </w:rPr>
              <w:t>Validar escala e cobertura; confirmar técnico, reserva e telefones; consultar o repasse anterior e os alertas herdados.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1677B8"/>
                <w:sz w:val="20"/>
              </w:rPr>
              <w:t>Durante o plantão</w:t>
              <w:br/>
            </w:r>
            <w:r>
              <w:rPr>
                <w:rFonts w:ascii="Arial" w:hAnsi="Arial"/>
                <w:color w:val="1F2933"/>
                <w:sz w:val="17"/>
              </w:rPr>
              <w:t>Manter o Dashboard NOC/SOC aberto; filtrar e priorizar; registrar ACK, comentários e ações; acompanhar MTTA e pendências.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2E7D32"/>
                <w:sz w:val="20"/>
              </w:rPr>
              <w:t>Encerramento</w:t>
              <w:br/>
            </w:r>
            <w:r>
              <w:rPr>
                <w:rFonts w:ascii="Arial" w:hAnsi="Arial"/>
                <w:color w:val="1F2933"/>
                <w:sz w:val="17"/>
              </w:rPr>
              <w:t>Revisar eventos sem ACK e herdados; preencher o diário de bordo; gerar o PDF e realizar o repasse ao próximo técnico.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418320" cy="342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342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Visão Geral: confirmação imediata da cobertura do dia por grupo.</w:t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COMPONENTE 1</w:t>
      </w:r>
    </w:p>
    <w:p>
      <w:pPr>
        <w:pStyle w:val="Heading1"/>
        <w:keepNext/>
        <w:pBdr>
          <w:bottom w:val="single" w:sz="8" w:space="4" w:color="D40000"/>
        </w:pBdr>
      </w:pPr>
      <w:r>
        <w:t>Módulo Escala de Plantão: planejamento e cobertura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92"/>
        <w:gridCol w:w="8640"/>
      </w:tblGrid>
      <w:tr>
        <w:tc>
          <w:tcPr>
            <w:tcW w:type="dxa" w:w="762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5364A"/>
                <w:sz w:val="26"/>
              </w:rPr>
              <w:t>Principais funções</w:t>
            </w:r>
          </w:p>
          <w:p>
            <w:pPr>
              <w:spacing w:after="80"/>
              <w:ind w:left="245" w:hanging="202"/>
            </w:pPr>
            <w:r>
              <w:rPr>
                <w:rFonts w:ascii="Arial" w:hAnsi="Arial"/>
                <w:b/>
                <w:color w:val="D40000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1F2933"/>
                <w:sz w:val="18"/>
              </w:rPr>
              <w:t xml:space="preserve">Visão Geral: </w:t>
            </w:r>
            <w:r>
              <w:rPr>
                <w:rFonts w:ascii="Arial" w:hAnsi="Arial"/>
                <w:color w:val="1F2933"/>
                <w:sz w:val="18"/>
              </w:rPr>
              <w:t>mostra quem está escalado hoje, telefone e reserva por grupo.</w:t>
            </w:r>
          </w:p>
          <w:p>
            <w:pPr>
              <w:spacing w:after="80"/>
              <w:ind w:left="245" w:hanging="202"/>
            </w:pPr>
            <w:r>
              <w:rPr>
                <w:rFonts w:ascii="Arial" w:hAnsi="Arial"/>
                <w:b/>
                <w:color w:val="D40000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1F2933"/>
                <w:sz w:val="18"/>
              </w:rPr>
              <w:t xml:space="preserve">Calendário mensal: </w:t>
            </w:r>
            <w:r>
              <w:rPr>
                <w:rFonts w:ascii="Arial" w:hAnsi="Arial"/>
                <w:color w:val="1F2933"/>
                <w:sz w:val="18"/>
              </w:rPr>
              <w:t>permite selecionar um ou vários dias e atribuir o mesmo técnico.</w:t>
            </w:r>
          </w:p>
          <w:p>
            <w:pPr>
              <w:spacing w:after="80"/>
              <w:ind w:left="245" w:hanging="202"/>
            </w:pPr>
            <w:r>
              <w:rPr>
                <w:rFonts w:ascii="Arial" w:hAnsi="Arial"/>
                <w:b/>
                <w:color w:val="D40000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1F2933"/>
                <w:sz w:val="18"/>
              </w:rPr>
              <w:t xml:space="preserve">Reserva: </w:t>
            </w:r>
            <w:r>
              <w:rPr>
                <w:rFonts w:ascii="Arial" w:hAnsi="Arial"/>
                <w:color w:val="1F2933"/>
                <w:sz w:val="18"/>
              </w:rPr>
              <w:t>define um segundo contato para continuidade e contingência.</w:t>
            </w:r>
          </w:p>
          <w:p>
            <w:pPr>
              <w:spacing w:after="80"/>
              <w:ind w:left="245" w:hanging="202"/>
            </w:pPr>
            <w:r>
              <w:rPr>
                <w:rFonts w:ascii="Arial" w:hAnsi="Arial"/>
                <w:b/>
                <w:color w:val="D40000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1F2933"/>
                <w:sz w:val="18"/>
              </w:rPr>
              <w:t xml:space="preserve">Cobertura: </w:t>
            </w:r>
            <w:r>
              <w:rPr>
                <w:rFonts w:ascii="Arial" w:hAnsi="Arial"/>
                <w:color w:val="1F2933"/>
                <w:sz w:val="18"/>
              </w:rPr>
              <w:t>destaca dias passados ou atuais sem técnico e apresenta o total de lacunas.</w:t>
            </w:r>
          </w:p>
          <w:p>
            <w:pPr>
              <w:spacing w:after="80"/>
              <w:ind w:left="245" w:hanging="202"/>
            </w:pPr>
            <w:r>
              <w:rPr>
                <w:rFonts w:ascii="Arial" w:hAnsi="Arial"/>
                <w:b/>
                <w:color w:val="D40000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1F2933"/>
                <w:sz w:val="18"/>
              </w:rPr>
              <w:t xml:space="preserve">Importação e exportação: </w:t>
            </w:r>
            <w:r>
              <w:rPr>
                <w:rFonts w:ascii="Arial" w:hAnsi="Arial"/>
                <w:color w:val="1F2933"/>
                <w:sz w:val="18"/>
              </w:rPr>
              <w:t>usa CSV/XLSX para manutenção em massa e criação de modelos.</w:t>
            </w:r>
          </w:p>
        </w:tc>
        <w:tc>
          <w:tcPr>
            <w:tcW w:type="dxa" w:w="762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20813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ala_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081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COMPONENTE 1</w:t>
      </w:r>
    </w:p>
    <w:p>
      <w:pPr>
        <w:pStyle w:val="Heading1"/>
        <w:keepNext/>
        <w:pBdr>
          <w:bottom w:val="single" w:sz="8" w:space="4" w:color="D40000"/>
        </w:pBdr>
      </w:pPr>
      <w:r>
        <w:t>Governança da escala: histórico e telefones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7B2CBF"/>
                <w:sz w:val="20"/>
              </w:rPr>
              <w:t>Histórico de alterações</w:t>
              <w:br/>
            </w:r>
            <w:r>
              <w:rPr>
                <w:rFonts w:ascii="Arial" w:hAnsi="Arial"/>
                <w:color w:val="1F2933"/>
                <w:sz w:val="17"/>
              </w:rPr>
              <w:t>Registra criação, alteração e remoção, incluindo data, grupo, técnico anterior/novo, reserva e usuário responsável.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1677B8"/>
                <w:sz w:val="20"/>
              </w:rPr>
              <w:t>Cadastro de telefones</w:t>
              <w:br/>
            </w:r>
            <w:r>
              <w:rPr>
                <w:rFonts w:ascii="Arial" w:hAnsi="Arial"/>
                <w:color w:val="1F2933"/>
                <w:sz w:val="17"/>
              </w:rPr>
              <w:t>Centraliza os contatos dos técnicos, com filtros por nome, grupo e status de cadastro.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2E7D32"/>
                <w:sz w:val="20"/>
              </w:rPr>
              <w:t>Base para importação</w:t>
              <w:br/>
            </w:r>
            <w:r>
              <w:rPr>
                <w:rFonts w:ascii="Arial" w:hAnsi="Arial"/>
                <w:color w:val="1F2933"/>
                <w:sz w:val="17"/>
              </w:rPr>
              <w:t>A exportação de usuários fornece o username exato do Zabbix, reduzindo erros na planilha de escala.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62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6868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131)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686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B6770"/>
                <w:sz w:val="16"/>
              </w:rPr>
              <w:t>Histórico do plantão</w:t>
            </w:r>
          </w:p>
        </w:tc>
        <w:tc>
          <w:tcPr>
            <w:tcW w:type="dxa" w:w="7625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70824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132)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7082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B6770"/>
                <w:sz w:val="16"/>
              </w:rPr>
              <w:t>Telefones dos técnicos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COMPONENTE 2</w:t>
      </w:r>
    </w:p>
    <w:p>
      <w:pPr>
        <w:pStyle w:val="Heading1"/>
        <w:keepNext/>
        <w:pBdr>
          <w:bottom w:val="single" w:sz="8" w:space="4" w:color="D40000"/>
        </w:pBdr>
      </w:pPr>
      <w:r>
        <w:t>Módulo Repasse de Plantão: visão consolidada do turno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418320" cy="40899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sse_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08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Painel do turno com filtros de data, janela operacional e Top 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D40000"/>
                <w:sz w:val="20"/>
              </w:rPr>
              <w:t>KPIs</w:t>
              <w:br/>
            </w:r>
            <w:r>
              <w:rPr>
                <w:rFonts w:ascii="Arial" w:hAnsi="Arial"/>
                <w:color w:val="1F2933"/>
                <w:sz w:val="17"/>
              </w:rPr>
              <w:t>Total de eventos, críticos, MTTA global, eventos sem ACK, herdados e analistas online.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1677B8"/>
                <w:sz w:val="20"/>
              </w:rPr>
              <w:t>Heatmap de 30 dias</w:t>
              <w:br/>
            </w:r>
            <w:r>
              <w:rPr>
                <w:rFonts w:ascii="Arial" w:hAnsi="Arial"/>
                <w:color w:val="1F2933"/>
                <w:sz w:val="17"/>
              </w:rPr>
              <w:t>Ajuda a identificar padrões de volume e direciona a consulta de dias anteriores.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7B2CBF"/>
                <w:sz w:val="20"/>
              </w:rPr>
              <w:t>Análise temporal</w:t>
              <w:br/>
            </w:r>
            <w:r>
              <w:rPr>
                <w:rFonts w:ascii="Arial" w:hAnsi="Arial"/>
                <w:color w:val="1F2933"/>
                <w:sz w:val="17"/>
              </w:rPr>
              <w:t>MTTA por hora e por analista evidenciam velocidade de resposta e carga operacional.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COMPONENTE 2</w:t>
      </w:r>
    </w:p>
    <w:p>
      <w:pPr>
        <w:pStyle w:val="Heading1"/>
        <w:keepNext/>
        <w:pBdr>
          <w:bottom w:val="single" w:sz="8" w:space="4" w:color="D40000"/>
        </w:pBdr>
      </w:pPr>
      <w:r>
        <w:t>Módulo Repasse: pendências, presença e diário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8352"/>
      </w:tblGrid>
      <w:tr>
        <w:tc>
          <w:tcPr>
            <w:tcW w:type="dxa" w:w="762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5364A"/>
                <w:sz w:val="26"/>
              </w:rPr>
              <w:t>Informações para a passagem de turno</w:t>
            </w:r>
          </w:p>
          <w:p>
            <w:pPr>
              <w:spacing w:after="80"/>
              <w:ind w:left="245" w:hanging="202"/>
            </w:pPr>
            <w:r>
              <w:rPr>
                <w:rFonts w:ascii="Arial" w:hAnsi="Arial"/>
                <w:b/>
                <w:color w:val="D40000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1F2933"/>
                <w:sz w:val="18"/>
              </w:rPr>
              <w:t xml:space="preserve">Alertas herdados: </w:t>
            </w:r>
            <w:r>
              <w:rPr>
                <w:rFonts w:ascii="Arial" w:hAnsi="Arial"/>
                <w:color w:val="1F2933"/>
                <w:sz w:val="18"/>
              </w:rPr>
              <w:t>problemas abertos antes do início do turno e ainda ativos.</w:t>
            </w:r>
          </w:p>
          <w:p>
            <w:pPr>
              <w:spacing w:after="80"/>
              <w:ind w:left="245" w:hanging="202"/>
            </w:pPr>
            <w:r>
              <w:rPr>
                <w:rFonts w:ascii="Arial" w:hAnsi="Arial"/>
                <w:b/>
                <w:color w:val="D40000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1F2933"/>
                <w:sz w:val="18"/>
              </w:rPr>
              <w:t xml:space="preserve">Alertas sem ACK: </w:t>
            </w:r>
            <w:r>
              <w:rPr>
                <w:rFonts w:ascii="Arial" w:hAnsi="Arial"/>
                <w:color w:val="1F2933"/>
                <w:sz w:val="18"/>
              </w:rPr>
              <w:t>eventos do período que ainda não possuem reconhecimento.</w:t>
            </w:r>
          </w:p>
          <w:p>
            <w:pPr>
              <w:spacing w:after="80"/>
              <w:ind w:left="245" w:hanging="202"/>
            </w:pPr>
            <w:r>
              <w:rPr>
                <w:rFonts w:ascii="Arial" w:hAnsi="Arial"/>
                <w:b/>
                <w:color w:val="D40000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1F2933"/>
                <w:sz w:val="18"/>
              </w:rPr>
              <w:t xml:space="preserve">Top Hosts e Top Triggers: </w:t>
            </w:r>
            <w:r>
              <w:rPr>
                <w:rFonts w:ascii="Arial" w:hAnsi="Arial"/>
                <w:color w:val="1F2933"/>
                <w:sz w:val="18"/>
              </w:rPr>
              <w:t>concentrações que indicam recorrência ou impacto.</w:t>
            </w:r>
          </w:p>
          <w:p>
            <w:pPr>
              <w:spacing w:after="80"/>
              <w:ind w:left="245" w:hanging="202"/>
            </w:pPr>
            <w:r>
              <w:rPr>
                <w:rFonts w:ascii="Arial" w:hAnsi="Arial"/>
                <w:b/>
                <w:color w:val="D40000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1F2933"/>
                <w:sz w:val="18"/>
              </w:rPr>
              <w:t xml:space="preserve">Presença de analistas: </w:t>
            </w:r>
            <w:r>
              <w:rPr>
                <w:rFonts w:ascii="Arial" w:hAnsi="Arial"/>
                <w:color w:val="1F2933"/>
                <w:sz w:val="18"/>
              </w:rPr>
              <w:t>registro de sessões identificadas no período selecionado.</w:t>
            </w:r>
          </w:p>
          <w:p>
            <w:pPr>
              <w:spacing w:after="80"/>
              <w:ind w:left="245" w:hanging="202"/>
            </w:pPr>
            <w:r>
              <w:rPr>
                <w:rFonts w:ascii="Arial" w:hAnsi="Arial"/>
                <w:b/>
                <w:color w:val="D40000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1F2933"/>
                <w:sz w:val="18"/>
              </w:rPr>
              <w:t xml:space="preserve">Diário de Bordo: </w:t>
            </w:r>
            <w:r>
              <w:rPr>
                <w:rFonts w:ascii="Arial" w:hAnsi="Arial"/>
                <w:color w:val="1F2933"/>
                <w:sz w:val="18"/>
              </w:rPr>
              <w:t>ocorrências, pendências, decisões e ações relevantes do turno.</w:t>
            </w:r>
          </w:p>
          <w:p>
            <w:pPr>
              <w:spacing w:after="80"/>
              <w:ind w:left="245" w:hanging="202"/>
            </w:pPr>
            <w:r>
              <w:rPr>
                <w:rFonts w:ascii="Arial" w:hAnsi="Arial"/>
                <w:b/>
                <w:color w:val="D40000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1F2933"/>
                <w:sz w:val="18"/>
              </w:rPr>
              <w:t xml:space="preserve">Gerar PDF: </w:t>
            </w:r>
            <w:r>
              <w:rPr>
                <w:rFonts w:ascii="Arial" w:hAnsi="Arial"/>
                <w:color w:val="1F2933"/>
                <w:sz w:val="18"/>
              </w:rPr>
              <w:t>produz um documento consolidado para evidência, comunicação e auditoria.</w:t>
            </w:r>
          </w:p>
        </w:tc>
        <w:tc>
          <w:tcPr>
            <w:tcW w:type="dxa" w:w="762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5060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asse_diari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506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COMPONENTE 3</w:t>
      </w:r>
    </w:p>
    <w:p>
      <w:pPr>
        <w:pStyle w:val="Heading1"/>
        <w:keepNext/>
        <w:pBdr>
          <w:bottom w:val="single" w:sz="8" w:space="4" w:color="D40000"/>
        </w:pBdr>
      </w:pPr>
      <w:r>
        <w:t>Módulo NOC/SOC Dashboard: operação em tempo real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418320" cy="441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csoc_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41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Dashboard fullframe com severidades, tabela de incidentes, ações e tags.</w:t>
      </w:r>
    </w:p>
    <w:p>
      <w:pPr>
        <w:spacing w:after="160"/>
      </w:pPr>
      <w:r>
        <w:rPr>
          <w:rFonts w:ascii="Arial" w:hAnsi="Arial"/>
          <w:color w:val="5B6770"/>
          <w:sz w:val="21"/>
        </w:rPr>
        <w:t>A tela foi desenhada para uso contínuo por analistas e videowall, mantendo foco na priorização e na interação direta com os eventos.</w:t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COMPONENTE 3</w:t>
      </w:r>
    </w:p>
    <w:p>
      <w:pPr>
        <w:pStyle w:val="Heading1"/>
        <w:keepNext/>
        <w:pBdr>
          <w:bottom w:val="single" w:sz="8" w:space="4" w:color="D40000"/>
        </w:pBdr>
      </w:pPr>
      <w:r>
        <w:t>Capacidades do Dashboard NOC/SOC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15364A"/>
                <w:sz w:val="20"/>
              </w:rPr>
              <w:t>Visão multi-servidor</w:t>
              <w:br/>
            </w:r>
            <w:r>
              <w:rPr>
                <w:rFonts w:ascii="Arial" w:hAnsi="Arial"/>
                <w:color w:val="1F2933"/>
                <w:sz w:val="17"/>
              </w:rPr>
              <w:t>Consolida Zabbix local e servidores remotos configurados, sinalizando fontes offline.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1677B8"/>
                <w:sz w:val="20"/>
              </w:rPr>
              <w:t>Filtros equivalentes a Incidentes</w:t>
              <w:br/>
            </w:r>
            <w:r>
              <w:rPr>
                <w:rFonts w:ascii="Arial" w:hAnsi="Arial"/>
                <w:color w:val="1F2933"/>
                <w:sz w:val="17"/>
              </w:rPr>
              <w:t>Servidor, host group, host, trigger, problema, idade, severidade, ACK, supressão, tags e período.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2E7D32"/>
                <w:sz w:val="20"/>
              </w:rPr>
              <w:t>Atualização automática</w:t>
              <w:br/>
            </w:r>
            <w:r>
              <w:rPr>
                <w:rFonts w:ascii="Arial" w:hAnsi="Arial"/>
                <w:color w:val="1F2933"/>
                <w:sz w:val="17"/>
              </w:rPr>
              <w:t>Polling periódico, contador regressivo e atualização manual pelo indicador de refresh.</w:t>
            </w:r>
          </w:p>
        </w:tc>
      </w:tr>
      <w:tr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D40000"/>
                <w:sz w:val="20"/>
              </w:rPr>
              <w:t>Tratamento direto</w:t>
              <w:br/>
            </w:r>
            <w:r>
              <w:rPr>
                <w:rFonts w:ascii="Arial" w:hAnsi="Arial"/>
                <w:color w:val="1F2933"/>
                <w:sz w:val="17"/>
              </w:rPr>
              <w:t>Update por evento, comentário, ACK, alteração de severidade, supressão e fechamento quando permitido.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7B2CBF"/>
                <w:sz w:val="20"/>
              </w:rPr>
              <w:t>Mass update</w:t>
              <w:br/>
            </w:r>
            <w:r>
              <w:rPr>
                <w:rFonts w:ascii="Arial" w:hAnsi="Arial"/>
                <w:color w:val="1F2933"/>
                <w:sz w:val="17"/>
              </w:rPr>
              <w:t>Aplica as mesmas ações a múltiplos eventos selecionados, inclusive de origens diferentes.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A66100"/>
                <w:sz w:val="20"/>
              </w:rPr>
              <w:t>Operação visual</w:t>
              <w:br/>
            </w:r>
            <w:r>
              <w:rPr>
                <w:rFonts w:ascii="Arial" w:hAnsi="Arial"/>
                <w:color w:val="1F2933"/>
                <w:sz w:val="17"/>
              </w:rPr>
              <w:t>Wall mode, ordenação, linha destacada, modo compacto, timeline, detalhes e exportação CSV.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418320" cy="18650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csoc_hea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1865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Barra de severidades e controles operacionais do Dashboard NOC/SOC.</w:t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CONTROLES</w:t>
      </w:r>
    </w:p>
    <w:p>
      <w:pPr>
        <w:pStyle w:val="Heading1"/>
        <w:keepNext/>
        <w:pBdr>
          <w:bottom w:val="single" w:sz="8" w:space="4" w:color="D40000"/>
        </w:pBdr>
      </w:pPr>
      <w:r>
        <w:t>Segurança, segmentação e governança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  <w:gridCol w:w="5328"/>
      </w:tblGrid>
      <w:tr>
        <w:trPr>
          <w:tblHeader w:val="true"/>
        </w:trPr>
        <w:tc>
          <w:tcPr>
            <w:tcW w:type="dxa" w:w="5083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5083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Como a solução atua</w:t>
            </w:r>
          </w:p>
        </w:tc>
        <w:tc>
          <w:tcPr>
            <w:tcW w:type="dxa" w:w="5083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Impacto operacional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Permissões do Zabbix</w:t>
            </w:r>
          </w:p>
        </w:tc>
        <w:tc>
          <w:tcPr>
            <w:tcW w:type="dxa" w:w="6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 visibilidade de hosts e eventos respeita grupos, rights e role do usuário.</w:t>
            </w:r>
          </w:p>
        </w:tc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O operador acessa somente o escopo autorizado.</w:t>
            </w:r>
          </w:p>
        </w:tc>
      </w:tr>
      <w:tr>
        <w:trPr>
          <w:cantSplit/>
        </w:trPr>
        <w:tc>
          <w:tcPr>
            <w:tcW w:type="dxa" w:w="25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Segmentação por equipe</w:t>
            </w:r>
          </w:p>
        </w:tc>
        <w:tc>
          <w:tcPr>
            <w:tcW w:type="dxa" w:w="691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Escala, notas e presença são associadas aos grupos de usuário.</w:t>
            </w:r>
          </w:p>
        </w:tc>
        <w:tc>
          <w:tcPr>
            <w:tcW w:type="dxa" w:w="532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Equipes NOC/SOC mantêm separação de contexto.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Ações controladas</w:t>
            </w:r>
          </w:p>
        </w:tc>
        <w:tc>
          <w:tcPr>
            <w:tcW w:type="dxa" w:w="6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ACK, mudança de severidade, supressão e fechamento dependem das permissões da role.</w:t>
            </w:r>
          </w:p>
        </w:tc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Evita operações indevidas e preserva governança.</w:t>
            </w:r>
          </w:p>
        </w:tc>
      </w:tr>
      <w:tr>
        <w:trPr>
          <w:cantSplit/>
        </w:trPr>
        <w:tc>
          <w:tcPr>
            <w:tcW w:type="dxa" w:w="25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Auditoria</w:t>
            </w:r>
          </w:p>
        </w:tc>
        <w:tc>
          <w:tcPr>
            <w:tcW w:type="dxa" w:w="691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Histórico de escala, ACKs, mensagens e diário de bordo registram autoria e momento.</w:t>
            </w:r>
          </w:p>
        </w:tc>
        <w:tc>
          <w:tcPr>
            <w:tcW w:type="dxa" w:w="532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Facilita investigação, compliance e melhoria contínua.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Multi-servidor seguro</w:t>
            </w:r>
          </w:p>
        </w:tc>
        <w:tc>
          <w:tcPr>
            <w:tcW w:type="dxa" w:w="6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Servidores remotos usam API token e podem utilizar referências de segredo por ambiente/CyberArk.</w:t>
            </w:r>
          </w:p>
        </w:tc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Centralização sem expor credenciais na interface operacional.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5020"/>
      </w:tblGrid>
      <w:tr>
        <w:tc>
          <w:tcPr>
            <w:tcW w:type="dxa" w:w="7625"/>
            <w:shd w:fill="A661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625"/>
            <w:shd w:fill="FFF4D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6100"/>
                <w:sz w:val="18"/>
              </w:rPr>
              <w:t>Princípio de menor privilégio</w:t>
              <w:br/>
            </w:r>
            <w:r>
              <w:rPr>
                <w:rFonts w:ascii="Arial" w:hAnsi="Arial"/>
                <w:color w:val="1F2933"/>
                <w:sz w:val="17"/>
              </w:rPr>
              <w:t>A solução não amplia automaticamente a permissão do usuário: ela reutiliza os controles já definidos no Zabbix e apresenta somente ações autorizadas.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RESULTADOS</w:t>
      </w:r>
    </w:p>
    <w:p>
      <w:pPr>
        <w:pStyle w:val="Heading1"/>
        <w:keepNext/>
        <w:pBdr>
          <w:bottom w:val="single" w:sz="8" w:space="4" w:color="D40000"/>
        </w:pBdr>
      </w:pPr>
      <w:r>
        <w:t>Benefícios para operação e 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D40000"/>
                <w:sz w:val="20"/>
              </w:rPr>
              <w:t>Continuidade operacional</w:t>
              <w:br/>
            </w:r>
            <w:r>
              <w:rPr>
                <w:rFonts w:ascii="Arial" w:hAnsi="Arial"/>
                <w:color w:val="1F2933"/>
                <w:sz w:val="17"/>
              </w:rPr>
              <w:t>Escala, reserva, contatos e repasse reduzem dependência de conhecimento informal.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1677B8"/>
                <w:sz w:val="20"/>
              </w:rPr>
              <w:t>Resposta mais rápida</w:t>
              <w:br/>
            </w:r>
            <w:r>
              <w:rPr>
                <w:rFonts w:ascii="Arial" w:hAnsi="Arial"/>
                <w:color w:val="1F2933"/>
                <w:sz w:val="17"/>
              </w:rPr>
              <w:t>Priorização por severidade, sem ACK e MTTA direciona atuação imediata.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15364A"/>
                <w:sz w:val="20"/>
              </w:rPr>
              <w:t>Contexto único</w:t>
              <w:br/>
            </w:r>
            <w:r>
              <w:rPr>
                <w:rFonts w:ascii="Arial" w:hAnsi="Arial"/>
                <w:color w:val="1F2933"/>
                <w:sz w:val="17"/>
              </w:rPr>
              <w:t>Planejamento, incidentes e passagem de turno permanecem dentro do Zabbix.</w:t>
            </w:r>
          </w:p>
        </w:tc>
      </w:tr>
      <w:tr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7B2CBF"/>
                <w:sz w:val="20"/>
              </w:rPr>
              <w:t>Rastreabilidade</w:t>
              <w:br/>
            </w:r>
            <w:r>
              <w:rPr>
                <w:rFonts w:ascii="Arial" w:hAnsi="Arial"/>
                <w:color w:val="1F2933"/>
                <w:sz w:val="17"/>
              </w:rPr>
              <w:t>Históricos, comentários, diário e PDF documentam o ciclo completo.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2E7D32"/>
                <w:sz w:val="20"/>
              </w:rPr>
              <w:t>Gestão por dados</w:t>
              <w:br/>
            </w:r>
            <w:r>
              <w:rPr>
                <w:rFonts w:ascii="Arial" w:hAnsi="Arial"/>
                <w:color w:val="1F2933"/>
                <w:sz w:val="17"/>
              </w:rPr>
              <w:t>Volume, severidade, MTTA, top hosts e triggers apoiam decisões e melhorias.</w:t>
            </w:r>
          </w:p>
        </w:tc>
        <w:tc>
          <w:tcPr>
            <w:tcW w:type="dxa" w:w="508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A66100"/>
                <w:sz w:val="20"/>
              </w:rPr>
              <w:t>Experiência do operador</w:t>
              <w:br/>
            </w:r>
            <w:r>
              <w:rPr>
                <w:rFonts w:ascii="Arial" w:hAnsi="Arial"/>
                <w:color w:val="1F2933"/>
                <w:sz w:val="17"/>
              </w:rPr>
              <w:t>Telas objetivas, filtros, wall mode, mass update e exportações diminuem esforço manual.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15020"/>
      </w:tblGrid>
      <w:tr>
        <w:tc>
          <w:tcPr>
            <w:tcW w:type="dxa" w:w="7625"/>
            <w:shd w:fill="2E7D3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625"/>
            <w:shd w:fill="EAF6E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Síntese</w:t>
              <w:br/>
            </w:r>
            <w:r>
              <w:rPr>
                <w:rFonts w:ascii="Arial" w:hAnsi="Arial"/>
                <w:color w:val="1F2933"/>
                <w:sz w:val="17"/>
              </w:rPr>
              <w:t>A solução transforma o plantão em um processo previsível: cobertura confirmada, operação priorizada e encerramento documentado.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A8790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0" w:space="3" w:color="D40000"/>
      </w:pBdr>
    </w:pPr>
    <w:r>
      <w:rPr>
        <w:rFonts w:ascii="Arial" w:hAnsi="Arial"/>
        <w:b/>
        <w:color w:val="15364A"/>
        <w:sz w:val="16"/>
      </w:rPr>
      <w:t>Apresentação da Solução Integrada de Plantão</w:t>
    </w:r>
    <w:r>
      <w:rPr>
        <w:rFonts w:ascii="Arial" w:hAnsi="Arial"/>
        <w:color w:val="5B6770"/>
        <w:sz w:val="16"/>
      </w:rPr>
      <w:t xml:space="preserve">  |  Zabbix NOC/SOC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536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67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5364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" w:hAnsi="Arial"/>
      <w:b/>
      <w:bCs/>
      <w:i/>
      <w:color w:val="5B677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