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adf79dd1-6852-46aa-aeb9-239bf26131a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adf79dd1-6852-46aa-aeb9-239bf26131a0"/>
      <w:r>
        <w:rPr/>
        <w:t xml:space="preserve">. </w:t>
      </w:r>
      <w:r>
        <w:t xml:space="preserve">Random-effect variance partition for the total-impression-score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5887.185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76.728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22.6%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2777.181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52.699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17398.742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131.904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66.8%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0.332: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0.044 (fixed effects); conditional R2 = 0.362 (fixed + random). The random structure adds 0.318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2026-09-25T18:02:57Z</dcterms:modified>
  <cp:category/>
</cp:coreProperties>
</file>